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76E1" w14:textId="77777777" w:rsidR="00242EA9" w:rsidRDefault="008C5B17" w:rsidP="00242EA9">
      <w:pPr>
        <w:jc w:val="center"/>
        <w:rPr>
          <w:rFonts w:ascii="Footlight MT Light" w:hAnsi="Footlight MT Light"/>
          <w:b/>
          <w:sz w:val="28"/>
          <w:szCs w:val="28"/>
          <w:lang w:val="en-GB"/>
        </w:rPr>
      </w:pPr>
      <w:bookmarkStart w:id="0" w:name="_GoBack"/>
      <w:r w:rsidRPr="000C255D">
        <w:rPr>
          <w:rFonts w:ascii="Footlight MT Light" w:hAnsi="Footlight MT Light"/>
          <w:b/>
          <w:sz w:val="28"/>
          <w:szCs w:val="28"/>
          <w:lang w:val="en-GB"/>
        </w:rPr>
        <w:t xml:space="preserve">Analysis of </w:t>
      </w:r>
      <w:r w:rsidR="00215C68" w:rsidRPr="000C255D">
        <w:rPr>
          <w:rFonts w:ascii="Footlight MT Light" w:hAnsi="Footlight MT Light"/>
          <w:b/>
          <w:sz w:val="28"/>
          <w:szCs w:val="28"/>
          <w:lang w:val="en-GB"/>
        </w:rPr>
        <w:t xml:space="preserve">the </w:t>
      </w:r>
      <w:r w:rsidR="00242EA9">
        <w:rPr>
          <w:rFonts w:ascii="Footlight MT Light" w:hAnsi="Footlight MT Light"/>
          <w:b/>
          <w:sz w:val="28"/>
          <w:szCs w:val="28"/>
          <w:lang w:val="en-GB"/>
        </w:rPr>
        <w:t>Collective Action of IASC Subs</w:t>
      </w:r>
      <w:r w:rsidR="000C255D" w:rsidRPr="000C255D">
        <w:rPr>
          <w:rFonts w:ascii="Footlight MT Light" w:hAnsi="Footlight MT Light"/>
          <w:b/>
          <w:sz w:val="28"/>
          <w:szCs w:val="28"/>
          <w:lang w:val="en-GB"/>
        </w:rPr>
        <w:t>i</w:t>
      </w:r>
      <w:r w:rsidR="00242EA9">
        <w:rPr>
          <w:rFonts w:ascii="Footlight MT Light" w:hAnsi="Footlight MT Light"/>
          <w:b/>
          <w:sz w:val="28"/>
          <w:szCs w:val="28"/>
          <w:lang w:val="en-GB"/>
        </w:rPr>
        <w:t>di</w:t>
      </w:r>
      <w:r w:rsidR="000C255D" w:rsidRPr="000C255D">
        <w:rPr>
          <w:rFonts w:ascii="Footlight MT Light" w:hAnsi="Footlight MT Light"/>
          <w:b/>
          <w:sz w:val="28"/>
          <w:szCs w:val="28"/>
          <w:lang w:val="en-GB"/>
        </w:rPr>
        <w:t xml:space="preserve">ary Bodies </w:t>
      </w:r>
      <w:r w:rsidR="00242EA9">
        <w:rPr>
          <w:rFonts w:ascii="Footlight MT Light" w:hAnsi="Footlight MT Light"/>
          <w:b/>
          <w:sz w:val="28"/>
          <w:szCs w:val="28"/>
          <w:lang w:val="en-GB"/>
        </w:rPr>
        <w:t xml:space="preserve">to Implement the Grand Bargain </w:t>
      </w:r>
    </w:p>
    <w:bookmarkEnd w:id="0"/>
    <w:p w14:paraId="1188D792" w14:textId="236E4CF6" w:rsidR="00215C68" w:rsidRPr="000C255D" w:rsidRDefault="00215C68" w:rsidP="00242EA9">
      <w:pPr>
        <w:jc w:val="center"/>
        <w:rPr>
          <w:rFonts w:ascii="Footlight MT Light" w:hAnsi="Footlight MT Light"/>
          <w:sz w:val="28"/>
          <w:szCs w:val="28"/>
          <w:lang w:val="en-GB"/>
        </w:rPr>
      </w:pPr>
      <w:r w:rsidRPr="000C255D">
        <w:rPr>
          <w:rFonts w:ascii="Footlight MT Light" w:hAnsi="Footlight MT Light"/>
          <w:sz w:val="28"/>
          <w:szCs w:val="28"/>
          <w:lang w:val="en-GB"/>
        </w:rPr>
        <w:t>IASC Working Group Meeting</w:t>
      </w:r>
    </w:p>
    <w:p w14:paraId="30813EC1" w14:textId="77777777" w:rsidR="000C255D" w:rsidRPr="000C255D" w:rsidRDefault="000C255D" w:rsidP="000C255D">
      <w:pPr>
        <w:jc w:val="center"/>
        <w:rPr>
          <w:rFonts w:ascii="Footlight MT Light" w:hAnsi="Footlight MT Light"/>
          <w:sz w:val="28"/>
          <w:szCs w:val="28"/>
          <w:lang w:val="en-GB"/>
        </w:rPr>
      </w:pPr>
      <w:r w:rsidRPr="000C255D">
        <w:rPr>
          <w:rFonts w:ascii="Footlight MT Light" w:hAnsi="Footlight MT Light"/>
          <w:sz w:val="28"/>
          <w:szCs w:val="28"/>
          <w:lang w:val="en-GB"/>
        </w:rPr>
        <w:t xml:space="preserve">5-6 April </w:t>
      </w:r>
      <w:r w:rsidR="00EC412E" w:rsidRPr="000C255D">
        <w:rPr>
          <w:rFonts w:ascii="Footlight MT Light" w:hAnsi="Footlight MT Light"/>
          <w:sz w:val="28"/>
          <w:szCs w:val="28"/>
          <w:lang w:val="en-GB"/>
        </w:rPr>
        <w:t>201</w:t>
      </w:r>
      <w:r w:rsidRPr="000C255D">
        <w:rPr>
          <w:rFonts w:ascii="Footlight MT Light" w:hAnsi="Footlight MT Light"/>
          <w:sz w:val="28"/>
          <w:szCs w:val="28"/>
          <w:lang w:val="en-GB"/>
        </w:rPr>
        <w:t>7</w:t>
      </w:r>
    </w:p>
    <w:p w14:paraId="4384A9BB" w14:textId="69513FA9" w:rsidR="00D511E0" w:rsidRPr="000C255D" w:rsidRDefault="000C255D" w:rsidP="000C255D">
      <w:pPr>
        <w:jc w:val="center"/>
        <w:rPr>
          <w:rFonts w:ascii="Footlight MT Light" w:hAnsi="Footlight MT Light"/>
          <w:sz w:val="28"/>
          <w:szCs w:val="28"/>
          <w:lang w:val="en-GB"/>
        </w:rPr>
      </w:pPr>
      <w:r w:rsidRPr="000C255D">
        <w:rPr>
          <w:rFonts w:ascii="Footlight MT Light" w:hAnsi="Footlight MT Light"/>
          <w:sz w:val="28"/>
          <w:szCs w:val="28"/>
          <w:lang w:val="en-GB"/>
        </w:rPr>
        <w:t xml:space="preserve">Rome </w:t>
      </w:r>
    </w:p>
    <w:p w14:paraId="3F6832E2" w14:textId="77777777" w:rsidR="00DA5CC0" w:rsidRDefault="00DA5CC0" w:rsidP="000C255D">
      <w:pPr>
        <w:rPr>
          <w:rFonts w:ascii="Helvetica" w:hAnsi="Helvetica"/>
          <w:lang w:val="en-GB"/>
        </w:rPr>
      </w:pPr>
    </w:p>
    <w:p w14:paraId="5D31982B" w14:textId="7E79B554" w:rsidR="00175C5C" w:rsidRPr="00B96546" w:rsidRDefault="000C255D" w:rsidP="008C52D8">
      <w:pPr>
        <w:pStyle w:val="ListParagraph"/>
        <w:numPr>
          <w:ilvl w:val="0"/>
          <w:numId w:val="5"/>
        </w:numPr>
        <w:rPr>
          <w:rFonts w:ascii="Footlight MT Light" w:hAnsi="Footlight MT Light"/>
          <w:sz w:val="28"/>
          <w:szCs w:val="28"/>
          <w:lang w:val="en-GB"/>
        </w:rPr>
      </w:pPr>
      <w:r w:rsidRPr="00B96546">
        <w:rPr>
          <w:rFonts w:ascii="Footlight MT Light" w:hAnsi="Footlight MT Light"/>
          <w:sz w:val="28"/>
          <w:szCs w:val="28"/>
          <w:lang w:val="en-GB"/>
        </w:rPr>
        <w:t>There continues to be a considerable degree of momentum within the IASC Subsidiary Bodies for advancing the</w:t>
      </w:r>
      <w:r w:rsidR="001E125B">
        <w:rPr>
          <w:rFonts w:ascii="Footlight MT Light" w:hAnsi="Footlight MT Light"/>
          <w:sz w:val="28"/>
          <w:szCs w:val="28"/>
          <w:lang w:val="en-GB"/>
        </w:rPr>
        <w:t xml:space="preserve"> activities of </w:t>
      </w:r>
      <w:r w:rsidR="008C52D8">
        <w:rPr>
          <w:rFonts w:ascii="Footlight MT Light" w:hAnsi="Footlight MT Light"/>
          <w:sz w:val="28"/>
          <w:szCs w:val="28"/>
          <w:lang w:val="en-GB"/>
        </w:rPr>
        <w:t xml:space="preserve">10 of the 51 </w:t>
      </w:r>
      <w:r w:rsidRPr="00B96546">
        <w:rPr>
          <w:rFonts w:ascii="Footlight MT Light" w:hAnsi="Footlight MT Light"/>
          <w:sz w:val="28"/>
          <w:szCs w:val="28"/>
          <w:lang w:val="en-GB"/>
        </w:rPr>
        <w:t xml:space="preserve">different </w:t>
      </w:r>
      <w:r w:rsidR="00B96546" w:rsidRPr="00B96546">
        <w:rPr>
          <w:rFonts w:ascii="Footlight MT Light" w:hAnsi="Footlight MT Light"/>
          <w:sz w:val="28"/>
          <w:szCs w:val="28"/>
          <w:lang w:val="en-GB"/>
        </w:rPr>
        <w:t xml:space="preserve">Grand Bargain </w:t>
      </w:r>
      <w:r w:rsidRPr="00B96546">
        <w:rPr>
          <w:rFonts w:ascii="Footlight MT Light" w:hAnsi="Footlight MT Light"/>
          <w:sz w:val="28"/>
          <w:szCs w:val="28"/>
          <w:lang w:val="en-GB"/>
        </w:rPr>
        <w:t>commitments</w:t>
      </w:r>
      <w:r w:rsidR="00B96546" w:rsidRPr="00B96546">
        <w:rPr>
          <w:rFonts w:ascii="Footlight MT Light" w:hAnsi="Footlight MT Light"/>
          <w:sz w:val="28"/>
          <w:szCs w:val="28"/>
          <w:lang w:val="en-GB"/>
        </w:rPr>
        <w:t xml:space="preserve">. </w:t>
      </w:r>
    </w:p>
    <w:p w14:paraId="29C293BB" w14:textId="7082D7A6" w:rsidR="00B96546" w:rsidRDefault="00B96546" w:rsidP="00B96546">
      <w:pPr>
        <w:tabs>
          <w:tab w:val="left" w:pos="3675"/>
        </w:tabs>
        <w:ind w:left="142" w:firstLine="3540"/>
        <w:rPr>
          <w:rFonts w:ascii="Helvetica" w:hAnsi="Helvetica"/>
          <w:lang w:val="en-GB"/>
        </w:rPr>
      </w:pPr>
    </w:p>
    <w:p w14:paraId="491D9333" w14:textId="031CFF40" w:rsidR="008F2C05" w:rsidRDefault="00B96546" w:rsidP="00131304">
      <w:pPr>
        <w:pStyle w:val="ListParagraph"/>
        <w:numPr>
          <w:ilvl w:val="0"/>
          <w:numId w:val="5"/>
        </w:numPr>
        <w:rPr>
          <w:rFonts w:ascii="Footlight MT Light" w:hAnsi="Footlight MT Light"/>
          <w:sz w:val="28"/>
          <w:szCs w:val="28"/>
          <w:lang w:val="en-GB"/>
        </w:rPr>
      </w:pPr>
      <w:r>
        <w:rPr>
          <w:rFonts w:ascii="Footlight MT Light" w:hAnsi="Footlight MT Light"/>
          <w:sz w:val="28"/>
          <w:szCs w:val="28"/>
          <w:lang w:val="en-GB"/>
        </w:rPr>
        <w:t xml:space="preserve">As previously </w:t>
      </w:r>
      <w:r w:rsidR="001E125B">
        <w:rPr>
          <w:rFonts w:ascii="Footlight MT Light" w:hAnsi="Footlight MT Light"/>
          <w:sz w:val="28"/>
          <w:szCs w:val="28"/>
          <w:lang w:val="en-GB"/>
        </w:rPr>
        <w:t xml:space="preserve">reported to the IASC </w:t>
      </w:r>
      <w:r>
        <w:rPr>
          <w:rFonts w:ascii="Footlight MT Light" w:hAnsi="Footlight MT Light"/>
          <w:sz w:val="28"/>
          <w:szCs w:val="28"/>
          <w:lang w:val="en-GB"/>
        </w:rPr>
        <w:t xml:space="preserve">Working Group, some </w:t>
      </w:r>
      <w:r w:rsidR="000C255D" w:rsidRPr="00B96546">
        <w:rPr>
          <w:rFonts w:ascii="Footlight MT Light" w:hAnsi="Footlight MT Light"/>
          <w:sz w:val="28"/>
          <w:szCs w:val="28"/>
          <w:lang w:val="en-GB"/>
        </w:rPr>
        <w:t>work</w:t>
      </w:r>
      <w:r w:rsidR="00131304">
        <w:rPr>
          <w:rFonts w:ascii="Footlight MT Light" w:hAnsi="Footlight MT Light"/>
          <w:sz w:val="28"/>
          <w:szCs w:val="28"/>
          <w:lang w:val="en-GB"/>
        </w:rPr>
        <w:t xml:space="preserve"> </w:t>
      </w:r>
      <w:r w:rsidR="000C255D" w:rsidRPr="00B96546">
        <w:rPr>
          <w:rFonts w:ascii="Footlight MT Light" w:hAnsi="Footlight MT Light"/>
          <w:sz w:val="28"/>
          <w:szCs w:val="28"/>
          <w:lang w:val="en-GB"/>
        </w:rPr>
        <w:t>stream</w:t>
      </w:r>
      <w:r w:rsidR="00242EA9" w:rsidRPr="00B96546">
        <w:rPr>
          <w:rFonts w:ascii="Footlight MT Light" w:hAnsi="Footlight MT Light"/>
          <w:sz w:val="28"/>
          <w:szCs w:val="28"/>
          <w:lang w:val="en-GB"/>
        </w:rPr>
        <w:t>s</w:t>
      </w:r>
      <w:r w:rsidR="000C255D" w:rsidRPr="00B96546">
        <w:rPr>
          <w:rFonts w:ascii="Footlight MT Light" w:hAnsi="Footlight MT Light"/>
          <w:sz w:val="28"/>
          <w:szCs w:val="28"/>
          <w:lang w:val="en-GB"/>
        </w:rPr>
        <w:t xml:space="preserve"> are more developed </w:t>
      </w:r>
      <w:r w:rsidR="00242EA9" w:rsidRPr="00B96546">
        <w:rPr>
          <w:rFonts w:ascii="Footlight MT Light" w:hAnsi="Footlight MT Light"/>
          <w:sz w:val="28"/>
          <w:szCs w:val="28"/>
          <w:lang w:val="en-GB"/>
        </w:rPr>
        <w:t xml:space="preserve">in concretizing their work. </w:t>
      </w:r>
      <w:r w:rsidR="000C255D" w:rsidRPr="00B96546">
        <w:rPr>
          <w:rFonts w:ascii="Footlight MT Light" w:hAnsi="Footlight MT Light"/>
          <w:sz w:val="28"/>
          <w:szCs w:val="28"/>
          <w:lang w:val="en-GB"/>
        </w:rPr>
        <w:t>In particular, the work</w:t>
      </w:r>
      <w:r w:rsidR="00131304">
        <w:rPr>
          <w:rFonts w:ascii="Footlight MT Light" w:hAnsi="Footlight MT Light"/>
          <w:sz w:val="28"/>
          <w:szCs w:val="28"/>
          <w:lang w:val="en-GB"/>
        </w:rPr>
        <w:t xml:space="preserve"> </w:t>
      </w:r>
      <w:r w:rsidR="000C255D" w:rsidRPr="00B96546">
        <w:rPr>
          <w:rFonts w:ascii="Footlight MT Light" w:hAnsi="Footlight MT Light"/>
          <w:sz w:val="28"/>
          <w:szCs w:val="28"/>
          <w:lang w:val="en-GB"/>
        </w:rPr>
        <w:t xml:space="preserve">streams </w:t>
      </w:r>
      <w:r w:rsidR="008F2C05" w:rsidRPr="00B96546">
        <w:rPr>
          <w:rFonts w:ascii="Footlight MT Light" w:hAnsi="Footlight MT Light"/>
          <w:sz w:val="28"/>
          <w:szCs w:val="28"/>
          <w:lang w:val="en-GB"/>
        </w:rPr>
        <w:t xml:space="preserve">related to transparency, reducing </w:t>
      </w:r>
      <w:r w:rsidR="00E24776" w:rsidRPr="00B96546">
        <w:rPr>
          <w:rFonts w:ascii="Footlight MT Light" w:hAnsi="Footlight MT Light"/>
          <w:sz w:val="28"/>
          <w:szCs w:val="28"/>
          <w:lang w:val="en-GB"/>
        </w:rPr>
        <w:t xml:space="preserve">management </w:t>
      </w:r>
      <w:r w:rsidR="008F2C05" w:rsidRPr="00B96546">
        <w:rPr>
          <w:rFonts w:ascii="Footlight MT Light" w:hAnsi="Footlight MT Light"/>
          <w:sz w:val="28"/>
          <w:szCs w:val="28"/>
          <w:lang w:val="en-GB"/>
        </w:rPr>
        <w:t xml:space="preserve">costs, </w:t>
      </w:r>
      <w:r w:rsidR="00926ACF" w:rsidRPr="00B96546">
        <w:rPr>
          <w:rFonts w:ascii="Footlight MT Light" w:hAnsi="Footlight MT Light"/>
          <w:sz w:val="28"/>
          <w:szCs w:val="28"/>
          <w:lang w:val="en-GB"/>
        </w:rPr>
        <w:t xml:space="preserve">multi-year funding/ planning, </w:t>
      </w:r>
      <w:r w:rsidR="008F2C05" w:rsidRPr="00B96546">
        <w:rPr>
          <w:rFonts w:ascii="Footlight MT Light" w:hAnsi="Footlight MT Light"/>
          <w:sz w:val="28"/>
          <w:szCs w:val="28"/>
          <w:lang w:val="en-GB"/>
        </w:rPr>
        <w:t>reporting</w:t>
      </w:r>
      <w:r w:rsidR="00E24776" w:rsidRPr="00B96546">
        <w:rPr>
          <w:rFonts w:ascii="Footlight MT Light" w:hAnsi="Footlight MT Light"/>
          <w:sz w:val="28"/>
          <w:szCs w:val="28"/>
          <w:lang w:val="en-GB"/>
        </w:rPr>
        <w:t xml:space="preserve"> a</w:t>
      </w:r>
      <w:r w:rsidR="000C255D" w:rsidRPr="00B96546">
        <w:rPr>
          <w:rFonts w:ascii="Footlight MT Light" w:hAnsi="Footlight MT Light"/>
          <w:sz w:val="28"/>
          <w:szCs w:val="28"/>
          <w:lang w:val="en-GB"/>
        </w:rPr>
        <w:t xml:space="preserve">nd bridging the humanitarian-nexus, appear especially </w:t>
      </w:r>
      <w:r w:rsidR="00E24776" w:rsidRPr="00B96546">
        <w:rPr>
          <w:rFonts w:ascii="Footlight MT Light" w:hAnsi="Footlight MT Light"/>
          <w:sz w:val="28"/>
          <w:szCs w:val="28"/>
          <w:lang w:val="en-GB"/>
        </w:rPr>
        <w:t>f</w:t>
      </w:r>
      <w:r w:rsidR="00F020B7" w:rsidRPr="00B96546">
        <w:rPr>
          <w:rFonts w:ascii="Footlight MT Light" w:hAnsi="Footlight MT Light"/>
          <w:sz w:val="28"/>
          <w:szCs w:val="28"/>
          <w:lang w:val="en-GB"/>
        </w:rPr>
        <w:t xml:space="preserve">ar advanced in defining guidelines, </w:t>
      </w:r>
      <w:r>
        <w:rPr>
          <w:rFonts w:ascii="Footlight MT Light" w:hAnsi="Footlight MT Light"/>
          <w:sz w:val="28"/>
          <w:szCs w:val="28"/>
          <w:lang w:val="en-GB"/>
        </w:rPr>
        <w:t xml:space="preserve">methodologies, </w:t>
      </w:r>
      <w:r w:rsidR="00F020B7" w:rsidRPr="00B96546">
        <w:rPr>
          <w:rFonts w:ascii="Footlight MT Light" w:hAnsi="Footlight MT Light"/>
          <w:sz w:val="28"/>
          <w:szCs w:val="28"/>
          <w:lang w:val="en-GB"/>
        </w:rPr>
        <w:t xml:space="preserve">tools and outputs.  </w:t>
      </w:r>
    </w:p>
    <w:p w14:paraId="00095AD9" w14:textId="77777777" w:rsidR="00CB1391" w:rsidRPr="00CB1391" w:rsidRDefault="00CB1391" w:rsidP="00CB1391">
      <w:pPr>
        <w:pStyle w:val="ListParagraph"/>
        <w:rPr>
          <w:rFonts w:ascii="Footlight MT Light" w:hAnsi="Footlight MT Light"/>
          <w:sz w:val="28"/>
          <w:szCs w:val="28"/>
          <w:lang w:val="en-GB"/>
        </w:rPr>
      </w:pPr>
    </w:p>
    <w:p w14:paraId="24CDC92E" w14:textId="77777777" w:rsidR="00CB1391" w:rsidRDefault="00CB1391" w:rsidP="000940B1">
      <w:pPr>
        <w:pStyle w:val="ListParagraph"/>
        <w:numPr>
          <w:ilvl w:val="0"/>
          <w:numId w:val="5"/>
        </w:numPr>
        <w:rPr>
          <w:rFonts w:ascii="Footlight MT Light" w:hAnsi="Footlight MT Light"/>
          <w:sz w:val="28"/>
          <w:szCs w:val="28"/>
          <w:lang w:val="en-GB"/>
        </w:rPr>
      </w:pPr>
      <w:r>
        <w:rPr>
          <w:rFonts w:ascii="Footlight MT Light" w:hAnsi="Footlight MT Light"/>
          <w:sz w:val="28"/>
          <w:szCs w:val="28"/>
          <w:lang w:val="en-GB"/>
        </w:rPr>
        <w:t xml:space="preserve">The work of some of the subsidiary bodies is more cross-cutting and interlinked than others. For example: </w:t>
      </w:r>
    </w:p>
    <w:p w14:paraId="2865D650" w14:textId="77777777" w:rsidR="00CB1391" w:rsidRPr="00CB1391" w:rsidRDefault="00CB1391" w:rsidP="00CB1391">
      <w:pPr>
        <w:pStyle w:val="ListParagraph"/>
        <w:rPr>
          <w:rFonts w:ascii="Footlight MT Light" w:hAnsi="Footlight MT Light"/>
          <w:sz w:val="28"/>
          <w:szCs w:val="28"/>
          <w:lang w:val="en-GB"/>
        </w:rPr>
      </w:pPr>
    </w:p>
    <w:p w14:paraId="67260C77" w14:textId="4A0AB2FD" w:rsidR="0002242F" w:rsidRDefault="0002242F" w:rsidP="00131304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  <w:lang w:val="en-GB"/>
        </w:rPr>
      </w:pPr>
      <w:r w:rsidRPr="0002242F">
        <w:rPr>
          <w:rFonts w:ascii="Footlight MT Light" w:hAnsi="Footlight MT Light"/>
          <w:sz w:val="28"/>
          <w:szCs w:val="28"/>
          <w:lang w:val="en-GB"/>
        </w:rPr>
        <w:t>The activities of the Humanitarian Financing Task (HFTT) straddles</w:t>
      </w:r>
      <w:r>
        <w:rPr>
          <w:rFonts w:ascii="Footlight MT Light" w:hAnsi="Footlight MT Light"/>
          <w:sz w:val="28"/>
          <w:szCs w:val="28"/>
          <w:lang w:val="en-GB"/>
        </w:rPr>
        <w:t xml:space="preserve"> Grand Bargain work</w:t>
      </w:r>
      <w:r w:rsidR="00131304">
        <w:rPr>
          <w:rFonts w:ascii="Footlight MT Light" w:hAnsi="Footlight MT Light"/>
          <w:sz w:val="28"/>
          <w:szCs w:val="28"/>
          <w:lang w:val="en-GB"/>
        </w:rPr>
        <w:t xml:space="preserve"> s</w:t>
      </w:r>
      <w:r>
        <w:rPr>
          <w:rFonts w:ascii="Footlight MT Light" w:hAnsi="Footlight MT Light"/>
          <w:sz w:val="28"/>
          <w:szCs w:val="28"/>
          <w:lang w:val="en-GB"/>
        </w:rPr>
        <w:t xml:space="preserve">treams 1, 2, 7, 9 and 10. </w:t>
      </w:r>
    </w:p>
    <w:p w14:paraId="230019B5" w14:textId="77777777" w:rsidR="0002242F" w:rsidRDefault="0002242F" w:rsidP="0002242F">
      <w:pPr>
        <w:rPr>
          <w:rFonts w:ascii="Footlight MT Light" w:hAnsi="Footlight MT Light"/>
          <w:sz w:val="28"/>
          <w:szCs w:val="28"/>
          <w:lang w:val="en-GB"/>
        </w:rPr>
      </w:pPr>
    </w:p>
    <w:p w14:paraId="14FF8346" w14:textId="1F854F58" w:rsidR="0002242F" w:rsidRDefault="0002242F" w:rsidP="00973C63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  <w:lang w:val="en-GB"/>
        </w:rPr>
      </w:pPr>
      <w:r w:rsidRPr="0002242F">
        <w:rPr>
          <w:rFonts w:ascii="Footlight MT Light" w:hAnsi="Footlight MT Light"/>
          <w:sz w:val="28"/>
          <w:szCs w:val="28"/>
          <w:lang w:val="en-GB"/>
        </w:rPr>
        <w:t>The Task Team on Strengthening the Humanitarian-Development Nexus in Protracted Crisis (HDN) and the UN Working Group on Transitions have facilitated a joint workshop, developed a joint work-plan</w:t>
      </w:r>
      <w:r w:rsidR="00973C63">
        <w:rPr>
          <w:rFonts w:ascii="Footlight MT Light" w:hAnsi="Footlight MT Light"/>
          <w:sz w:val="28"/>
          <w:szCs w:val="28"/>
          <w:lang w:val="en-GB"/>
        </w:rPr>
        <w:t xml:space="preserve">, </w:t>
      </w:r>
      <w:r w:rsidRPr="0002242F">
        <w:rPr>
          <w:rFonts w:ascii="Footlight MT Light" w:hAnsi="Footlight MT Light"/>
          <w:sz w:val="28"/>
          <w:szCs w:val="28"/>
          <w:lang w:val="en-GB"/>
        </w:rPr>
        <w:t>and produced a roadmap and plan for future action</w:t>
      </w:r>
      <w:r w:rsidR="002267F7">
        <w:rPr>
          <w:rFonts w:ascii="Footlight MT Light" w:hAnsi="Footlight MT Light"/>
          <w:sz w:val="28"/>
          <w:szCs w:val="28"/>
          <w:lang w:val="en-GB"/>
        </w:rPr>
        <w:t xml:space="preserve"> to advance the New Way of Working between humanitarian, development and peace actors. </w:t>
      </w:r>
      <w:r w:rsidRPr="0002242F">
        <w:rPr>
          <w:rFonts w:ascii="Footlight MT Light" w:hAnsi="Footlight MT Light"/>
          <w:sz w:val="28"/>
          <w:szCs w:val="28"/>
          <w:lang w:val="en-GB"/>
        </w:rPr>
        <w:t xml:space="preserve">The roadmap details activities to operationalize the implementation of the humanitarian-development-peace nexus in the field and </w:t>
      </w:r>
      <w:r w:rsidR="00973C63">
        <w:rPr>
          <w:rFonts w:ascii="Footlight MT Light" w:hAnsi="Footlight MT Light"/>
          <w:sz w:val="28"/>
          <w:szCs w:val="28"/>
          <w:lang w:val="en-GB"/>
        </w:rPr>
        <w:t xml:space="preserve">the </w:t>
      </w:r>
      <w:r w:rsidRPr="0002242F">
        <w:rPr>
          <w:rFonts w:ascii="Footlight MT Light" w:hAnsi="Footlight MT Light"/>
          <w:sz w:val="28"/>
          <w:szCs w:val="28"/>
          <w:lang w:val="en-GB"/>
        </w:rPr>
        <w:t>required complementary activities at the global level.</w:t>
      </w:r>
    </w:p>
    <w:p w14:paraId="4158BDB8" w14:textId="77777777" w:rsidR="0002242F" w:rsidRPr="0002242F" w:rsidRDefault="0002242F" w:rsidP="0002242F">
      <w:pPr>
        <w:pStyle w:val="ListParagraph"/>
        <w:rPr>
          <w:rFonts w:ascii="Footlight MT Light" w:hAnsi="Footlight MT Light"/>
          <w:sz w:val="28"/>
          <w:szCs w:val="28"/>
          <w:lang w:val="en-GB"/>
        </w:rPr>
      </w:pPr>
    </w:p>
    <w:p w14:paraId="4E29A037" w14:textId="1796D601" w:rsidR="00747F93" w:rsidRPr="00166BAB" w:rsidRDefault="0055372F" w:rsidP="00517B15">
      <w:pPr>
        <w:pStyle w:val="ListParagraph"/>
        <w:numPr>
          <w:ilvl w:val="0"/>
          <w:numId w:val="11"/>
        </w:numPr>
        <w:rPr>
          <w:rFonts w:ascii="Footlight MT Light" w:hAnsi="Footlight MT Light"/>
          <w:sz w:val="28"/>
          <w:szCs w:val="28"/>
          <w:lang w:val="en-GB"/>
        </w:rPr>
      </w:pPr>
      <w:r w:rsidRPr="00166BAB">
        <w:rPr>
          <w:rFonts w:ascii="Footlight MT Light" w:hAnsi="Footlight MT Light"/>
          <w:sz w:val="28"/>
          <w:szCs w:val="28"/>
          <w:lang w:val="en-GB"/>
        </w:rPr>
        <w:t xml:space="preserve">There </w:t>
      </w:r>
      <w:r w:rsidR="00747F93" w:rsidRPr="00166BAB">
        <w:rPr>
          <w:rFonts w:ascii="Footlight MT Light" w:hAnsi="Footlight MT Light"/>
          <w:sz w:val="28"/>
          <w:szCs w:val="28"/>
          <w:lang w:val="en-GB"/>
        </w:rPr>
        <w:t xml:space="preserve">IASC </w:t>
      </w:r>
      <w:r w:rsidRPr="00166BAB">
        <w:rPr>
          <w:rFonts w:ascii="Footlight MT Light" w:hAnsi="Footlight MT Light"/>
          <w:sz w:val="28"/>
          <w:szCs w:val="28"/>
          <w:lang w:val="en-GB"/>
        </w:rPr>
        <w:t>Reference Group</w:t>
      </w:r>
      <w:r w:rsidR="0002242F" w:rsidRPr="00166BAB">
        <w:rPr>
          <w:rFonts w:ascii="Footlight MT Light" w:hAnsi="Footlight MT Light"/>
          <w:sz w:val="28"/>
          <w:szCs w:val="28"/>
          <w:lang w:val="en-GB"/>
        </w:rPr>
        <w:t xml:space="preserve"> on </w:t>
      </w:r>
      <w:r w:rsidRPr="00166BAB">
        <w:rPr>
          <w:rFonts w:ascii="Footlight MT Light" w:hAnsi="Footlight MT Light"/>
          <w:sz w:val="28"/>
          <w:szCs w:val="28"/>
          <w:lang w:val="en-GB"/>
        </w:rPr>
        <w:t>Protracted Displacement</w:t>
      </w:r>
      <w:r w:rsidR="0002242F" w:rsidRPr="00166BAB">
        <w:rPr>
          <w:rFonts w:ascii="Footlight MT Light" w:hAnsi="Footlight MT Light"/>
          <w:sz w:val="28"/>
          <w:szCs w:val="28"/>
          <w:lang w:val="en-GB"/>
        </w:rPr>
        <w:t xml:space="preserve"> </w:t>
      </w:r>
      <w:r w:rsidR="00747F93" w:rsidRPr="00166BAB">
        <w:rPr>
          <w:rFonts w:ascii="Footlight MT Light" w:hAnsi="Footlight MT Light"/>
          <w:sz w:val="28"/>
          <w:szCs w:val="28"/>
          <w:lang w:val="en-GB"/>
        </w:rPr>
        <w:t>has requested assistance in framing and defining its outputs within the context of the Grand Bargain commitments</w:t>
      </w:r>
      <w:r w:rsidR="00517B15">
        <w:rPr>
          <w:rFonts w:ascii="Footlight MT Light" w:hAnsi="Footlight MT Light"/>
          <w:sz w:val="28"/>
          <w:szCs w:val="28"/>
          <w:lang w:val="en-GB"/>
        </w:rPr>
        <w:t xml:space="preserve">. The Reference Group has </w:t>
      </w:r>
      <w:r w:rsidR="00747F93" w:rsidRPr="00166BAB">
        <w:rPr>
          <w:rFonts w:ascii="Footlight MT Light" w:hAnsi="Footlight MT Light"/>
          <w:sz w:val="28"/>
          <w:szCs w:val="28"/>
          <w:lang w:val="en-GB"/>
        </w:rPr>
        <w:t xml:space="preserve">yet </w:t>
      </w:r>
      <w:r w:rsidR="00973C63">
        <w:rPr>
          <w:rFonts w:ascii="Footlight MT Light" w:hAnsi="Footlight MT Light"/>
          <w:sz w:val="28"/>
          <w:szCs w:val="28"/>
          <w:lang w:val="en-GB"/>
        </w:rPr>
        <w:t xml:space="preserve">to </w:t>
      </w:r>
      <w:r w:rsidR="00747F93" w:rsidRPr="00166BAB">
        <w:rPr>
          <w:rFonts w:ascii="Footlight MT Light" w:hAnsi="Footlight MT Light"/>
          <w:sz w:val="28"/>
          <w:szCs w:val="28"/>
          <w:lang w:val="en-GB"/>
        </w:rPr>
        <w:t>become</w:t>
      </w:r>
      <w:r w:rsidR="00973C63">
        <w:rPr>
          <w:rFonts w:ascii="Footlight MT Light" w:hAnsi="Footlight MT Light"/>
          <w:sz w:val="28"/>
          <w:szCs w:val="28"/>
          <w:lang w:val="en-GB"/>
        </w:rPr>
        <w:t xml:space="preserve"> a </w:t>
      </w:r>
      <w:r w:rsidR="00747F93" w:rsidRPr="00166BAB">
        <w:rPr>
          <w:rFonts w:ascii="Footlight MT Light" w:hAnsi="Footlight MT Light"/>
          <w:sz w:val="28"/>
          <w:szCs w:val="28"/>
          <w:lang w:val="en-GB"/>
        </w:rPr>
        <w:t>fully</w:t>
      </w:r>
      <w:r w:rsidR="00973C63">
        <w:rPr>
          <w:rFonts w:ascii="Footlight MT Light" w:hAnsi="Footlight MT Light"/>
          <w:sz w:val="28"/>
          <w:szCs w:val="28"/>
          <w:lang w:val="en-GB"/>
        </w:rPr>
        <w:t>-</w:t>
      </w:r>
      <w:r w:rsidR="00747F93" w:rsidRPr="00166BAB">
        <w:rPr>
          <w:rFonts w:ascii="Footlight MT Light" w:hAnsi="Footlight MT Light"/>
          <w:sz w:val="28"/>
          <w:szCs w:val="28"/>
          <w:lang w:val="en-GB"/>
        </w:rPr>
        <w:t>fledged</w:t>
      </w:r>
      <w:r w:rsidR="00973C63">
        <w:rPr>
          <w:rFonts w:ascii="Footlight MT Light" w:hAnsi="Footlight MT Light"/>
          <w:sz w:val="28"/>
          <w:szCs w:val="28"/>
          <w:lang w:val="en-GB"/>
        </w:rPr>
        <w:t xml:space="preserve"> and functioning group and community of practice. </w:t>
      </w:r>
      <w:r w:rsidR="00747F93" w:rsidRPr="00166BAB">
        <w:rPr>
          <w:rFonts w:ascii="Footlight MT Light" w:hAnsi="Footlight MT Light"/>
          <w:sz w:val="28"/>
          <w:szCs w:val="28"/>
          <w:lang w:val="en-GB"/>
        </w:rPr>
        <w:t xml:space="preserve"> </w:t>
      </w:r>
    </w:p>
    <w:p w14:paraId="635B7C27" w14:textId="77777777" w:rsidR="00747F93" w:rsidRPr="00747F93" w:rsidRDefault="00747F93" w:rsidP="008D12AD">
      <w:pPr>
        <w:ind w:left="66"/>
        <w:rPr>
          <w:rFonts w:ascii="Footlight MT Light" w:hAnsi="Footlight MT Light"/>
          <w:sz w:val="28"/>
          <w:szCs w:val="28"/>
          <w:lang w:val="en-GB"/>
        </w:rPr>
      </w:pPr>
    </w:p>
    <w:p w14:paraId="49170A8F" w14:textId="72CAC58B" w:rsidR="008C52D8" w:rsidRDefault="00747F93" w:rsidP="0021145C">
      <w:pPr>
        <w:pStyle w:val="ListParagraph"/>
        <w:numPr>
          <w:ilvl w:val="0"/>
          <w:numId w:val="11"/>
        </w:numPr>
        <w:rPr>
          <w:rFonts w:ascii="Footlight MT Light" w:hAnsi="Footlight MT Light"/>
          <w:sz w:val="28"/>
          <w:szCs w:val="28"/>
          <w:lang w:val="en-GB"/>
        </w:rPr>
      </w:pPr>
      <w:r w:rsidRPr="0072263E">
        <w:rPr>
          <w:rFonts w:ascii="Footlight MT Light" w:hAnsi="Footlight MT Light"/>
          <w:sz w:val="28"/>
          <w:szCs w:val="28"/>
          <w:lang w:val="en-GB"/>
        </w:rPr>
        <w:t xml:space="preserve">Further </w:t>
      </w:r>
      <w:r w:rsidR="008C52D8" w:rsidRPr="0072263E">
        <w:rPr>
          <w:rFonts w:ascii="Footlight MT Light" w:hAnsi="Footlight MT Light"/>
          <w:sz w:val="28"/>
          <w:szCs w:val="28"/>
          <w:lang w:val="en-GB"/>
        </w:rPr>
        <w:t xml:space="preserve">details are needed regarding the engagement - or otherwise - of some groups in forwarding the Grand Bargain commitments. These include the </w:t>
      </w:r>
      <w:r w:rsidR="00175C5C" w:rsidRPr="0072263E">
        <w:rPr>
          <w:rFonts w:ascii="Footlight MT Light" w:hAnsi="Footlight MT Light"/>
          <w:sz w:val="28"/>
          <w:szCs w:val="28"/>
          <w:lang w:val="en-GB"/>
        </w:rPr>
        <w:t>IASC</w:t>
      </w:r>
      <w:r w:rsidRPr="0072263E">
        <w:rPr>
          <w:rFonts w:ascii="Footlight MT Light" w:hAnsi="Footlight MT Light"/>
          <w:sz w:val="28"/>
          <w:szCs w:val="28"/>
          <w:lang w:val="en-GB"/>
        </w:rPr>
        <w:t xml:space="preserve"> Cash T</w:t>
      </w:r>
      <w:r w:rsidR="00301375" w:rsidRPr="0072263E">
        <w:rPr>
          <w:rFonts w:ascii="Footlight MT Light" w:hAnsi="Footlight MT Light"/>
          <w:sz w:val="28"/>
          <w:szCs w:val="28"/>
          <w:lang w:val="en-GB"/>
        </w:rPr>
        <w:t>ask Force</w:t>
      </w:r>
      <w:r w:rsidR="00B04FBB" w:rsidRPr="0072263E">
        <w:rPr>
          <w:rFonts w:ascii="Footlight MT Light" w:hAnsi="Footlight MT Light"/>
          <w:sz w:val="28"/>
          <w:szCs w:val="28"/>
          <w:lang w:val="en-GB"/>
        </w:rPr>
        <w:t>, the IASC Costing Sub-Group</w:t>
      </w:r>
      <w:r w:rsidR="008C52D8" w:rsidRPr="0072263E">
        <w:rPr>
          <w:rFonts w:ascii="Footlight MT Light" w:hAnsi="Footlight MT Light"/>
          <w:sz w:val="28"/>
          <w:szCs w:val="28"/>
          <w:lang w:val="en-GB"/>
        </w:rPr>
        <w:t>, the</w:t>
      </w:r>
      <w:r w:rsidR="00D5399E" w:rsidRPr="0072263E">
        <w:rPr>
          <w:rFonts w:ascii="Footlight MT Light" w:hAnsi="Footlight MT Light"/>
          <w:b/>
          <w:bCs/>
          <w:sz w:val="28"/>
          <w:szCs w:val="28"/>
          <w:lang w:val="en-GB"/>
        </w:rPr>
        <w:t xml:space="preserve"> </w:t>
      </w:r>
      <w:r w:rsidR="00D5399E" w:rsidRPr="0072263E">
        <w:rPr>
          <w:rFonts w:ascii="Footlight MT Light" w:hAnsi="Footlight MT Light"/>
          <w:sz w:val="28"/>
          <w:szCs w:val="28"/>
          <w:lang w:val="en-GB"/>
        </w:rPr>
        <w:t>informal Cash Working Group,</w:t>
      </w:r>
      <w:r w:rsidR="00D5399E" w:rsidRPr="0072263E">
        <w:rPr>
          <w:rFonts w:ascii="Footlight MT Light" w:hAnsi="Footlight MT Light"/>
          <w:b/>
          <w:bCs/>
          <w:sz w:val="28"/>
          <w:szCs w:val="28"/>
          <w:lang w:val="en-GB"/>
        </w:rPr>
        <w:t xml:space="preserve"> </w:t>
      </w:r>
      <w:r w:rsidR="008C52D8" w:rsidRPr="0072263E">
        <w:rPr>
          <w:rFonts w:ascii="Footlight MT Light" w:hAnsi="Footlight MT Light"/>
          <w:sz w:val="28"/>
          <w:szCs w:val="28"/>
          <w:lang w:val="en-GB"/>
        </w:rPr>
        <w:t>and the</w:t>
      </w:r>
      <w:r w:rsidR="008C52D8" w:rsidRPr="0072263E">
        <w:rPr>
          <w:rFonts w:ascii="Footlight MT Light" w:hAnsi="Footlight MT Light"/>
          <w:b/>
          <w:bCs/>
          <w:sz w:val="28"/>
          <w:szCs w:val="28"/>
          <w:lang w:val="en-GB"/>
        </w:rPr>
        <w:t xml:space="preserve"> </w:t>
      </w:r>
      <w:r w:rsidR="008C52D8" w:rsidRPr="0072263E">
        <w:rPr>
          <w:rFonts w:ascii="Footlight MT Light" w:hAnsi="Footlight MT Light"/>
          <w:sz w:val="28"/>
          <w:szCs w:val="28"/>
          <w:lang w:val="en-GB"/>
        </w:rPr>
        <w:t xml:space="preserve">IASC Task Force on Needs Assessments.  </w:t>
      </w:r>
    </w:p>
    <w:p w14:paraId="50A1D8F7" w14:textId="77777777" w:rsidR="00CA5B07" w:rsidRPr="00CA5B07" w:rsidRDefault="00CA5B07" w:rsidP="00CA5B07">
      <w:pPr>
        <w:pStyle w:val="ListParagraph"/>
        <w:rPr>
          <w:rFonts w:ascii="Footlight MT Light" w:hAnsi="Footlight MT Light"/>
          <w:sz w:val="28"/>
          <w:szCs w:val="28"/>
          <w:lang w:val="en-GB"/>
        </w:rPr>
      </w:pPr>
    </w:p>
    <w:p w14:paraId="413DC768" w14:textId="31E0FC35" w:rsidR="00CA5B07" w:rsidRPr="00CA5B07" w:rsidRDefault="00CA5B07" w:rsidP="00CA5B07">
      <w:pPr>
        <w:pStyle w:val="ListParagraph"/>
        <w:numPr>
          <w:ilvl w:val="0"/>
          <w:numId w:val="11"/>
        </w:numPr>
        <w:rPr>
          <w:rFonts w:ascii="Footlight MT Light" w:hAnsi="Footlight MT Light"/>
          <w:sz w:val="28"/>
          <w:szCs w:val="28"/>
          <w:lang w:val="en-GB"/>
        </w:rPr>
      </w:pPr>
      <w:r w:rsidRPr="00CA5B07">
        <w:rPr>
          <w:rFonts w:ascii="Footlight MT Light" w:hAnsi="Footlight MT Light"/>
          <w:sz w:val="28"/>
          <w:szCs w:val="28"/>
          <w:lang w:val="en-GB"/>
        </w:rPr>
        <w:t xml:space="preserve">There </w:t>
      </w:r>
      <w:proofErr w:type="gramStart"/>
      <w:r w:rsidRPr="00CA5B07">
        <w:rPr>
          <w:rFonts w:ascii="Footlight MT Light" w:hAnsi="Footlight MT Light"/>
          <w:sz w:val="28"/>
          <w:szCs w:val="28"/>
          <w:lang w:val="en-GB"/>
        </w:rPr>
        <w:t>have been recommendation</w:t>
      </w:r>
      <w:proofErr w:type="gramEnd"/>
      <w:r w:rsidRPr="00CA5B07">
        <w:rPr>
          <w:rFonts w:ascii="Footlight MT Light" w:hAnsi="Footlight MT Light"/>
          <w:sz w:val="28"/>
          <w:szCs w:val="28"/>
          <w:lang w:val="en-GB"/>
        </w:rPr>
        <w:t xml:space="preserve"> that the IASC Costing Sub-Group be expanded to include budget and finance experts with expertise in developing response plans at the country level.  </w:t>
      </w:r>
    </w:p>
    <w:p w14:paraId="20AEFD21" w14:textId="26012190" w:rsidR="008C52D8" w:rsidRPr="00CA5B07" w:rsidRDefault="008C52D8" w:rsidP="00526777">
      <w:pPr>
        <w:pStyle w:val="ListParagraph"/>
        <w:numPr>
          <w:ilvl w:val="0"/>
          <w:numId w:val="11"/>
        </w:numPr>
        <w:rPr>
          <w:rFonts w:ascii="Footlight MT Light" w:hAnsi="Footlight MT Light"/>
          <w:sz w:val="28"/>
          <w:szCs w:val="28"/>
          <w:lang w:val="en-GB"/>
        </w:rPr>
      </w:pPr>
      <w:r w:rsidRPr="00CA5B07">
        <w:rPr>
          <w:rFonts w:ascii="Footlight MT Light" w:hAnsi="Footlight MT Light"/>
          <w:sz w:val="28"/>
          <w:szCs w:val="28"/>
          <w:lang w:val="en-GB"/>
        </w:rPr>
        <w:lastRenderedPageBreak/>
        <w:t>The Cash Learning Partnership (</w:t>
      </w:r>
      <w:proofErr w:type="spellStart"/>
      <w:r w:rsidRPr="00CA5B07">
        <w:rPr>
          <w:rFonts w:ascii="Footlight MT Light" w:hAnsi="Footlight MT Light"/>
          <w:sz w:val="28"/>
          <w:szCs w:val="28"/>
          <w:lang w:val="en-GB"/>
        </w:rPr>
        <w:t>CaLP</w:t>
      </w:r>
      <w:proofErr w:type="spellEnd"/>
      <w:r w:rsidRPr="00CA5B07">
        <w:rPr>
          <w:rFonts w:ascii="Footlight MT Light" w:hAnsi="Footlight MT Light"/>
          <w:sz w:val="28"/>
          <w:szCs w:val="28"/>
          <w:lang w:val="en-GB"/>
        </w:rPr>
        <w:t>) has been very active in advancing the discussion</w:t>
      </w:r>
      <w:r w:rsidR="0072263E" w:rsidRPr="00CA5B07">
        <w:rPr>
          <w:rFonts w:ascii="Footlight MT Light" w:hAnsi="Footlight MT Light"/>
          <w:sz w:val="28"/>
          <w:szCs w:val="28"/>
          <w:lang w:val="en-GB"/>
        </w:rPr>
        <w:t xml:space="preserve"> on the cash transfer programming, referencing the 106 cash related commitments made at the WHS to argue the </w:t>
      </w:r>
      <w:r w:rsidR="00CA5B07" w:rsidRPr="00CA5B07">
        <w:rPr>
          <w:rFonts w:ascii="Footlight MT Light" w:hAnsi="Footlight MT Light"/>
          <w:sz w:val="28"/>
          <w:szCs w:val="28"/>
          <w:lang w:val="en-GB"/>
        </w:rPr>
        <w:t xml:space="preserve">case that </w:t>
      </w:r>
      <w:r w:rsidR="0072263E" w:rsidRPr="00CA5B07">
        <w:rPr>
          <w:rFonts w:ascii="Footlight MT Light" w:hAnsi="Footlight MT Light"/>
          <w:sz w:val="28"/>
          <w:szCs w:val="28"/>
          <w:lang w:val="en-GB"/>
        </w:rPr>
        <w:t xml:space="preserve">that cash assistance is an important component of the new aid architecture. </w:t>
      </w:r>
      <w:proofErr w:type="spellStart"/>
      <w:r w:rsidR="0072263E" w:rsidRPr="00CA5B07">
        <w:rPr>
          <w:rFonts w:ascii="Footlight MT Light" w:hAnsi="Footlight MT Light"/>
          <w:sz w:val="28"/>
          <w:szCs w:val="28"/>
          <w:lang w:val="en-GB"/>
        </w:rPr>
        <w:t>CaLP</w:t>
      </w:r>
      <w:proofErr w:type="spellEnd"/>
      <w:r w:rsidR="0072263E" w:rsidRPr="00CA5B07">
        <w:rPr>
          <w:rFonts w:ascii="Footlight MT Light" w:hAnsi="Footlight MT Light"/>
          <w:sz w:val="28"/>
          <w:szCs w:val="28"/>
          <w:lang w:val="en-GB"/>
        </w:rPr>
        <w:t xml:space="preserve"> will launch The State of the World of Cash initiative to s</w:t>
      </w:r>
      <w:r w:rsidR="00CA5B07" w:rsidRPr="00CA5B07">
        <w:rPr>
          <w:rFonts w:ascii="Footlight MT Light" w:hAnsi="Footlight MT Light"/>
          <w:sz w:val="28"/>
          <w:szCs w:val="28"/>
          <w:lang w:val="en-GB"/>
        </w:rPr>
        <w:t>upport the implementation of cash commitments and track its progress.</w:t>
      </w:r>
    </w:p>
    <w:p w14:paraId="74319FB2" w14:textId="77777777" w:rsidR="008C52D8" w:rsidRPr="00D5399E" w:rsidRDefault="008C52D8" w:rsidP="00D5399E">
      <w:pPr>
        <w:pStyle w:val="ListParagraph"/>
        <w:rPr>
          <w:rFonts w:ascii="Footlight MT Light" w:hAnsi="Footlight MT Light"/>
          <w:sz w:val="28"/>
          <w:szCs w:val="28"/>
          <w:lang w:val="en-GB"/>
        </w:rPr>
      </w:pPr>
    </w:p>
    <w:p w14:paraId="4B0277CB" w14:textId="20693ACF" w:rsidR="00CA5B07" w:rsidRPr="00CA5B07" w:rsidRDefault="00CA5B07" w:rsidP="00131304">
      <w:pPr>
        <w:ind w:left="786" w:hanging="360"/>
        <w:jc w:val="both"/>
        <w:rPr>
          <w:rFonts w:ascii="Footlight MT Light" w:hAnsi="Footlight MT Light"/>
          <w:b/>
          <w:bCs/>
          <w:sz w:val="28"/>
          <w:szCs w:val="28"/>
          <w:lang w:val="en-GB"/>
        </w:rPr>
      </w:pPr>
      <w:r w:rsidRPr="00CA5B07">
        <w:rPr>
          <w:rFonts w:ascii="Footlight MT Light" w:hAnsi="Footlight MT Light"/>
          <w:b/>
          <w:bCs/>
          <w:sz w:val="28"/>
          <w:szCs w:val="28"/>
          <w:lang w:val="en-GB"/>
        </w:rPr>
        <w:t>Some work</w:t>
      </w:r>
      <w:r w:rsidR="00131304">
        <w:rPr>
          <w:rFonts w:ascii="Footlight MT Light" w:hAnsi="Footlight MT Light"/>
          <w:b/>
          <w:bCs/>
          <w:sz w:val="28"/>
          <w:szCs w:val="28"/>
          <w:lang w:val="en-GB"/>
        </w:rPr>
        <w:t xml:space="preserve"> </w:t>
      </w:r>
      <w:r w:rsidRPr="00CA5B07">
        <w:rPr>
          <w:rFonts w:ascii="Footlight MT Light" w:hAnsi="Footlight MT Light"/>
          <w:b/>
          <w:bCs/>
          <w:sz w:val="28"/>
          <w:szCs w:val="28"/>
          <w:lang w:val="en-GB"/>
        </w:rPr>
        <w:t xml:space="preserve">stream specific questions: </w:t>
      </w:r>
    </w:p>
    <w:p w14:paraId="3A1337B2" w14:textId="77777777" w:rsidR="00CA5B07" w:rsidRPr="004151E6" w:rsidRDefault="00CA5B07" w:rsidP="00CA5B07">
      <w:pPr>
        <w:ind w:hanging="360"/>
        <w:jc w:val="both"/>
        <w:rPr>
          <w:rFonts w:ascii="Footlight MT Light" w:hAnsi="Footlight MT Light"/>
          <w:lang w:val="en-GB"/>
        </w:rPr>
      </w:pPr>
    </w:p>
    <w:p w14:paraId="38BA7D37" w14:textId="5C170804" w:rsidR="00CA5B07" w:rsidRDefault="00CA5B07" w:rsidP="00131304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  <w:lang w:val="en-GB"/>
        </w:rPr>
      </w:pPr>
      <w:r w:rsidRPr="00DB5E2A">
        <w:rPr>
          <w:rFonts w:ascii="Footlight MT Light" w:hAnsi="Footlight MT Light"/>
          <w:b/>
          <w:sz w:val="28"/>
          <w:szCs w:val="28"/>
          <w:lang w:val="en-GB"/>
        </w:rPr>
        <w:t>Transparency:</w:t>
      </w:r>
      <w:r w:rsidRPr="00DB5E2A">
        <w:rPr>
          <w:rFonts w:ascii="Footlight MT Light" w:hAnsi="Footlight MT Light"/>
          <w:sz w:val="28"/>
          <w:szCs w:val="28"/>
          <w:lang w:val="en-GB"/>
        </w:rPr>
        <w:t xml:space="preserve"> </w:t>
      </w:r>
      <w:r>
        <w:rPr>
          <w:rFonts w:ascii="Footlight MT Light" w:hAnsi="Footlight MT Light"/>
          <w:sz w:val="28"/>
          <w:szCs w:val="28"/>
          <w:lang w:val="en-GB"/>
        </w:rPr>
        <w:t>It is unclear h</w:t>
      </w:r>
      <w:r w:rsidRPr="004151E6">
        <w:rPr>
          <w:rFonts w:ascii="Footlight MT Light" w:hAnsi="Footlight MT Light"/>
          <w:sz w:val="28"/>
          <w:szCs w:val="28"/>
          <w:lang w:val="en-GB"/>
        </w:rPr>
        <w:t>ow th</w:t>
      </w:r>
      <w:r>
        <w:rPr>
          <w:rFonts w:ascii="Footlight MT Light" w:hAnsi="Footlight MT Light"/>
          <w:sz w:val="28"/>
          <w:szCs w:val="28"/>
          <w:lang w:val="en-GB"/>
        </w:rPr>
        <w:t xml:space="preserve">is </w:t>
      </w:r>
      <w:r w:rsidRPr="004151E6">
        <w:rPr>
          <w:rFonts w:ascii="Footlight MT Light" w:hAnsi="Footlight MT Light"/>
          <w:sz w:val="28"/>
          <w:szCs w:val="28"/>
          <w:lang w:val="en-GB"/>
        </w:rPr>
        <w:t>work</w:t>
      </w:r>
      <w:r w:rsidR="00131304">
        <w:rPr>
          <w:rFonts w:ascii="Footlight MT Light" w:hAnsi="Footlight MT Light"/>
          <w:sz w:val="28"/>
          <w:szCs w:val="28"/>
          <w:lang w:val="en-GB"/>
        </w:rPr>
        <w:t xml:space="preserve"> </w:t>
      </w:r>
      <w:r w:rsidRPr="004151E6">
        <w:rPr>
          <w:rFonts w:ascii="Footlight MT Light" w:hAnsi="Footlight MT Light"/>
          <w:sz w:val="28"/>
          <w:szCs w:val="28"/>
          <w:lang w:val="en-GB"/>
        </w:rPr>
        <w:t>stream will</w:t>
      </w:r>
      <w:r>
        <w:rPr>
          <w:rFonts w:ascii="Footlight MT Light" w:hAnsi="Footlight MT Light"/>
          <w:sz w:val="28"/>
          <w:szCs w:val="28"/>
          <w:lang w:val="en-GB"/>
        </w:rPr>
        <w:t xml:space="preserve"> contribute to </w:t>
      </w:r>
      <w:r w:rsidRPr="004151E6">
        <w:rPr>
          <w:rFonts w:ascii="Footlight MT Light" w:hAnsi="Footlight MT Light"/>
          <w:sz w:val="28"/>
          <w:szCs w:val="28"/>
          <w:lang w:val="en-GB"/>
        </w:rPr>
        <w:t>reduc</w:t>
      </w:r>
      <w:r>
        <w:rPr>
          <w:rFonts w:ascii="Footlight MT Light" w:hAnsi="Footlight MT Light"/>
          <w:sz w:val="28"/>
          <w:szCs w:val="28"/>
          <w:lang w:val="en-GB"/>
        </w:rPr>
        <w:t xml:space="preserve">ing the ‘burden’ </w:t>
      </w:r>
      <w:r w:rsidRPr="004151E6">
        <w:rPr>
          <w:rFonts w:ascii="Footlight MT Light" w:hAnsi="Footlight MT Light"/>
          <w:sz w:val="28"/>
          <w:szCs w:val="28"/>
          <w:lang w:val="en-GB"/>
        </w:rPr>
        <w:t>of donor reporting</w:t>
      </w:r>
      <w:r>
        <w:rPr>
          <w:rFonts w:ascii="Footlight MT Light" w:hAnsi="Footlight MT Light"/>
          <w:sz w:val="28"/>
          <w:szCs w:val="28"/>
          <w:lang w:val="en-GB"/>
        </w:rPr>
        <w:t xml:space="preserve">, </w:t>
      </w:r>
      <w:r w:rsidRPr="004151E6">
        <w:rPr>
          <w:rFonts w:ascii="Footlight MT Light" w:hAnsi="Footlight MT Light"/>
          <w:sz w:val="28"/>
          <w:szCs w:val="28"/>
          <w:lang w:val="en-GB"/>
        </w:rPr>
        <w:t xml:space="preserve">and </w:t>
      </w:r>
      <w:r>
        <w:rPr>
          <w:rFonts w:ascii="Footlight MT Light" w:hAnsi="Footlight MT Light"/>
          <w:sz w:val="28"/>
          <w:szCs w:val="28"/>
          <w:lang w:val="en-GB"/>
        </w:rPr>
        <w:t xml:space="preserve">how it will support the </w:t>
      </w:r>
      <w:r w:rsidRPr="004151E6">
        <w:rPr>
          <w:rFonts w:ascii="Footlight MT Light" w:hAnsi="Footlight MT Light"/>
          <w:sz w:val="28"/>
          <w:szCs w:val="28"/>
          <w:lang w:val="en-GB"/>
        </w:rPr>
        <w:t>invest</w:t>
      </w:r>
      <w:r>
        <w:rPr>
          <w:rFonts w:ascii="Footlight MT Light" w:hAnsi="Footlight MT Light"/>
          <w:sz w:val="28"/>
          <w:szCs w:val="28"/>
          <w:lang w:val="en-GB"/>
        </w:rPr>
        <w:t xml:space="preserve">ment </w:t>
      </w:r>
      <w:r w:rsidRPr="004151E6">
        <w:rPr>
          <w:rFonts w:ascii="Footlight MT Light" w:hAnsi="Footlight MT Light"/>
          <w:sz w:val="28"/>
          <w:szCs w:val="28"/>
          <w:lang w:val="en-GB"/>
        </w:rPr>
        <w:t xml:space="preserve">in </w:t>
      </w:r>
      <w:r>
        <w:rPr>
          <w:rFonts w:ascii="Footlight MT Light" w:hAnsi="Footlight MT Light"/>
          <w:sz w:val="28"/>
          <w:szCs w:val="28"/>
          <w:lang w:val="en-GB"/>
        </w:rPr>
        <w:t xml:space="preserve">partner capacity to </w:t>
      </w:r>
      <w:r w:rsidRPr="004151E6">
        <w:rPr>
          <w:rFonts w:ascii="Footlight MT Light" w:hAnsi="Footlight MT Light"/>
          <w:sz w:val="28"/>
          <w:szCs w:val="28"/>
          <w:lang w:val="en-GB"/>
        </w:rPr>
        <w:t>publish data.</w:t>
      </w:r>
      <w:r w:rsidR="00961F1C">
        <w:rPr>
          <w:rFonts w:ascii="Footlight MT Light" w:hAnsi="Footlight MT Light"/>
          <w:sz w:val="28"/>
          <w:szCs w:val="28"/>
          <w:lang w:val="en-GB"/>
        </w:rPr>
        <w:t xml:space="preserve"> (IATI’s Senior Business &amp; Data Analyst and Development Initiatives are convening a workshop </w:t>
      </w:r>
      <w:r w:rsidR="00131304">
        <w:rPr>
          <w:rFonts w:ascii="Footlight MT Light" w:hAnsi="Footlight MT Light"/>
          <w:sz w:val="28"/>
          <w:szCs w:val="28"/>
          <w:lang w:val="en-GB"/>
        </w:rPr>
        <w:t xml:space="preserve">at the end of </w:t>
      </w:r>
      <w:r w:rsidR="00961F1C">
        <w:rPr>
          <w:rFonts w:ascii="Footlight MT Light" w:hAnsi="Footlight MT Light"/>
          <w:sz w:val="28"/>
          <w:szCs w:val="28"/>
          <w:lang w:val="en-GB"/>
        </w:rPr>
        <w:t xml:space="preserve">March </w:t>
      </w:r>
      <w:r w:rsidR="00131304">
        <w:rPr>
          <w:rFonts w:ascii="Footlight MT Light" w:hAnsi="Footlight MT Light"/>
          <w:sz w:val="28"/>
          <w:szCs w:val="28"/>
          <w:lang w:val="en-GB"/>
        </w:rPr>
        <w:t xml:space="preserve">focused on the Grand Bargain </w:t>
      </w:r>
      <w:r w:rsidR="00961F1C">
        <w:rPr>
          <w:rFonts w:ascii="Footlight MT Light" w:hAnsi="Footlight MT Light"/>
          <w:sz w:val="28"/>
          <w:szCs w:val="28"/>
          <w:lang w:val="en-GB"/>
        </w:rPr>
        <w:t>work stream on transparency.)</w:t>
      </w:r>
    </w:p>
    <w:p w14:paraId="47486C06" w14:textId="77777777" w:rsidR="00FD09F3" w:rsidRPr="00FD09F3" w:rsidRDefault="00FD09F3" w:rsidP="00FD09F3">
      <w:pPr>
        <w:ind w:left="360"/>
        <w:rPr>
          <w:rFonts w:ascii="Footlight MT Light" w:hAnsi="Footlight MT Light"/>
          <w:sz w:val="28"/>
          <w:szCs w:val="28"/>
          <w:lang w:val="en-GB"/>
        </w:rPr>
      </w:pPr>
    </w:p>
    <w:p w14:paraId="656271FB" w14:textId="77777777" w:rsidR="00CA5B07" w:rsidRDefault="00CA5B07" w:rsidP="00CA5B07">
      <w:pPr>
        <w:pStyle w:val="ListParagraph"/>
        <w:numPr>
          <w:ilvl w:val="0"/>
          <w:numId w:val="1"/>
        </w:numPr>
        <w:ind w:left="720"/>
        <w:rPr>
          <w:rFonts w:ascii="Footlight MT Light" w:hAnsi="Footlight MT Light"/>
          <w:sz w:val="28"/>
          <w:szCs w:val="28"/>
          <w:lang w:val="en-GB"/>
        </w:rPr>
      </w:pPr>
      <w:r w:rsidRPr="00DB5E2A">
        <w:rPr>
          <w:rFonts w:ascii="Footlight MT Light" w:hAnsi="Footlight MT Light"/>
          <w:b/>
          <w:color w:val="000000" w:themeColor="text1"/>
          <w:sz w:val="28"/>
          <w:szCs w:val="28"/>
          <w:lang w:val="en-GB"/>
        </w:rPr>
        <w:t>Local and National Responders:</w:t>
      </w:r>
      <w:r w:rsidRPr="00DB5E2A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 </w:t>
      </w:r>
      <w:r w:rsidRPr="00DB5E2A">
        <w:rPr>
          <w:rFonts w:ascii="Footlight MT Light" w:hAnsi="Footlight MT Light"/>
          <w:sz w:val="28"/>
          <w:szCs w:val="28"/>
          <w:lang w:val="en-GB"/>
        </w:rPr>
        <w:t>Who will be following up the Grand Bargain commitments to incorporate capacity strengthening in partnership agreements? Will the 25% target be addressed collectively, or only individually?</w:t>
      </w:r>
      <w:r>
        <w:rPr>
          <w:rFonts w:ascii="Footlight MT Light" w:hAnsi="Footlight MT Light"/>
          <w:sz w:val="28"/>
          <w:szCs w:val="28"/>
          <w:lang w:val="en-GB"/>
        </w:rPr>
        <w:t xml:space="preserve"> Will consensus on the definition of a local actor, interpretation of ‘as directly as possible’ when referring to direct funding, and agreement on the tracking of funding flows be forthcoming through the development of a localisation marker? </w:t>
      </w:r>
    </w:p>
    <w:p w14:paraId="09B542D6" w14:textId="77777777" w:rsidR="00FD09F3" w:rsidRPr="00FD09F3" w:rsidRDefault="00FD09F3" w:rsidP="00FD09F3">
      <w:pPr>
        <w:ind w:left="360"/>
        <w:rPr>
          <w:rFonts w:ascii="Footlight MT Light" w:hAnsi="Footlight MT Light"/>
          <w:sz w:val="28"/>
          <w:szCs w:val="28"/>
          <w:lang w:val="en-GB"/>
        </w:rPr>
      </w:pPr>
    </w:p>
    <w:p w14:paraId="318EC090" w14:textId="3512BD88" w:rsidR="00FD09F3" w:rsidRPr="00FD09F3" w:rsidRDefault="00CA5B07" w:rsidP="00131304">
      <w:pPr>
        <w:pStyle w:val="ListParagraph"/>
        <w:numPr>
          <w:ilvl w:val="0"/>
          <w:numId w:val="7"/>
        </w:numPr>
        <w:ind w:left="709"/>
        <w:rPr>
          <w:rFonts w:ascii="Footlight MT Light" w:hAnsi="Footlight MT Light"/>
          <w:b/>
          <w:sz w:val="28"/>
          <w:szCs w:val="28"/>
          <w:lang w:val="en-GB"/>
        </w:rPr>
      </w:pPr>
      <w:r w:rsidRPr="00FD09F3">
        <w:rPr>
          <w:rFonts w:ascii="Footlight MT Light" w:hAnsi="Footlight MT Light"/>
          <w:b/>
          <w:color w:val="000000" w:themeColor="text1"/>
          <w:sz w:val="28"/>
          <w:szCs w:val="28"/>
          <w:lang w:val="en-GB"/>
        </w:rPr>
        <w:t xml:space="preserve">Cash-based programming: </w:t>
      </w:r>
      <w:r w:rsidR="00FD09F3">
        <w:rPr>
          <w:rFonts w:ascii="Footlight MT Light" w:hAnsi="Footlight MT Light"/>
          <w:b/>
          <w:color w:val="000000" w:themeColor="text1"/>
          <w:sz w:val="28"/>
          <w:szCs w:val="28"/>
          <w:lang w:val="en-GB"/>
        </w:rPr>
        <w:t xml:space="preserve"> </w:t>
      </w:r>
      <w:r w:rsidR="00FD09F3">
        <w:rPr>
          <w:rFonts w:ascii="Footlight MT Light" w:hAnsi="Footlight MT Light"/>
          <w:sz w:val="28"/>
          <w:szCs w:val="28"/>
          <w:lang w:val="en-GB"/>
        </w:rPr>
        <w:t>The I</w:t>
      </w:r>
      <w:r w:rsidRPr="00FD09F3">
        <w:rPr>
          <w:rFonts w:ascii="Footlight MT Light" w:hAnsi="Footlight MT Light"/>
          <w:sz w:val="28"/>
          <w:szCs w:val="28"/>
          <w:lang w:val="en-GB"/>
        </w:rPr>
        <w:t>nformal Cash Working Group and IASC Costing Sub-Group</w:t>
      </w:r>
      <w:r w:rsidR="00FD09F3">
        <w:rPr>
          <w:rFonts w:ascii="Footlight MT Light" w:hAnsi="Footlight MT Light"/>
          <w:sz w:val="28"/>
          <w:szCs w:val="28"/>
          <w:lang w:val="en-GB"/>
        </w:rPr>
        <w:t xml:space="preserve"> had sought to </w:t>
      </w:r>
      <w:r w:rsidRPr="00FD09F3">
        <w:rPr>
          <w:rFonts w:ascii="Footlight MT Light" w:hAnsi="Footlight MT Light"/>
          <w:sz w:val="28"/>
          <w:szCs w:val="28"/>
          <w:lang w:val="en-GB"/>
        </w:rPr>
        <w:t>explore options for a light, incremental approach</w:t>
      </w:r>
      <w:r w:rsidR="00FD09F3">
        <w:rPr>
          <w:rFonts w:ascii="Footlight MT Light" w:hAnsi="Footlight MT Light"/>
          <w:sz w:val="28"/>
          <w:szCs w:val="28"/>
          <w:lang w:val="en-GB"/>
        </w:rPr>
        <w:t xml:space="preserve"> to cash-based programming, </w:t>
      </w:r>
      <w:r w:rsidRPr="00FD09F3">
        <w:rPr>
          <w:rFonts w:ascii="Footlight MT Light" w:hAnsi="Footlight MT Light"/>
          <w:sz w:val="28"/>
          <w:szCs w:val="28"/>
          <w:lang w:val="en-GB"/>
        </w:rPr>
        <w:t>building on field analysis and lessons learned from current and previous costing approaches, and testing of different methodologies</w:t>
      </w:r>
      <w:r w:rsidR="00FD09F3">
        <w:rPr>
          <w:rFonts w:ascii="Footlight MT Light" w:hAnsi="Footlight MT Light"/>
          <w:sz w:val="28"/>
          <w:szCs w:val="28"/>
          <w:lang w:val="en-GB"/>
        </w:rPr>
        <w:t xml:space="preserve">, </w:t>
      </w:r>
      <w:r w:rsidRPr="00FD09F3">
        <w:rPr>
          <w:rFonts w:ascii="Footlight MT Light" w:hAnsi="Footlight MT Light"/>
          <w:sz w:val="28"/>
          <w:szCs w:val="28"/>
          <w:lang w:val="en-GB"/>
        </w:rPr>
        <w:t>initially through a table top simulation exercise</w:t>
      </w:r>
      <w:r w:rsidR="00FD09F3">
        <w:rPr>
          <w:rFonts w:ascii="Footlight MT Light" w:hAnsi="Footlight MT Light"/>
          <w:sz w:val="28"/>
          <w:szCs w:val="28"/>
          <w:lang w:val="en-GB"/>
        </w:rPr>
        <w:t>. It is unclear whether there has been significant progress with this initiative.</w:t>
      </w:r>
      <w:r w:rsidR="00131304">
        <w:rPr>
          <w:rFonts w:ascii="Footlight MT Light" w:hAnsi="Footlight MT Light"/>
          <w:sz w:val="28"/>
          <w:szCs w:val="28"/>
          <w:lang w:val="en-GB"/>
        </w:rPr>
        <w:t xml:space="preserve"> </w:t>
      </w:r>
      <w:r w:rsidR="00FD09F3">
        <w:rPr>
          <w:rFonts w:ascii="Footlight MT Light" w:hAnsi="Footlight MT Light"/>
          <w:sz w:val="28"/>
          <w:szCs w:val="28"/>
          <w:lang w:val="en-GB"/>
        </w:rPr>
        <w:t>And will a</w:t>
      </w:r>
      <w:r w:rsidR="00FD09F3" w:rsidRPr="00FD09F3">
        <w:rPr>
          <w:rFonts w:ascii="Footlight MT Light" w:hAnsi="Footlight MT Light"/>
          <w:sz w:val="28"/>
          <w:szCs w:val="28"/>
          <w:lang w:val="en-GB"/>
        </w:rPr>
        <w:t xml:space="preserve">dditional reporting on cash contributions undermine attempts to simplify and harmonize system-wide reporting?  </w:t>
      </w:r>
    </w:p>
    <w:p w14:paraId="644624E8" w14:textId="77777777" w:rsidR="00FD09F3" w:rsidRPr="00FD09F3" w:rsidRDefault="00FD09F3" w:rsidP="00FD09F3">
      <w:pPr>
        <w:ind w:left="349"/>
        <w:jc w:val="both"/>
        <w:rPr>
          <w:rFonts w:ascii="Footlight MT Light" w:hAnsi="Footlight MT Light"/>
          <w:b/>
          <w:sz w:val="28"/>
          <w:szCs w:val="28"/>
          <w:lang w:val="en-GB"/>
        </w:rPr>
      </w:pPr>
    </w:p>
    <w:p w14:paraId="1A6D6516" w14:textId="2DA316EE" w:rsidR="00CA5B07" w:rsidRDefault="00CA5B07" w:rsidP="00123722">
      <w:pPr>
        <w:pStyle w:val="ListParagraph"/>
        <w:numPr>
          <w:ilvl w:val="0"/>
          <w:numId w:val="2"/>
        </w:numPr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</w:pPr>
      <w:r w:rsidRPr="00540CA1">
        <w:rPr>
          <w:rFonts w:ascii="Footlight MT Light" w:hAnsi="Footlight MT Light"/>
          <w:b/>
          <w:color w:val="000000" w:themeColor="text1"/>
          <w:sz w:val="28"/>
          <w:szCs w:val="28"/>
          <w:lang w:val="en-GB"/>
        </w:rPr>
        <w:t>Duplication and Management Costs:</w:t>
      </w:r>
      <w:r w:rsidRPr="00540CA1">
        <w:rPr>
          <w:rFonts w:ascii="Footlight MT Light" w:hAnsi="Footlight MT Light"/>
          <w:b/>
          <w:color w:val="000000" w:themeColor="text1"/>
          <w:sz w:val="22"/>
          <w:szCs w:val="22"/>
          <w:lang w:val="en-GB"/>
        </w:rPr>
        <w:t xml:space="preserve"> </w:t>
      </w:r>
      <w:r w:rsidRPr="00FD09F3">
        <w:rPr>
          <w:rFonts w:ascii="Footlight MT Light" w:hAnsi="Footlight MT Light"/>
          <w:sz w:val="28"/>
          <w:szCs w:val="28"/>
          <w:lang w:val="en-GB"/>
        </w:rPr>
        <w:t>What is happening to follow-up the commitment to “provide transparent and comparable cost structures by the end of 2017”</w:t>
      </w:r>
      <w:r w:rsidR="007F2F29">
        <w:rPr>
          <w:rFonts w:ascii="Footlight MT Light" w:hAnsi="Footlight MT Light"/>
          <w:sz w:val="28"/>
          <w:szCs w:val="28"/>
          <w:lang w:val="en-GB"/>
        </w:rPr>
        <w:t xml:space="preserve"> And if there any role for the Working Group in advancing this commitment? </w:t>
      </w:r>
      <w:r w:rsidRPr="00FD09F3">
        <w:rPr>
          <w:rFonts w:ascii="Footlight MT Light" w:hAnsi="Footlight MT Light"/>
          <w:sz w:val="28"/>
          <w:szCs w:val="28"/>
          <w:lang w:val="en-GB"/>
        </w:rPr>
        <w:t>The</w:t>
      </w:r>
      <w:r w:rsidRPr="00FD09F3">
        <w:rPr>
          <w:rFonts w:ascii="Footlight MT Light" w:hAnsi="Footlight MT Light"/>
          <w:b/>
          <w:color w:val="000000" w:themeColor="text1"/>
          <w:sz w:val="28"/>
          <w:szCs w:val="28"/>
          <w:lang w:val="en-GB"/>
        </w:rPr>
        <w:t xml:space="preserve"> </w:t>
      </w:r>
      <w:r w:rsidRPr="00FD09F3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HFTT is commissioning a study to explore options for partner capacity assessments to become more inter-operable in some country contexts</w:t>
      </w:r>
      <w:r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. </w:t>
      </w:r>
      <w:r w:rsidR="00131304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(</w:t>
      </w:r>
      <w:r w:rsidR="007F2F2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In their capacities as co-convenors of this work</w:t>
      </w:r>
      <w:r w:rsidR="00131304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 </w:t>
      </w:r>
      <w:r w:rsidR="007F2F2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stream, UNHCR and the Government of Japan hosted a workshop on 23 March t</w:t>
      </w:r>
      <w:r w:rsid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hat discussed reducing individual donor assessments; harmonization of partnership arrangements and cost structures; joint procurement and the options for increased efficiencies through technology and innovation</w:t>
      </w:r>
      <w:r w:rsidR="00123722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.</w:t>
      </w:r>
      <w:r w:rsidR="00131304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)</w:t>
      </w:r>
      <w:r w:rsid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    </w:t>
      </w:r>
      <w:r w:rsidR="007F2F2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 </w:t>
      </w:r>
    </w:p>
    <w:p w14:paraId="0C6AB8FC" w14:textId="77777777" w:rsidR="00FD09F3" w:rsidRPr="00FD09F3" w:rsidRDefault="00FD09F3" w:rsidP="00FD09F3">
      <w:pPr>
        <w:ind w:left="360"/>
        <w:rPr>
          <w:rFonts w:ascii="Footlight MT Light" w:hAnsi="Footlight MT Light"/>
          <w:bCs/>
          <w:sz w:val="22"/>
          <w:szCs w:val="22"/>
          <w:u w:val="single"/>
          <w:lang w:val="en-GB"/>
        </w:rPr>
      </w:pPr>
    </w:p>
    <w:p w14:paraId="71CBAFF1" w14:textId="2BF0193C" w:rsidR="00CA5B07" w:rsidRPr="00126669" w:rsidRDefault="00CA5B07" w:rsidP="00131304">
      <w:pPr>
        <w:pStyle w:val="ListParagraph"/>
        <w:numPr>
          <w:ilvl w:val="0"/>
          <w:numId w:val="3"/>
        </w:numPr>
        <w:rPr>
          <w:rFonts w:ascii="Footlight MT Light" w:hAnsi="Footlight MT Light"/>
          <w:bCs/>
          <w:sz w:val="22"/>
          <w:szCs w:val="22"/>
          <w:lang w:val="en-GB"/>
        </w:rPr>
      </w:pPr>
      <w:r w:rsidRPr="00540CA1">
        <w:rPr>
          <w:rFonts w:ascii="Footlight MT Light" w:hAnsi="Footlight MT Light"/>
          <w:b/>
          <w:color w:val="000000" w:themeColor="text1"/>
          <w:sz w:val="28"/>
          <w:szCs w:val="28"/>
          <w:lang w:val="en-GB"/>
        </w:rPr>
        <w:lastRenderedPageBreak/>
        <w:t xml:space="preserve">Needs Assessments: </w:t>
      </w:r>
      <w:r w:rsidR="00126669" w:rsidRP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Cl</w:t>
      </w:r>
      <w:r w:rsid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arity on the </w:t>
      </w:r>
      <w:r w:rsidRP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status of the </w:t>
      </w:r>
      <w:r w:rsid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IASC </w:t>
      </w:r>
      <w:r w:rsidRP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Task Force on </w:t>
      </w:r>
      <w:r w:rsid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N</w:t>
      </w:r>
      <w:r w:rsidRP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eeds </w:t>
      </w:r>
      <w:r w:rsid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As</w:t>
      </w:r>
      <w:r w:rsidRP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sessment w</w:t>
      </w:r>
      <w:r w:rsid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ould be useful. Some discussions around this work</w:t>
      </w:r>
      <w:r w:rsidR="00131304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 </w:t>
      </w:r>
      <w:r w:rsid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stream activity have </w:t>
      </w:r>
      <w:r w:rsidR="003E4805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suggested that one ‘global’ joint needs </w:t>
      </w:r>
      <w:r w:rsid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assessment </w:t>
      </w:r>
      <w:r w:rsidR="003E4805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is unable to meet the objectives of all the actors in the ground. Instead in dynamic and evolving contexts multiple agile, multi-level and multi-timeframe assessments are more useful.    </w:t>
      </w:r>
      <w:r w:rsidR="00126669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 xml:space="preserve">   </w:t>
      </w:r>
    </w:p>
    <w:p w14:paraId="28FB5071" w14:textId="77777777" w:rsidR="00FD09F3" w:rsidRPr="00FD09F3" w:rsidRDefault="00FD09F3" w:rsidP="00FD09F3">
      <w:pPr>
        <w:ind w:left="360"/>
        <w:rPr>
          <w:rFonts w:ascii="Footlight MT Light" w:hAnsi="Footlight MT Light"/>
          <w:bCs/>
          <w:sz w:val="22"/>
          <w:szCs w:val="22"/>
          <w:u w:val="single"/>
          <w:lang w:val="en-GB"/>
        </w:rPr>
      </w:pPr>
    </w:p>
    <w:p w14:paraId="2E299E2C" w14:textId="611C2546" w:rsidR="00CA5B07" w:rsidRPr="003E4805" w:rsidRDefault="00CA5B07" w:rsidP="006C595C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  <w:lang w:val="en-GB"/>
        </w:rPr>
      </w:pPr>
      <w:r w:rsidRPr="006A586F">
        <w:rPr>
          <w:rFonts w:ascii="Footlight MT Light" w:hAnsi="Footlight MT Light"/>
          <w:b/>
          <w:sz w:val="28"/>
          <w:szCs w:val="28"/>
          <w:lang w:val="en-GB"/>
        </w:rPr>
        <w:t>Participation</w:t>
      </w:r>
      <w:r w:rsidR="006C595C">
        <w:rPr>
          <w:rFonts w:ascii="Footlight MT Light" w:hAnsi="Footlight MT Light"/>
          <w:b/>
          <w:sz w:val="28"/>
          <w:szCs w:val="28"/>
          <w:lang w:val="en-GB"/>
        </w:rPr>
        <w:t xml:space="preserve"> </w:t>
      </w:r>
      <w:r w:rsidRPr="006A586F">
        <w:rPr>
          <w:rFonts w:ascii="Footlight MT Light" w:hAnsi="Footlight MT Light"/>
          <w:b/>
          <w:sz w:val="28"/>
          <w:szCs w:val="28"/>
          <w:lang w:val="en-GB"/>
        </w:rPr>
        <w:t xml:space="preserve">Revolution: </w:t>
      </w:r>
      <w:r w:rsidR="006C595C">
        <w:rPr>
          <w:rFonts w:ascii="Footlight MT Light" w:hAnsi="Footlight MT Light"/>
          <w:sz w:val="28"/>
          <w:szCs w:val="28"/>
          <w:lang w:val="en-GB"/>
        </w:rPr>
        <w:t xml:space="preserve">There is some uncertainty regarding what the </w:t>
      </w:r>
      <w:r w:rsidRPr="003E4805">
        <w:rPr>
          <w:rFonts w:ascii="Footlight MT Light" w:hAnsi="Footlight MT Light"/>
          <w:sz w:val="28"/>
          <w:szCs w:val="28"/>
          <w:lang w:val="en-GB"/>
        </w:rPr>
        <w:t xml:space="preserve">Theory of Change </w:t>
      </w:r>
      <w:r w:rsidR="006C595C">
        <w:rPr>
          <w:rFonts w:ascii="Footlight MT Light" w:hAnsi="Footlight MT Light"/>
          <w:sz w:val="28"/>
          <w:szCs w:val="28"/>
          <w:lang w:val="en-GB"/>
        </w:rPr>
        <w:t xml:space="preserve">is </w:t>
      </w:r>
      <w:r w:rsidRPr="003E4805">
        <w:rPr>
          <w:rFonts w:ascii="Footlight MT Light" w:hAnsi="Footlight MT Light"/>
          <w:sz w:val="28"/>
          <w:szCs w:val="28"/>
          <w:lang w:val="en-GB"/>
        </w:rPr>
        <w:t>meant to accomplish, and who is leading and spearheading this area of focus?</w:t>
      </w:r>
    </w:p>
    <w:p w14:paraId="12EBFD75" w14:textId="77777777" w:rsidR="00FD09F3" w:rsidRPr="003E4805" w:rsidRDefault="00FD09F3" w:rsidP="00FD09F3">
      <w:pPr>
        <w:pStyle w:val="ListParagraph"/>
        <w:rPr>
          <w:rFonts w:ascii="Footlight MT Light" w:hAnsi="Footlight MT Light"/>
          <w:sz w:val="28"/>
          <w:szCs w:val="28"/>
          <w:lang w:val="en-GB"/>
        </w:rPr>
      </w:pPr>
    </w:p>
    <w:p w14:paraId="0DA5CDF0" w14:textId="714548F8" w:rsidR="00CA5B07" w:rsidRPr="006C595C" w:rsidRDefault="00CA5B07" w:rsidP="006C595C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  <w:lang w:val="en-GB"/>
        </w:rPr>
      </w:pPr>
      <w:r w:rsidRPr="002267F7">
        <w:rPr>
          <w:rFonts w:ascii="Footlight MT Light" w:hAnsi="Footlight MT Light"/>
          <w:b/>
          <w:color w:val="000000" w:themeColor="text1"/>
          <w:sz w:val="28"/>
          <w:szCs w:val="28"/>
          <w:lang w:val="en-GB"/>
        </w:rPr>
        <w:t>Multi-Year planning and funding</w:t>
      </w:r>
      <w:r w:rsidRPr="006C595C">
        <w:rPr>
          <w:rFonts w:ascii="Footlight MT Light" w:hAnsi="Footlight MT Light"/>
          <w:bCs/>
          <w:color w:val="000000" w:themeColor="text1"/>
          <w:sz w:val="28"/>
          <w:szCs w:val="28"/>
          <w:lang w:val="en-GB"/>
        </w:rPr>
        <w:t>:</w:t>
      </w:r>
      <w:r w:rsidRPr="006C595C">
        <w:rPr>
          <w:rFonts w:ascii="Footlight MT Light" w:hAnsi="Footlight MT Light"/>
          <w:sz w:val="28"/>
          <w:szCs w:val="28"/>
          <w:lang w:val="en-GB"/>
        </w:rPr>
        <w:t xml:space="preserve"> Is there</w:t>
      </w:r>
      <w:r w:rsidR="006C595C">
        <w:rPr>
          <w:rFonts w:ascii="Footlight MT Light" w:hAnsi="Footlight MT Light"/>
          <w:sz w:val="28"/>
          <w:szCs w:val="28"/>
          <w:lang w:val="en-GB"/>
        </w:rPr>
        <w:t xml:space="preserve"> </w:t>
      </w:r>
      <w:r w:rsidRPr="006C595C">
        <w:rPr>
          <w:rFonts w:ascii="Footlight MT Light" w:hAnsi="Footlight MT Light"/>
          <w:sz w:val="28"/>
          <w:szCs w:val="28"/>
          <w:lang w:val="en-GB"/>
        </w:rPr>
        <w:t xml:space="preserve">sufficient enough </w:t>
      </w:r>
      <w:proofErr w:type="spellStart"/>
      <w:r w:rsidR="006C595C">
        <w:rPr>
          <w:rFonts w:ascii="Footlight MT Light" w:hAnsi="Footlight MT Light"/>
          <w:sz w:val="28"/>
          <w:szCs w:val="28"/>
          <w:lang w:val="en-GB"/>
        </w:rPr>
        <w:t>ongoing</w:t>
      </w:r>
      <w:proofErr w:type="spellEnd"/>
      <w:r w:rsidR="006C595C">
        <w:rPr>
          <w:rFonts w:ascii="Footlight MT Light" w:hAnsi="Footlight MT Light"/>
          <w:sz w:val="28"/>
          <w:szCs w:val="28"/>
          <w:lang w:val="en-GB"/>
        </w:rPr>
        <w:t xml:space="preserve"> </w:t>
      </w:r>
      <w:r w:rsidRPr="006C595C">
        <w:rPr>
          <w:rFonts w:ascii="Footlight MT Light" w:hAnsi="Footlight MT Light"/>
          <w:sz w:val="28"/>
          <w:szCs w:val="28"/>
          <w:lang w:val="en-GB"/>
        </w:rPr>
        <w:t xml:space="preserve">activity to provide the </w:t>
      </w:r>
      <w:r w:rsidR="006C595C">
        <w:rPr>
          <w:rFonts w:ascii="Footlight MT Light" w:hAnsi="Footlight MT Light"/>
          <w:sz w:val="28"/>
          <w:szCs w:val="28"/>
          <w:lang w:val="en-GB"/>
        </w:rPr>
        <w:t>research and e</w:t>
      </w:r>
      <w:r w:rsidRPr="006C595C">
        <w:rPr>
          <w:rFonts w:ascii="Footlight MT Light" w:hAnsi="Footlight MT Light"/>
          <w:sz w:val="28"/>
          <w:szCs w:val="28"/>
          <w:lang w:val="en-GB"/>
        </w:rPr>
        <w:t xml:space="preserve">vidence </w:t>
      </w:r>
      <w:r w:rsidR="006C595C">
        <w:rPr>
          <w:rFonts w:ascii="Footlight MT Light" w:hAnsi="Footlight MT Light"/>
          <w:sz w:val="28"/>
          <w:szCs w:val="28"/>
          <w:lang w:val="en-GB"/>
        </w:rPr>
        <w:t xml:space="preserve">to substantiate the </w:t>
      </w:r>
      <w:r w:rsidRPr="006C595C">
        <w:rPr>
          <w:rFonts w:ascii="Footlight MT Light" w:hAnsi="Footlight MT Light"/>
          <w:sz w:val="28"/>
          <w:szCs w:val="28"/>
          <w:lang w:val="en-GB"/>
        </w:rPr>
        <w:t xml:space="preserve">benefits of multi-year funding? </w:t>
      </w:r>
    </w:p>
    <w:p w14:paraId="0B55EBB3" w14:textId="77777777" w:rsidR="006C595C" w:rsidRPr="006C595C" w:rsidRDefault="006C595C" w:rsidP="006C595C">
      <w:pPr>
        <w:pStyle w:val="ListParagraph"/>
        <w:rPr>
          <w:rFonts w:ascii="Footlight MT Light" w:hAnsi="Footlight MT Light"/>
          <w:sz w:val="28"/>
          <w:szCs w:val="28"/>
          <w:lang w:val="en-GB"/>
        </w:rPr>
      </w:pPr>
    </w:p>
    <w:p w14:paraId="2CDA1C66" w14:textId="275B8933" w:rsidR="00CA5B07" w:rsidRPr="005A0BEF" w:rsidRDefault="00CA5B07" w:rsidP="00131304">
      <w:pPr>
        <w:pStyle w:val="ListParagraph"/>
        <w:numPr>
          <w:ilvl w:val="0"/>
          <w:numId w:val="3"/>
        </w:numPr>
        <w:rPr>
          <w:rFonts w:ascii="Footlight MT Light" w:hAnsi="Footlight MT Light"/>
          <w:b/>
          <w:sz w:val="28"/>
          <w:szCs w:val="28"/>
          <w:lang w:val="en-GB"/>
        </w:rPr>
      </w:pPr>
      <w:r w:rsidRPr="006A586F">
        <w:rPr>
          <w:rFonts w:ascii="Footlight MT Light" w:hAnsi="Footlight MT Light"/>
          <w:b/>
          <w:sz w:val="28"/>
          <w:szCs w:val="28"/>
          <w:lang w:val="en-GB"/>
        </w:rPr>
        <w:t>Earmarking:</w:t>
      </w:r>
      <w:r w:rsidRPr="006A586F">
        <w:rPr>
          <w:rFonts w:ascii="Footlight MT Light" w:hAnsi="Footlight MT Light"/>
          <w:b/>
          <w:color w:val="548DD4" w:themeColor="text2" w:themeTint="99"/>
          <w:sz w:val="28"/>
          <w:szCs w:val="28"/>
          <w:lang w:val="en-GB"/>
        </w:rPr>
        <w:t xml:space="preserve"> </w:t>
      </w:r>
      <w:r w:rsidRPr="006C595C">
        <w:rPr>
          <w:rFonts w:ascii="Footlight MT Light" w:hAnsi="Footlight MT Light"/>
          <w:bCs/>
          <w:sz w:val="28"/>
          <w:szCs w:val="28"/>
          <w:lang w:val="en-GB"/>
        </w:rPr>
        <w:t xml:space="preserve">There appears to be </w:t>
      </w:r>
      <w:r w:rsidR="006C595C">
        <w:rPr>
          <w:rFonts w:ascii="Footlight MT Light" w:hAnsi="Footlight MT Light"/>
          <w:bCs/>
          <w:sz w:val="28"/>
          <w:szCs w:val="28"/>
          <w:lang w:val="en-GB"/>
        </w:rPr>
        <w:t xml:space="preserve">‘spotted’ activity within the IASC to </w:t>
      </w:r>
      <w:r w:rsidRPr="006C595C">
        <w:rPr>
          <w:rFonts w:ascii="Footlight MT Light" w:hAnsi="Footlight MT Light"/>
          <w:bCs/>
          <w:sz w:val="28"/>
          <w:szCs w:val="28"/>
          <w:lang w:val="en-GB"/>
        </w:rPr>
        <w:t>explore the reduction of donor earmarking</w:t>
      </w:r>
      <w:r w:rsidR="006C595C">
        <w:rPr>
          <w:rFonts w:ascii="Footlight MT Light" w:hAnsi="Footlight MT Light"/>
          <w:bCs/>
          <w:sz w:val="28"/>
          <w:szCs w:val="28"/>
          <w:lang w:val="en-GB"/>
        </w:rPr>
        <w:t>. (</w:t>
      </w:r>
      <w:r w:rsidR="005A0BEF">
        <w:rPr>
          <w:rFonts w:ascii="Footlight MT Light" w:hAnsi="Footlight MT Light"/>
          <w:bCs/>
          <w:sz w:val="28"/>
          <w:szCs w:val="28"/>
          <w:lang w:val="en-GB"/>
        </w:rPr>
        <w:t>The c</w:t>
      </w:r>
      <w:r w:rsidR="006C595C">
        <w:rPr>
          <w:rFonts w:ascii="Footlight MT Light" w:hAnsi="Footlight MT Light"/>
          <w:bCs/>
          <w:sz w:val="28"/>
          <w:szCs w:val="28"/>
          <w:lang w:val="en-GB"/>
        </w:rPr>
        <w:t>o-convenors of the Grand Bargain work</w:t>
      </w:r>
      <w:r w:rsidR="00131304">
        <w:rPr>
          <w:rFonts w:ascii="Footlight MT Light" w:hAnsi="Footlight MT Light"/>
          <w:bCs/>
          <w:sz w:val="28"/>
          <w:szCs w:val="28"/>
          <w:lang w:val="en-GB"/>
        </w:rPr>
        <w:t xml:space="preserve"> </w:t>
      </w:r>
      <w:r w:rsidR="006C595C">
        <w:rPr>
          <w:rFonts w:ascii="Footlight MT Light" w:hAnsi="Footlight MT Light"/>
          <w:bCs/>
          <w:sz w:val="28"/>
          <w:szCs w:val="28"/>
          <w:lang w:val="en-GB"/>
        </w:rPr>
        <w:t xml:space="preserve">stream dedicated to working on reducing donor earmarking – ICRC and Sweden </w:t>
      </w:r>
      <w:r w:rsidR="005A0BEF">
        <w:rPr>
          <w:rFonts w:ascii="Footlight MT Light" w:hAnsi="Footlight MT Light"/>
          <w:bCs/>
          <w:sz w:val="28"/>
          <w:szCs w:val="28"/>
          <w:lang w:val="en-GB"/>
        </w:rPr>
        <w:t>–</w:t>
      </w:r>
      <w:r w:rsidR="006C595C">
        <w:rPr>
          <w:rFonts w:ascii="Footlight MT Light" w:hAnsi="Footlight MT Light"/>
          <w:bCs/>
          <w:sz w:val="28"/>
          <w:szCs w:val="28"/>
          <w:lang w:val="en-GB"/>
        </w:rPr>
        <w:t xml:space="preserve"> </w:t>
      </w:r>
      <w:r w:rsidR="00131304">
        <w:rPr>
          <w:rFonts w:ascii="Footlight MT Light" w:hAnsi="Footlight MT Light"/>
          <w:bCs/>
          <w:sz w:val="28"/>
          <w:szCs w:val="28"/>
          <w:lang w:val="en-GB"/>
        </w:rPr>
        <w:t xml:space="preserve">will </w:t>
      </w:r>
      <w:r w:rsidR="00517B15">
        <w:rPr>
          <w:rFonts w:ascii="Footlight MT Light" w:hAnsi="Footlight MT Light"/>
          <w:bCs/>
          <w:sz w:val="28"/>
          <w:szCs w:val="28"/>
          <w:lang w:val="en-GB"/>
        </w:rPr>
        <w:t>facilitat</w:t>
      </w:r>
      <w:r w:rsidR="00131304">
        <w:rPr>
          <w:rFonts w:ascii="Footlight MT Light" w:hAnsi="Footlight MT Light"/>
          <w:bCs/>
          <w:sz w:val="28"/>
          <w:szCs w:val="28"/>
          <w:lang w:val="en-GB"/>
        </w:rPr>
        <w:t>e a workshop in the coming weeks.)</w:t>
      </w:r>
      <w:r w:rsidR="005A0BEF" w:rsidRPr="005A0BEF">
        <w:rPr>
          <w:rFonts w:ascii="Footlight MT Light" w:hAnsi="Footlight MT Light"/>
          <w:b/>
          <w:sz w:val="28"/>
          <w:szCs w:val="28"/>
          <w:lang w:val="en-GB"/>
        </w:rPr>
        <w:t xml:space="preserve">  </w:t>
      </w:r>
      <w:r w:rsidR="006C595C" w:rsidRPr="005A0BEF">
        <w:rPr>
          <w:rFonts w:ascii="Footlight MT Light" w:hAnsi="Footlight MT Light"/>
          <w:b/>
          <w:sz w:val="28"/>
          <w:szCs w:val="28"/>
          <w:lang w:val="en-GB"/>
        </w:rPr>
        <w:t xml:space="preserve">     </w:t>
      </w:r>
    </w:p>
    <w:p w14:paraId="2CCEEA68" w14:textId="77777777" w:rsidR="006C595C" w:rsidRPr="006C595C" w:rsidRDefault="006C595C" w:rsidP="006C595C">
      <w:pPr>
        <w:pStyle w:val="ListParagraph"/>
        <w:rPr>
          <w:rFonts w:ascii="Footlight MT Light" w:hAnsi="Footlight MT Light"/>
          <w:bCs/>
          <w:sz w:val="28"/>
          <w:szCs w:val="28"/>
          <w:lang w:val="en-GB"/>
        </w:rPr>
      </w:pPr>
    </w:p>
    <w:p w14:paraId="6188E526" w14:textId="6DAF6416" w:rsidR="00123722" w:rsidRPr="005A0BEF" w:rsidRDefault="00CA5B07" w:rsidP="00123722">
      <w:pPr>
        <w:pStyle w:val="ListParagraph"/>
        <w:numPr>
          <w:ilvl w:val="0"/>
          <w:numId w:val="3"/>
        </w:numPr>
        <w:rPr>
          <w:rFonts w:ascii="Footlight MT Light" w:hAnsi="Footlight MT Light"/>
          <w:sz w:val="22"/>
          <w:szCs w:val="22"/>
          <w:lang w:val="en-GB"/>
        </w:rPr>
      </w:pPr>
      <w:r w:rsidRPr="00123722">
        <w:rPr>
          <w:rFonts w:ascii="Footlight MT Light" w:hAnsi="Footlight MT Light"/>
          <w:b/>
          <w:sz w:val="28"/>
          <w:szCs w:val="28"/>
          <w:lang w:val="en-GB"/>
        </w:rPr>
        <w:t>Harmonized and simplified reporting requirements:</w:t>
      </w:r>
      <w:r w:rsidRPr="00123722">
        <w:rPr>
          <w:rFonts w:ascii="Footlight MT Light" w:hAnsi="Footlight MT Light"/>
          <w:sz w:val="28"/>
          <w:szCs w:val="28"/>
          <w:lang w:val="en-GB"/>
        </w:rPr>
        <w:t xml:space="preserve"> Are there linkages being made between </w:t>
      </w:r>
      <w:r w:rsidR="005A0BEF" w:rsidRPr="00123722">
        <w:rPr>
          <w:rFonts w:ascii="Footlight MT Light" w:hAnsi="Footlight MT Light"/>
          <w:sz w:val="28"/>
          <w:szCs w:val="28"/>
          <w:lang w:val="en-GB"/>
        </w:rPr>
        <w:t xml:space="preserve">this </w:t>
      </w:r>
      <w:r w:rsidRPr="00123722">
        <w:rPr>
          <w:rFonts w:ascii="Footlight MT Light" w:hAnsi="Footlight MT Light"/>
          <w:sz w:val="28"/>
          <w:szCs w:val="28"/>
          <w:lang w:val="en-GB"/>
        </w:rPr>
        <w:t xml:space="preserve">work-steam and </w:t>
      </w:r>
      <w:r w:rsidR="005A0BEF" w:rsidRPr="00123722">
        <w:rPr>
          <w:rFonts w:ascii="Footlight MT Light" w:hAnsi="Footlight MT Light"/>
          <w:sz w:val="28"/>
          <w:szCs w:val="28"/>
          <w:lang w:val="en-GB"/>
        </w:rPr>
        <w:t xml:space="preserve">other subsidiary bodies whose work also encompasses </w:t>
      </w:r>
      <w:r w:rsidRPr="00123722">
        <w:rPr>
          <w:rFonts w:ascii="Footlight MT Light" w:hAnsi="Footlight MT Light"/>
          <w:sz w:val="28"/>
          <w:szCs w:val="28"/>
          <w:lang w:val="en-GB"/>
        </w:rPr>
        <w:t>transparency and reducing management costs</w:t>
      </w:r>
      <w:r w:rsidR="005A0BEF" w:rsidRPr="00123722">
        <w:rPr>
          <w:rFonts w:ascii="Footlight MT Light" w:hAnsi="Footlight MT Light"/>
          <w:sz w:val="28"/>
          <w:szCs w:val="28"/>
          <w:lang w:val="en-GB"/>
        </w:rPr>
        <w:t xml:space="preserve"> elements</w:t>
      </w:r>
      <w:r w:rsidRPr="00123722">
        <w:rPr>
          <w:rFonts w:ascii="Footlight MT Light" w:hAnsi="Footlight MT Light"/>
          <w:sz w:val="28"/>
          <w:szCs w:val="28"/>
          <w:lang w:val="en-GB"/>
        </w:rPr>
        <w:t>?</w:t>
      </w:r>
      <w:r w:rsidR="005A0BEF" w:rsidRPr="00123722">
        <w:rPr>
          <w:rFonts w:ascii="Footlight MT Light" w:hAnsi="Footlight MT Light"/>
          <w:sz w:val="28"/>
          <w:szCs w:val="28"/>
          <w:lang w:val="en-GB"/>
        </w:rPr>
        <w:t xml:space="preserve"> </w:t>
      </w:r>
    </w:p>
    <w:p w14:paraId="3BBFD55B" w14:textId="77777777" w:rsidR="00123722" w:rsidRPr="00123722" w:rsidRDefault="00123722" w:rsidP="00123722">
      <w:pPr>
        <w:pStyle w:val="ListParagraph"/>
        <w:rPr>
          <w:rFonts w:ascii="Footlight MT Light" w:hAnsi="Footlight MT Light"/>
          <w:sz w:val="22"/>
          <w:szCs w:val="22"/>
          <w:lang w:val="en-GB"/>
        </w:rPr>
      </w:pPr>
    </w:p>
    <w:p w14:paraId="3E96EFF5" w14:textId="22F4305F" w:rsidR="00CA5B07" w:rsidRPr="00131304" w:rsidRDefault="00CA5B07" w:rsidP="0027235C">
      <w:pPr>
        <w:pStyle w:val="ListParagraph"/>
        <w:numPr>
          <w:ilvl w:val="0"/>
          <w:numId w:val="3"/>
        </w:numPr>
        <w:rPr>
          <w:rFonts w:ascii="Footlight MT Light" w:hAnsi="Footlight MT Light" w:cstheme="minorHAnsi"/>
          <w:bCs/>
          <w:sz w:val="22"/>
          <w:szCs w:val="22"/>
          <w:lang w:val="en-GB"/>
        </w:rPr>
      </w:pPr>
      <w:r w:rsidRPr="00131304">
        <w:rPr>
          <w:rFonts w:ascii="Footlight MT Light" w:hAnsi="Footlight MT Light"/>
          <w:b/>
          <w:sz w:val="28"/>
          <w:szCs w:val="28"/>
          <w:lang w:val="en-GB"/>
        </w:rPr>
        <w:t xml:space="preserve">Strengthening engagement between humanitarian and development actors: </w:t>
      </w:r>
      <w:r w:rsidR="00131304" w:rsidRPr="00131304">
        <w:rPr>
          <w:rFonts w:ascii="Footlight MT Light" w:hAnsi="Footlight MT Light"/>
          <w:bCs/>
          <w:sz w:val="28"/>
          <w:szCs w:val="28"/>
          <w:lang w:val="en-GB"/>
        </w:rPr>
        <w:t xml:space="preserve">What is the role of IASC subsidiary bodies </w:t>
      </w:r>
      <w:r w:rsidR="00131304">
        <w:rPr>
          <w:rFonts w:ascii="Footlight MT Light" w:hAnsi="Footlight MT Light"/>
          <w:bCs/>
          <w:sz w:val="28"/>
          <w:szCs w:val="28"/>
          <w:lang w:val="en-GB"/>
        </w:rPr>
        <w:t xml:space="preserve">in ensuring a joint approach of the UN humanitarian and development systems to respond </w:t>
      </w:r>
      <w:r w:rsidR="0027235C">
        <w:rPr>
          <w:rFonts w:ascii="Footlight MT Light" w:hAnsi="Footlight MT Light"/>
          <w:bCs/>
          <w:sz w:val="28"/>
          <w:szCs w:val="28"/>
          <w:lang w:val="en-GB"/>
        </w:rPr>
        <w:t xml:space="preserve">- for instance – to crisis in current feminine-affected countries? How can the IASC spearhead efforts that deliver both life-saving, shorter term interventions and those longer term interventions that support resilience against future shocks? </w:t>
      </w:r>
    </w:p>
    <w:p w14:paraId="3F805A41" w14:textId="77777777" w:rsidR="00CA5B07" w:rsidRDefault="00CA5B07" w:rsidP="00131304">
      <w:pPr>
        <w:ind w:left="993" w:hanging="142"/>
        <w:rPr>
          <w:rFonts w:ascii="Footlight MT Light" w:hAnsi="Footlight MT Light"/>
          <w:sz w:val="22"/>
          <w:szCs w:val="22"/>
          <w:lang w:val="en-GB"/>
        </w:rPr>
      </w:pPr>
    </w:p>
    <w:p w14:paraId="0CF07040" w14:textId="77777777" w:rsidR="0027235C" w:rsidRDefault="0027235C" w:rsidP="00961F1C">
      <w:pPr>
        <w:jc w:val="both"/>
        <w:rPr>
          <w:rFonts w:ascii="Footlight MT Light" w:hAnsi="Footlight MT Light"/>
          <w:b/>
          <w:bCs/>
          <w:sz w:val="28"/>
          <w:szCs w:val="28"/>
          <w:lang w:val="en-GB"/>
        </w:rPr>
      </w:pPr>
    </w:p>
    <w:p w14:paraId="1DBD6BFE" w14:textId="5D83E78A" w:rsidR="00CD7DC4" w:rsidRPr="00961F1C" w:rsidRDefault="00961F1C" w:rsidP="00961F1C">
      <w:pPr>
        <w:jc w:val="both"/>
        <w:rPr>
          <w:rFonts w:ascii="Footlight MT Light" w:hAnsi="Footlight MT Light"/>
          <w:b/>
          <w:bCs/>
          <w:sz w:val="28"/>
          <w:szCs w:val="28"/>
          <w:lang w:val="en-GB"/>
        </w:rPr>
      </w:pPr>
      <w:r w:rsidRPr="00961F1C">
        <w:rPr>
          <w:rFonts w:ascii="Footlight MT Light" w:hAnsi="Footlight MT Light"/>
          <w:b/>
          <w:bCs/>
          <w:sz w:val="28"/>
          <w:szCs w:val="28"/>
          <w:lang w:val="en-GB"/>
        </w:rPr>
        <w:t xml:space="preserve">More generic Grand Bargain-related questions: </w:t>
      </w:r>
      <w:r w:rsidR="00CD7DC4" w:rsidRPr="00961F1C">
        <w:rPr>
          <w:rFonts w:ascii="Footlight MT Light" w:hAnsi="Footlight MT Light"/>
          <w:b/>
          <w:bCs/>
          <w:sz w:val="28"/>
          <w:szCs w:val="28"/>
          <w:lang w:val="en-GB"/>
        </w:rPr>
        <w:t xml:space="preserve"> </w:t>
      </w:r>
    </w:p>
    <w:p w14:paraId="3C03CA60" w14:textId="77777777" w:rsidR="008D12AD" w:rsidRDefault="008D12AD" w:rsidP="0078200B">
      <w:pPr>
        <w:jc w:val="both"/>
        <w:rPr>
          <w:rFonts w:ascii="Footlight MT Light" w:hAnsi="Footlight MT Light"/>
          <w:sz w:val="28"/>
          <w:szCs w:val="28"/>
          <w:lang w:val="en-GB"/>
        </w:rPr>
      </w:pPr>
    </w:p>
    <w:p w14:paraId="0F52C76D" w14:textId="37EBBC15" w:rsidR="002267F7" w:rsidRPr="00517B15" w:rsidRDefault="00CD7DC4" w:rsidP="00517B15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  <w:lang w:val="en-GB"/>
        </w:rPr>
      </w:pPr>
      <w:r w:rsidRPr="008D12AD">
        <w:rPr>
          <w:rFonts w:ascii="Footlight MT Light" w:hAnsi="Footlight MT Light"/>
          <w:sz w:val="28"/>
          <w:szCs w:val="28"/>
          <w:lang w:val="en-GB"/>
        </w:rPr>
        <w:t xml:space="preserve">How </w:t>
      </w:r>
      <w:r w:rsidR="008D12AD" w:rsidRPr="008D12AD">
        <w:rPr>
          <w:rFonts w:ascii="Footlight MT Light" w:hAnsi="Footlight MT Light"/>
          <w:sz w:val="28"/>
          <w:szCs w:val="28"/>
          <w:lang w:val="en-GB"/>
        </w:rPr>
        <w:t xml:space="preserve">is the </w:t>
      </w:r>
      <w:r w:rsidRPr="008D12AD">
        <w:rPr>
          <w:rFonts w:ascii="Footlight MT Light" w:hAnsi="Footlight MT Light"/>
          <w:sz w:val="28"/>
          <w:szCs w:val="28"/>
          <w:lang w:val="en-GB"/>
        </w:rPr>
        <w:t xml:space="preserve">work of each particular subsidiary body </w:t>
      </w:r>
      <w:r w:rsidR="008D12AD" w:rsidRPr="008D12AD">
        <w:rPr>
          <w:rFonts w:ascii="Footlight MT Light" w:hAnsi="Footlight MT Light"/>
          <w:sz w:val="28"/>
          <w:szCs w:val="28"/>
          <w:lang w:val="en-GB"/>
        </w:rPr>
        <w:t xml:space="preserve">to be measured given that the focus of </w:t>
      </w:r>
      <w:r w:rsidRPr="008D12AD">
        <w:rPr>
          <w:rFonts w:ascii="Footlight MT Light" w:hAnsi="Footlight MT Light"/>
          <w:sz w:val="28"/>
          <w:szCs w:val="28"/>
          <w:lang w:val="en-GB"/>
        </w:rPr>
        <w:t>engagement may deliver greater impact at a capital</w:t>
      </w:r>
      <w:r w:rsidR="008D12AD">
        <w:rPr>
          <w:rFonts w:ascii="Footlight MT Light" w:hAnsi="Footlight MT Light"/>
          <w:sz w:val="28"/>
          <w:szCs w:val="28"/>
          <w:lang w:val="en-GB"/>
        </w:rPr>
        <w:t xml:space="preserve">, as opposed to a field </w:t>
      </w:r>
      <w:r w:rsidRPr="008D12AD">
        <w:rPr>
          <w:rFonts w:ascii="Footlight MT Light" w:hAnsi="Footlight MT Light"/>
          <w:sz w:val="28"/>
          <w:szCs w:val="28"/>
          <w:lang w:val="en-GB"/>
        </w:rPr>
        <w:t xml:space="preserve">level, </w:t>
      </w:r>
      <w:r w:rsidR="008D12AD">
        <w:rPr>
          <w:rFonts w:ascii="Footlight MT Light" w:hAnsi="Footlight MT Light"/>
          <w:sz w:val="28"/>
          <w:szCs w:val="28"/>
          <w:lang w:val="en-GB"/>
        </w:rPr>
        <w:t xml:space="preserve">and </w:t>
      </w:r>
      <w:r w:rsidRPr="008D12AD">
        <w:rPr>
          <w:rFonts w:ascii="Footlight MT Light" w:hAnsi="Footlight MT Light"/>
          <w:sz w:val="28"/>
          <w:szCs w:val="28"/>
          <w:lang w:val="en-GB"/>
        </w:rPr>
        <w:t xml:space="preserve">vice versa? </w:t>
      </w:r>
      <w:r w:rsidR="00F02306" w:rsidRPr="008D12AD">
        <w:rPr>
          <w:rFonts w:ascii="Footlight MT Light" w:hAnsi="Footlight MT Light"/>
          <w:sz w:val="28"/>
          <w:szCs w:val="28"/>
          <w:lang w:val="en-GB"/>
        </w:rPr>
        <w:t>Are there agreed benchmarks and indicators to measure progress</w:t>
      </w:r>
      <w:r w:rsidR="00517B15">
        <w:rPr>
          <w:rFonts w:ascii="Footlight MT Light" w:hAnsi="Footlight MT Light"/>
          <w:sz w:val="28"/>
          <w:szCs w:val="28"/>
          <w:lang w:val="en-GB"/>
        </w:rPr>
        <w:t xml:space="preserve">, </w:t>
      </w:r>
      <w:r w:rsidR="008D12AD">
        <w:rPr>
          <w:rFonts w:ascii="Footlight MT Light" w:hAnsi="Footlight MT Light"/>
          <w:sz w:val="28"/>
          <w:szCs w:val="28"/>
          <w:lang w:val="en-GB"/>
        </w:rPr>
        <w:t>which will necessarily be sequenced and progressive</w:t>
      </w:r>
      <w:r w:rsidR="00517B15">
        <w:rPr>
          <w:rFonts w:ascii="Footlight MT Light" w:hAnsi="Footlight MT Light"/>
          <w:sz w:val="28"/>
          <w:szCs w:val="28"/>
          <w:lang w:val="en-GB"/>
        </w:rPr>
        <w:t xml:space="preserve">? </w:t>
      </w:r>
      <w:r w:rsidR="00517B15" w:rsidRPr="00517B15">
        <w:rPr>
          <w:rFonts w:ascii="Footlight MT Light" w:hAnsi="Footlight MT Light"/>
          <w:sz w:val="28"/>
          <w:szCs w:val="28"/>
          <w:lang w:val="en-GB"/>
        </w:rPr>
        <w:t xml:space="preserve">Can existing measurement tools be </w:t>
      </w:r>
      <w:r w:rsidR="002267F7" w:rsidRPr="00517B15">
        <w:rPr>
          <w:rFonts w:ascii="Footlight MT Light" w:hAnsi="Footlight MT Light"/>
          <w:sz w:val="28"/>
          <w:szCs w:val="28"/>
          <w:lang w:val="en-GB"/>
        </w:rPr>
        <w:t>utilized</w:t>
      </w:r>
      <w:r w:rsidR="00517B15" w:rsidRPr="00517B15">
        <w:rPr>
          <w:rFonts w:ascii="Footlight MT Light" w:hAnsi="Footlight MT Light"/>
          <w:sz w:val="28"/>
          <w:szCs w:val="28"/>
          <w:lang w:val="en-GB"/>
        </w:rPr>
        <w:t xml:space="preserve">, </w:t>
      </w:r>
      <w:r w:rsidR="002267F7" w:rsidRPr="00517B15">
        <w:rPr>
          <w:rFonts w:ascii="Footlight MT Light" w:hAnsi="Footlight MT Light"/>
          <w:sz w:val="28"/>
          <w:szCs w:val="28"/>
          <w:lang w:val="en-GB"/>
        </w:rPr>
        <w:t>or</w:t>
      </w:r>
      <w:r w:rsidR="00517B15" w:rsidRPr="00517B15">
        <w:rPr>
          <w:rFonts w:ascii="Footlight MT Light" w:hAnsi="Footlight MT Light"/>
          <w:sz w:val="28"/>
          <w:szCs w:val="28"/>
          <w:lang w:val="en-GB"/>
        </w:rPr>
        <w:t xml:space="preserve"> can new tools be d</w:t>
      </w:r>
      <w:r w:rsidR="002267F7" w:rsidRPr="00517B15">
        <w:rPr>
          <w:rFonts w:ascii="Footlight MT Light" w:hAnsi="Footlight MT Light"/>
          <w:sz w:val="28"/>
          <w:szCs w:val="28"/>
          <w:lang w:val="en-GB"/>
        </w:rPr>
        <w:t>eveloped without creating complex new coordination systems</w:t>
      </w:r>
      <w:r w:rsidR="008D12AD" w:rsidRPr="00517B15">
        <w:rPr>
          <w:rFonts w:ascii="Footlight MT Light" w:hAnsi="Footlight MT Light"/>
          <w:sz w:val="28"/>
          <w:szCs w:val="28"/>
          <w:lang w:val="en-GB"/>
        </w:rPr>
        <w:t>?</w:t>
      </w:r>
      <w:r w:rsidR="002267F7" w:rsidRPr="00517B15">
        <w:rPr>
          <w:rFonts w:ascii="Footlight MT Light" w:hAnsi="Footlight MT Light"/>
          <w:sz w:val="28"/>
          <w:szCs w:val="28"/>
          <w:lang w:val="en-GB"/>
        </w:rPr>
        <w:t xml:space="preserve"> </w:t>
      </w:r>
      <w:r w:rsidR="00D5399E" w:rsidRPr="00517B15">
        <w:rPr>
          <w:rFonts w:ascii="Footlight MT Light" w:hAnsi="Footlight MT Light"/>
          <w:sz w:val="28"/>
          <w:szCs w:val="28"/>
          <w:lang w:val="en-GB"/>
        </w:rPr>
        <w:t>Is there some flexibility to refine indicators against which to measure progress and definitions of ‘success</w:t>
      </w:r>
      <w:r w:rsidR="00517B15">
        <w:rPr>
          <w:rFonts w:ascii="Footlight MT Light" w:hAnsi="Footlight MT Light"/>
          <w:sz w:val="28"/>
          <w:szCs w:val="28"/>
          <w:lang w:val="en-GB"/>
        </w:rPr>
        <w:t>?</w:t>
      </w:r>
      <w:r w:rsidR="00D5399E" w:rsidRPr="00517B15">
        <w:rPr>
          <w:rFonts w:ascii="Footlight MT Light" w:hAnsi="Footlight MT Light"/>
          <w:sz w:val="28"/>
          <w:szCs w:val="28"/>
          <w:lang w:val="en-GB"/>
        </w:rPr>
        <w:t xml:space="preserve">’ </w:t>
      </w:r>
    </w:p>
    <w:p w14:paraId="47503FAF" w14:textId="77777777" w:rsidR="002267F7" w:rsidRPr="002267F7" w:rsidRDefault="002267F7" w:rsidP="002267F7">
      <w:pPr>
        <w:ind w:left="360"/>
        <w:rPr>
          <w:rFonts w:ascii="Footlight MT Light" w:hAnsi="Footlight MT Light"/>
          <w:sz w:val="28"/>
          <w:szCs w:val="28"/>
          <w:lang w:val="en-GB"/>
        </w:rPr>
      </w:pPr>
    </w:p>
    <w:p w14:paraId="34401224" w14:textId="20EEF6CF" w:rsidR="00F02306" w:rsidRPr="008D12AD" w:rsidRDefault="008D12AD" w:rsidP="000940B1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  <w:lang w:val="en-GB"/>
        </w:rPr>
      </w:pPr>
      <w:r w:rsidRPr="008D12AD">
        <w:rPr>
          <w:rFonts w:ascii="Footlight MT Light" w:hAnsi="Footlight MT Light"/>
          <w:sz w:val="28"/>
          <w:szCs w:val="28"/>
          <w:lang w:val="en-GB"/>
        </w:rPr>
        <w:t xml:space="preserve">Does the IASC Working Group recommend narrowing down some of the activities of the subsidiary bodies to a very concrete set of objectives? </w:t>
      </w:r>
      <w:r w:rsidRPr="008D12AD">
        <w:rPr>
          <w:rFonts w:ascii="Footlight MT Light" w:hAnsi="Footlight MT Light"/>
          <w:sz w:val="28"/>
          <w:szCs w:val="28"/>
          <w:lang w:val="en-GB"/>
        </w:rPr>
        <w:lastRenderedPageBreak/>
        <w:t xml:space="preserve">Are some of the subsidiary bodies’ work-plans too broad and unmanageable?  </w:t>
      </w:r>
    </w:p>
    <w:p w14:paraId="4E7DE611" w14:textId="25585C56" w:rsidR="00E76835" w:rsidRDefault="00CD7DC4" w:rsidP="008D12AD">
      <w:pPr>
        <w:rPr>
          <w:rFonts w:ascii="Footlight MT Light" w:hAnsi="Footlight MT Light"/>
          <w:sz w:val="28"/>
          <w:szCs w:val="28"/>
          <w:lang w:val="en-GB"/>
        </w:rPr>
      </w:pPr>
      <w:r>
        <w:rPr>
          <w:rFonts w:ascii="Footlight MT Light" w:hAnsi="Footlight MT Light"/>
          <w:sz w:val="28"/>
          <w:szCs w:val="28"/>
          <w:lang w:val="en-GB"/>
        </w:rPr>
        <w:t xml:space="preserve"> </w:t>
      </w:r>
    </w:p>
    <w:p w14:paraId="4768CD18" w14:textId="2ACE3E64" w:rsidR="00123722" w:rsidRPr="00961F1C" w:rsidRDefault="00123722" w:rsidP="00123722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  <w:lang w:val="en-GB"/>
        </w:rPr>
      </w:pPr>
      <w:r>
        <w:rPr>
          <w:rFonts w:ascii="Footlight MT Light" w:hAnsi="Footlight MT Light"/>
          <w:sz w:val="28"/>
          <w:szCs w:val="28"/>
          <w:lang w:val="en-GB"/>
        </w:rPr>
        <w:t xml:space="preserve">Is there sufficient enough activity focused on narrowing the funding gap and deepening the available pool of resources that was the initial </w:t>
      </w:r>
      <w:r w:rsidRPr="00961F1C">
        <w:rPr>
          <w:rFonts w:ascii="Footlight MT Light" w:hAnsi="Footlight MT Light"/>
          <w:sz w:val="28"/>
          <w:szCs w:val="28"/>
          <w:lang w:val="en-GB"/>
        </w:rPr>
        <w:t>starting point of the G</w:t>
      </w:r>
      <w:r>
        <w:rPr>
          <w:rFonts w:ascii="Footlight MT Light" w:hAnsi="Footlight MT Light"/>
          <w:sz w:val="28"/>
          <w:szCs w:val="28"/>
          <w:lang w:val="en-GB"/>
        </w:rPr>
        <w:t xml:space="preserve">rand Bargain discussions? </w:t>
      </w:r>
    </w:p>
    <w:p w14:paraId="1DB51810" w14:textId="77777777" w:rsidR="00123722" w:rsidRDefault="00123722" w:rsidP="00123722">
      <w:pPr>
        <w:rPr>
          <w:rFonts w:ascii="Footlight MT Light" w:hAnsi="Footlight MT Light"/>
          <w:sz w:val="28"/>
          <w:szCs w:val="28"/>
          <w:lang w:val="en-GB"/>
        </w:rPr>
      </w:pPr>
    </w:p>
    <w:p w14:paraId="06E4B0D7" w14:textId="34F8F15C" w:rsidR="00CD7DC4" w:rsidRPr="004151E6" w:rsidRDefault="00E16C1F" w:rsidP="00123722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  <w:lang w:val="en-GB"/>
        </w:rPr>
      </w:pPr>
      <w:r w:rsidRPr="004151E6">
        <w:rPr>
          <w:rFonts w:ascii="Footlight MT Light" w:hAnsi="Footlight MT Light"/>
          <w:sz w:val="28"/>
          <w:szCs w:val="28"/>
          <w:lang w:val="en-GB"/>
        </w:rPr>
        <w:t xml:space="preserve">Where </w:t>
      </w:r>
      <w:r w:rsidR="008D12AD" w:rsidRPr="004151E6">
        <w:rPr>
          <w:rFonts w:ascii="Footlight MT Light" w:hAnsi="Footlight MT Light"/>
          <w:sz w:val="28"/>
          <w:szCs w:val="28"/>
          <w:lang w:val="en-GB"/>
        </w:rPr>
        <w:t>does the strongest added value of the subsidiary body collective lie, and realistically</w:t>
      </w:r>
      <w:r w:rsidR="004151E6" w:rsidRPr="004151E6">
        <w:rPr>
          <w:rFonts w:ascii="Footlight MT Light" w:hAnsi="Footlight MT Light"/>
          <w:sz w:val="28"/>
          <w:szCs w:val="28"/>
          <w:lang w:val="en-GB"/>
        </w:rPr>
        <w:t xml:space="preserve"> how long might it be anticipated before the </w:t>
      </w:r>
      <w:r w:rsidRPr="004151E6">
        <w:rPr>
          <w:rFonts w:ascii="Footlight MT Light" w:hAnsi="Footlight MT Light"/>
          <w:sz w:val="28"/>
          <w:szCs w:val="28"/>
          <w:lang w:val="en-GB"/>
        </w:rPr>
        <w:t>Grand Bargain leaves a footprint?</w:t>
      </w:r>
    </w:p>
    <w:p w14:paraId="4D5021CD" w14:textId="77777777" w:rsidR="004151E6" w:rsidRDefault="004151E6" w:rsidP="00123722">
      <w:pPr>
        <w:rPr>
          <w:rFonts w:ascii="Footlight MT Light" w:hAnsi="Footlight MT Light"/>
          <w:sz w:val="28"/>
          <w:szCs w:val="28"/>
          <w:lang w:val="en-GB"/>
        </w:rPr>
      </w:pPr>
    </w:p>
    <w:p w14:paraId="61434218" w14:textId="15048111" w:rsidR="00E16C1F" w:rsidRPr="004151E6" w:rsidRDefault="0027235C" w:rsidP="00123722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  <w:lang w:val="en-GB"/>
        </w:rPr>
      </w:pPr>
      <w:r>
        <w:rPr>
          <w:rFonts w:ascii="Footlight MT Light" w:hAnsi="Footlight MT Light"/>
          <w:sz w:val="28"/>
          <w:szCs w:val="28"/>
          <w:lang w:val="en-GB"/>
        </w:rPr>
        <w:t xml:space="preserve">How does the </w:t>
      </w:r>
      <w:r w:rsidR="00E16C1F" w:rsidRPr="004151E6">
        <w:rPr>
          <w:rFonts w:ascii="Footlight MT Light" w:hAnsi="Footlight MT Light"/>
          <w:sz w:val="28"/>
          <w:szCs w:val="28"/>
          <w:lang w:val="en-GB"/>
        </w:rPr>
        <w:t>W</w:t>
      </w:r>
      <w:r>
        <w:rPr>
          <w:rFonts w:ascii="Footlight MT Light" w:hAnsi="Footlight MT Light"/>
          <w:sz w:val="28"/>
          <w:szCs w:val="28"/>
          <w:lang w:val="en-GB"/>
        </w:rPr>
        <w:t xml:space="preserve">orking Group </w:t>
      </w:r>
      <w:r w:rsidR="00E16C1F" w:rsidRPr="004151E6">
        <w:rPr>
          <w:rFonts w:ascii="Footlight MT Light" w:hAnsi="Footlight MT Light"/>
          <w:sz w:val="28"/>
          <w:szCs w:val="28"/>
          <w:lang w:val="en-GB"/>
        </w:rPr>
        <w:t xml:space="preserve">view the IASC’s role in taking forward and contributing to realizing the commitment from the Grand Bargain? </w:t>
      </w:r>
    </w:p>
    <w:p w14:paraId="180CE5DE" w14:textId="77777777" w:rsidR="00E16C1F" w:rsidRDefault="00E16C1F" w:rsidP="00123722">
      <w:pPr>
        <w:rPr>
          <w:rFonts w:ascii="Footlight MT Light" w:hAnsi="Footlight MT Light"/>
          <w:sz w:val="28"/>
          <w:szCs w:val="28"/>
          <w:lang w:val="en-GB"/>
        </w:rPr>
      </w:pPr>
    </w:p>
    <w:p w14:paraId="18922AC1" w14:textId="77777777" w:rsidR="00517B15" w:rsidRDefault="004151E6" w:rsidP="00123722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  <w:lang w:val="en-GB"/>
        </w:rPr>
      </w:pPr>
      <w:r>
        <w:rPr>
          <w:rFonts w:ascii="Footlight MT Light" w:hAnsi="Footlight MT Light"/>
          <w:sz w:val="28"/>
          <w:szCs w:val="28"/>
          <w:lang w:val="en-GB"/>
        </w:rPr>
        <w:t xml:space="preserve">Are there perceived opportunities where the IASC Working Group can further support and contribute, or challenges and gaps where the Working Group can offer guidance? </w:t>
      </w:r>
    </w:p>
    <w:p w14:paraId="30A12F87" w14:textId="77777777" w:rsidR="00517B15" w:rsidRPr="00517B15" w:rsidRDefault="00517B15" w:rsidP="00123722">
      <w:pPr>
        <w:pStyle w:val="ListParagraph"/>
        <w:rPr>
          <w:rFonts w:ascii="Footlight MT Light" w:hAnsi="Footlight MT Light"/>
          <w:sz w:val="28"/>
          <w:szCs w:val="28"/>
          <w:lang w:val="en-GB"/>
        </w:rPr>
      </w:pPr>
    </w:p>
    <w:p w14:paraId="46C4171E" w14:textId="636F2208" w:rsidR="0027235C" w:rsidRDefault="00517B15" w:rsidP="00123722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  <w:lang w:val="en-GB"/>
        </w:rPr>
      </w:pPr>
      <w:r w:rsidRPr="0027235C">
        <w:rPr>
          <w:rFonts w:ascii="Footlight MT Light" w:hAnsi="Footlight MT Light"/>
          <w:sz w:val="28"/>
          <w:szCs w:val="28"/>
          <w:lang w:val="en-GB"/>
        </w:rPr>
        <w:t xml:space="preserve">Given the diversity of constituents </w:t>
      </w:r>
      <w:r w:rsidR="0027235C" w:rsidRPr="0027235C">
        <w:rPr>
          <w:rFonts w:ascii="Footlight MT Light" w:hAnsi="Footlight MT Light"/>
          <w:sz w:val="28"/>
          <w:szCs w:val="28"/>
          <w:lang w:val="en-GB"/>
        </w:rPr>
        <w:t xml:space="preserve">engaged in the Grand Bargain process, how can those stakeholders who are not ‘obliged to report to the IASC’ </w:t>
      </w:r>
      <w:r w:rsidR="0027235C">
        <w:rPr>
          <w:rFonts w:ascii="Footlight MT Light" w:hAnsi="Footlight MT Light"/>
          <w:sz w:val="28"/>
          <w:szCs w:val="28"/>
          <w:lang w:val="en-GB"/>
        </w:rPr>
        <w:t xml:space="preserve">be encouraged to give feedback and inputs?  </w:t>
      </w:r>
    </w:p>
    <w:p w14:paraId="0029BA57" w14:textId="77777777" w:rsidR="0027235C" w:rsidRPr="0027235C" w:rsidRDefault="0027235C" w:rsidP="00123722">
      <w:pPr>
        <w:pStyle w:val="ListParagraph"/>
        <w:rPr>
          <w:rFonts w:ascii="Footlight MT Light" w:hAnsi="Footlight MT Light"/>
          <w:sz w:val="28"/>
          <w:szCs w:val="28"/>
          <w:lang w:val="en-GB"/>
        </w:rPr>
      </w:pPr>
    </w:p>
    <w:p w14:paraId="4C5D0025" w14:textId="2C16C46A" w:rsidR="00540F23" w:rsidRPr="0027235C" w:rsidRDefault="00540F23" w:rsidP="00123722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  <w:lang w:val="en-GB"/>
        </w:rPr>
      </w:pPr>
      <w:r w:rsidRPr="0027235C">
        <w:rPr>
          <w:rFonts w:ascii="Footlight MT Light" w:hAnsi="Footlight MT Light"/>
          <w:sz w:val="28"/>
          <w:szCs w:val="28"/>
          <w:lang w:val="en-GB"/>
        </w:rPr>
        <w:t xml:space="preserve">Is there guidance that the Working Group can provide </w:t>
      </w:r>
      <w:r w:rsidR="009732E6" w:rsidRPr="0027235C">
        <w:rPr>
          <w:rFonts w:ascii="Footlight MT Light" w:hAnsi="Footlight MT Light"/>
          <w:sz w:val="28"/>
          <w:szCs w:val="28"/>
          <w:lang w:val="en-GB"/>
        </w:rPr>
        <w:t xml:space="preserve">where </w:t>
      </w:r>
      <w:r w:rsidR="00B04FBB" w:rsidRPr="0027235C">
        <w:rPr>
          <w:rFonts w:ascii="Footlight MT Light" w:hAnsi="Footlight MT Light"/>
          <w:sz w:val="28"/>
          <w:szCs w:val="28"/>
          <w:lang w:val="en-GB"/>
        </w:rPr>
        <w:t xml:space="preserve">there </w:t>
      </w:r>
      <w:r w:rsidR="0027235C">
        <w:rPr>
          <w:rFonts w:ascii="Footlight MT Light" w:hAnsi="Footlight MT Light"/>
          <w:sz w:val="28"/>
          <w:szCs w:val="28"/>
          <w:lang w:val="en-GB"/>
        </w:rPr>
        <w:t xml:space="preserve">is </w:t>
      </w:r>
      <w:r w:rsidR="00517B15" w:rsidRPr="0027235C">
        <w:rPr>
          <w:rFonts w:ascii="Footlight MT Light" w:hAnsi="Footlight MT Light"/>
          <w:sz w:val="28"/>
          <w:szCs w:val="28"/>
          <w:lang w:val="en-GB"/>
        </w:rPr>
        <w:t xml:space="preserve">overlap between the </w:t>
      </w:r>
      <w:r w:rsidR="00B04FBB" w:rsidRPr="0027235C">
        <w:rPr>
          <w:rFonts w:ascii="Footlight MT Light" w:hAnsi="Footlight MT Light"/>
          <w:sz w:val="28"/>
          <w:szCs w:val="28"/>
          <w:lang w:val="en-GB"/>
        </w:rPr>
        <w:t>work</w:t>
      </w:r>
      <w:r w:rsidR="0027235C">
        <w:rPr>
          <w:rFonts w:ascii="Footlight MT Light" w:hAnsi="Footlight MT Light"/>
          <w:sz w:val="28"/>
          <w:szCs w:val="28"/>
          <w:lang w:val="en-GB"/>
        </w:rPr>
        <w:t xml:space="preserve"> </w:t>
      </w:r>
      <w:r w:rsidR="00B04FBB" w:rsidRPr="0027235C">
        <w:rPr>
          <w:rFonts w:ascii="Footlight MT Light" w:hAnsi="Footlight MT Light"/>
          <w:sz w:val="28"/>
          <w:szCs w:val="28"/>
          <w:lang w:val="en-GB"/>
        </w:rPr>
        <w:t>streams</w:t>
      </w:r>
      <w:r w:rsidR="0027235C">
        <w:rPr>
          <w:rFonts w:ascii="Footlight MT Light" w:hAnsi="Footlight MT Light"/>
          <w:sz w:val="28"/>
          <w:szCs w:val="28"/>
          <w:lang w:val="en-GB"/>
        </w:rPr>
        <w:t xml:space="preserve">? The work stream on </w:t>
      </w:r>
      <w:r w:rsidR="00B04FBB" w:rsidRPr="0027235C">
        <w:rPr>
          <w:rFonts w:ascii="Footlight MT Light" w:hAnsi="Footlight MT Light"/>
          <w:sz w:val="28"/>
          <w:szCs w:val="28"/>
          <w:lang w:val="en-GB"/>
        </w:rPr>
        <w:t xml:space="preserve">localization and cash call for more earmarking of donor contributions, and consequently appear to be </w:t>
      </w:r>
      <w:r w:rsidR="0027235C">
        <w:rPr>
          <w:rFonts w:ascii="Footlight MT Light" w:hAnsi="Footlight MT Light"/>
          <w:sz w:val="28"/>
          <w:szCs w:val="28"/>
          <w:lang w:val="en-GB"/>
        </w:rPr>
        <w:t>‘undermining’ the activities of w</w:t>
      </w:r>
      <w:r w:rsidR="00B04FBB" w:rsidRPr="0027235C">
        <w:rPr>
          <w:rFonts w:ascii="Footlight MT Light" w:hAnsi="Footlight MT Light"/>
          <w:sz w:val="28"/>
          <w:szCs w:val="28"/>
          <w:lang w:val="en-GB"/>
        </w:rPr>
        <w:t xml:space="preserve">ork-stream 8 that focuses on reducing earmarking. </w:t>
      </w:r>
    </w:p>
    <w:p w14:paraId="1878C2D2" w14:textId="77777777" w:rsidR="004151E6" w:rsidRPr="00B04FBB" w:rsidRDefault="004151E6" w:rsidP="00123722">
      <w:pPr>
        <w:pStyle w:val="ListParagraph"/>
        <w:rPr>
          <w:rFonts w:ascii="Footlight MT Light" w:hAnsi="Footlight MT Light"/>
          <w:b/>
          <w:bCs/>
          <w:sz w:val="28"/>
          <w:szCs w:val="28"/>
          <w:lang w:val="en-GB"/>
        </w:rPr>
      </w:pPr>
    </w:p>
    <w:p w14:paraId="3CB21FBF" w14:textId="453C55B9" w:rsidR="004151E6" w:rsidRPr="0027235C" w:rsidRDefault="004151E6" w:rsidP="00123722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  <w:lang w:val="en-GB"/>
        </w:rPr>
      </w:pPr>
      <w:r w:rsidRPr="0027235C">
        <w:rPr>
          <w:rFonts w:ascii="Footlight MT Light" w:hAnsi="Footlight MT Light"/>
          <w:sz w:val="28"/>
          <w:szCs w:val="28"/>
          <w:lang w:val="en-GB"/>
        </w:rPr>
        <w:t xml:space="preserve">How can the Working Group </w:t>
      </w:r>
      <w:r w:rsidR="0027235C">
        <w:rPr>
          <w:rFonts w:ascii="Footlight MT Light" w:hAnsi="Footlight MT Light"/>
          <w:sz w:val="28"/>
          <w:szCs w:val="28"/>
          <w:lang w:val="en-GB"/>
        </w:rPr>
        <w:t xml:space="preserve">promote the </w:t>
      </w:r>
      <w:r w:rsidRPr="0027235C">
        <w:rPr>
          <w:rFonts w:ascii="Footlight MT Light" w:hAnsi="Footlight MT Light"/>
          <w:sz w:val="28"/>
          <w:szCs w:val="28"/>
          <w:lang w:val="en-GB"/>
        </w:rPr>
        <w:t xml:space="preserve">Grand Bargain? </w:t>
      </w:r>
      <w:r w:rsidR="0027235C">
        <w:rPr>
          <w:rFonts w:ascii="Footlight MT Light" w:hAnsi="Footlight MT Light"/>
          <w:sz w:val="28"/>
          <w:szCs w:val="28"/>
          <w:lang w:val="en-GB"/>
        </w:rPr>
        <w:t>Are there opportunities for both internal and external advocacy to promote the</w:t>
      </w:r>
      <w:r w:rsidR="00D5399E" w:rsidRPr="0027235C">
        <w:rPr>
          <w:rFonts w:ascii="Footlight MT Light" w:hAnsi="Footlight MT Light"/>
          <w:sz w:val="28"/>
          <w:szCs w:val="28"/>
          <w:lang w:val="en-GB"/>
        </w:rPr>
        <w:t xml:space="preserve"> ‘New Way of Working</w:t>
      </w:r>
      <w:r w:rsidR="0027235C">
        <w:rPr>
          <w:rFonts w:ascii="Footlight MT Light" w:hAnsi="Footlight MT Light"/>
          <w:sz w:val="28"/>
          <w:szCs w:val="28"/>
          <w:lang w:val="en-GB"/>
        </w:rPr>
        <w:t>?</w:t>
      </w:r>
      <w:r w:rsidR="00D5399E" w:rsidRPr="0027235C">
        <w:rPr>
          <w:rFonts w:ascii="Footlight MT Light" w:hAnsi="Footlight MT Light"/>
          <w:sz w:val="28"/>
          <w:szCs w:val="28"/>
          <w:lang w:val="en-GB"/>
        </w:rPr>
        <w:t xml:space="preserve">’  </w:t>
      </w:r>
    </w:p>
    <w:p w14:paraId="019477B0" w14:textId="77777777" w:rsidR="00540F23" w:rsidRPr="00540F23" w:rsidRDefault="00540F23" w:rsidP="00123722">
      <w:pPr>
        <w:pStyle w:val="ListParagraph"/>
        <w:rPr>
          <w:rFonts w:ascii="Footlight MT Light" w:hAnsi="Footlight MT Light"/>
          <w:sz w:val="28"/>
          <w:szCs w:val="28"/>
          <w:lang w:val="en-GB"/>
        </w:rPr>
      </w:pPr>
    </w:p>
    <w:sectPr w:rsidR="00540F23" w:rsidRPr="00540F23" w:rsidSect="00671FE0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994E8" w14:textId="77777777" w:rsidR="00AD061D" w:rsidRDefault="00AD061D" w:rsidP="009506C2">
      <w:r>
        <w:separator/>
      </w:r>
    </w:p>
  </w:endnote>
  <w:endnote w:type="continuationSeparator" w:id="0">
    <w:p w14:paraId="3B51FF59" w14:textId="77777777" w:rsidR="00AD061D" w:rsidRDefault="00AD061D" w:rsidP="0095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0C39" w14:textId="77777777" w:rsidR="00D36834" w:rsidRDefault="00D36834" w:rsidP="008A3B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AF00D" w14:textId="77777777" w:rsidR="00D36834" w:rsidRDefault="00D36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24CB" w14:textId="77777777" w:rsidR="00D36834" w:rsidRDefault="00D36834" w:rsidP="008A3B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3B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BC9D17" w14:textId="77777777" w:rsidR="00D36834" w:rsidRDefault="00D36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C98C" w14:textId="77777777" w:rsidR="00AD061D" w:rsidRDefault="00AD061D" w:rsidP="009506C2">
      <w:r>
        <w:separator/>
      </w:r>
    </w:p>
  </w:footnote>
  <w:footnote w:type="continuationSeparator" w:id="0">
    <w:p w14:paraId="48A1F92F" w14:textId="77777777" w:rsidR="00AD061D" w:rsidRDefault="00AD061D" w:rsidP="0095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F8E"/>
    <w:multiLevelType w:val="hybridMultilevel"/>
    <w:tmpl w:val="2E9C5BA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FE0860"/>
    <w:multiLevelType w:val="hybridMultilevel"/>
    <w:tmpl w:val="E8F6B3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58EB"/>
    <w:multiLevelType w:val="hybridMultilevel"/>
    <w:tmpl w:val="00B6AD2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C8549A1"/>
    <w:multiLevelType w:val="hybridMultilevel"/>
    <w:tmpl w:val="43F2012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44691C"/>
    <w:multiLevelType w:val="hybridMultilevel"/>
    <w:tmpl w:val="577EE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5F70"/>
    <w:multiLevelType w:val="hybridMultilevel"/>
    <w:tmpl w:val="460A856A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88041BF"/>
    <w:multiLevelType w:val="hybridMultilevel"/>
    <w:tmpl w:val="FDC40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C35CB"/>
    <w:multiLevelType w:val="hybridMultilevel"/>
    <w:tmpl w:val="C9EE2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070BC"/>
    <w:multiLevelType w:val="hybridMultilevel"/>
    <w:tmpl w:val="B28ACB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834C1"/>
    <w:multiLevelType w:val="hybridMultilevel"/>
    <w:tmpl w:val="3438D3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A6A15"/>
    <w:multiLevelType w:val="hybridMultilevel"/>
    <w:tmpl w:val="EFDC860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55"/>
    <w:rsid w:val="00000824"/>
    <w:rsid w:val="00007BD8"/>
    <w:rsid w:val="00007CEB"/>
    <w:rsid w:val="00016D79"/>
    <w:rsid w:val="0002242F"/>
    <w:rsid w:val="00024F9E"/>
    <w:rsid w:val="0003641C"/>
    <w:rsid w:val="00051CDE"/>
    <w:rsid w:val="0005788F"/>
    <w:rsid w:val="0006276C"/>
    <w:rsid w:val="00063B82"/>
    <w:rsid w:val="00065379"/>
    <w:rsid w:val="00067864"/>
    <w:rsid w:val="000762B9"/>
    <w:rsid w:val="00082A10"/>
    <w:rsid w:val="0008356E"/>
    <w:rsid w:val="000940B1"/>
    <w:rsid w:val="00095E19"/>
    <w:rsid w:val="000B5D23"/>
    <w:rsid w:val="000B627E"/>
    <w:rsid w:val="000B6A42"/>
    <w:rsid w:val="000C22C2"/>
    <w:rsid w:val="000C255D"/>
    <w:rsid w:val="000C3AA1"/>
    <w:rsid w:val="000C7D63"/>
    <w:rsid w:val="000E71A5"/>
    <w:rsid w:val="000F226F"/>
    <w:rsid w:val="000F440A"/>
    <w:rsid w:val="00123722"/>
    <w:rsid w:val="00125DFA"/>
    <w:rsid w:val="00126669"/>
    <w:rsid w:val="00131304"/>
    <w:rsid w:val="001474B2"/>
    <w:rsid w:val="00147614"/>
    <w:rsid w:val="0014787F"/>
    <w:rsid w:val="00150A05"/>
    <w:rsid w:val="00166BAB"/>
    <w:rsid w:val="00174069"/>
    <w:rsid w:val="00175C5C"/>
    <w:rsid w:val="00177C66"/>
    <w:rsid w:val="001810B5"/>
    <w:rsid w:val="001838FF"/>
    <w:rsid w:val="00183EB0"/>
    <w:rsid w:val="00186F5A"/>
    <w:rsid w:val="0019696E"/>
    <w:rsid w:val="001B2468"/>
    <w:rsid w:val="001C04FA"/>
    <w:rsid w:val="001D54CC"/>
    <w:rsid w:val="001D7265"/>
    <w:rsid w:val="001E125B"/>
    <w:rsid w:val="001F057B"/>
    <w:rsid w:val="001F4980"/>
    <w:rsid w:val="00202630"/>
    <w:rsid w:val="00210498"/>
    <w:rsid w:val="002117DB"/>
    <w:rsid w:val="00215C68"/>
    <w:rsid w:val="002225C0"/>
    <w:rsid w:val="002267F7"/>
    <w:rsid w:val="00231353"/>
    <w:rsid w:val="002326E4"/>
    <w:rsid w:val="00242EA9"/>
    <w:rsid w:val="002562F1"/>
    <w:rsid w:val="002572C8"/>
    <w:rsid w:val="00257931"/>
    <w:rsid w:val="00271B80"/>
    <w:rsid w:val="0027235C"/>
    <w:rsid w:val="00275FEF"/>
    <w:rsid w:val="00297A57"/>
    <w:rsid w:val="002A32A4"/>
    <w:rsid w:val="002A7B82"/>
    <w:rsid w:val="002B1555"/>
    <w:rsid w:val="002B44A4"/>
    <w:rsid w:val="002C28D1"/>
    <w:rsid w:val="002D59E7"/>
    <w:rsid w:val="002E1A39"/>
    <w:rsid w:val="0030067F"/>
    <w:rsid w:val="00301375"/>
    <w:rsid w:val="00301870"/>
    <w:rsid w:val="00315017"/>
    <w:rsid w:val="003276AC"/>
    <w:rsid w:val="00330EC2"/>
    <w:rsid w:val="00333F6B"/>
    <w:rsid w:val="00335CDE"/>
    <w:rsid w:val="00341844"/>
    <w:rsid w:val="00351535"/>
    <w:rsid w:val="00356EBA"/>
    <w:rsid w:val="00360EAB"/>
    <w:rsid w:val="00372C88"/>
    <w:rsid w:val="00382BC3"/>
    <w:rsid w:val="00385080"/>
    <w:rsid w:val="003939F4"/>
    <w:rsid w:val="003A2953"/>
    <w:rsid w:val="003B5310"/>
    <w:rsid w:val="003B5AC6"/>
    <w:rsid w:val="003C397E"/>
    <w:rsid w:val="003D29EE"/>
    <w:rsid w:val="003D401A"/>
    <w:rsid w:val="003D5F94"/>
    <w:rsid w:val="003D622C"/>
    <w:rsid w:val="003E4805"/>
    <w:rsid w:val="003F2C40"/>
    <w:rsid w:val="00404AF5"/>
    <w:rsid w:val="00404E0C"/>
    <w:rsid w:val="004069D4"/>
    <w:rsid w:val="004151E6"/>
    <w:rsid w:val="00424A60"/>
    <w:rsid w:val="004324C1"/>
    <w:rsid w:val="0043368E"/>
    <w:rsid w:val="004403DF"/>
    <w:rsid w:val="004426ED"/>
    <w:rsid w:val="0044663D"/>
    <w:rsid w:val="00447B1A"/>
    <w:rsid w:val="00472D9E"/>
    <w:rsid w:val="00475DAD"/>
    <w:rsid w:val="00481B35"/>
    <w:rsid w:val="00490262"/>
    <w:rsid w:val="0049174D"/>
    <w:rsid w:val="00491CAB"/>
    <w:rsid w:val="00497919"/>
    <w:rsid w:val="004A0B9C"/>
    <w:rsid w:val="004A3179"/>
    <w:rsid w:val="004A34CD"/>
    <w:rsid w:val="004A793B"/>
    <w:rsid w:val="004B75B0"/>
    <w:rsid w:val="004C0E20"/>
    <w:rsid w:val="004C1945"/>
    <w:rsid w:val="004C77E5"/>
    <w:rsid w:val="004D3420"/>
    <w:rsid w:val="004D5CDB"/>
    <w:rsid w:val="004D6666"/>
    <w:rsid w:val="004D788E"/>
    <w:rsid w:val="004E1E99"/>
    <w:rsid w:val="004E71EC"/>
    <w:rsid w:val="004F0EFC"/>
    <w:rsid w:val="004F2215"/>
    <w:rsid w:val="004F6147"/>
    <w:rsid w:val="004F6A1A"/>
    <w:rsid w:val="00501B9F"/>
    <w:rsid w:val="005029EA"/>
    <w:rsid w:val="005033BD"/>
    <w:rsid w:val="00503F98"/>
    <w:rsid w:val="005079C1"/>
    <w:rsid w:val="00517B15"/>
    <w:rsid w:val="00520B7B"/>
    <w:rsid w:val="005238F2"/>
    <w:rsid w:val="00534D13"/>
    <w:rsid w:val="00536146"/>
    <w:rsid w:val="005368E9"/>
    <w:rsid w:val="00540CA1"/>
    <w:rsid w:val="00540F23"/>
    <w:rsid w:val="0054243C"/>
    <w:rsid w:val="00542E85"/>
    <w:rsid w:val="00547C50"/>
    <w:rsid w:val="005515E5"/>
    <w:rsid w:val="00552814"/>
    <w:rsid w:val="0055305F"/>
    <w:rsid w:val="0055372F"/>
    <w:rsid w:val="00567152"/>
    <w:rsid w:val="00570EEB"/>
    <w:rsid w:val="00576E2F"/>
    <w:rsid w:val="00581B06"/>
    <w:rsid w:val="00594E00"/>
    <w:rsid w:val="00596B21"/>
    <w:rsid w:val="005A0BEF"/>
    <w:rsid w:val="005B3A22"/>
    <w:rsid w:val="005B7A2E"/>
    <w:rsid w:val="005C53B1"/>
    <w:rsid w:val="005C5FA9"/>
    <w:rsid w:val="005D2141"/>
    <w:rsid w:val="005D233A"/>
    <w:rsid w:val="005D686F"/>
    <w:rsid w:val="005F0610"/>
    <w:rsid w:val="005F2DEE"/>
    <w:rsid w:val="005F3830"/>
    <w:rsid w:val="005F66BA"/>
    <w:rsid w:val="005F7563"/>
    <w:rsid w:val="00624A00"/>
    <w:rsid w:val="0063444F"/>
    <w:rsid w:val="006402C6"/>
    <w:rsid w:val="006520CD"/>
    <w:rsid w:val="00657EC7"/>
    <w:rsid w:val="00666633"/>
    <w:rsid w:val="00671FE0"/>
    <w:rsid w:val="006754DF"/>
    <w:rsid w:val="006765FC"/>
    <w:rsid w:val="00681374"/>
    <w:rsid w:val="00692B5B"/>
    <w:rsid w:val="00693DCC"/>
    <w:rsid w:val="006A3BF2"/>
    <w:rsid w:val="006A586F"/>
    <w:rsid w:val="006C19E5"/>
    <w:rsid w:val="006C595C"/>
    <w:rsid w:val="006D1C29"/>
    <w:rsid w:val="006D7F12"/>
    <w:rsid w:val="006E7BDC"/>
    <w:rsid w:val="00704EEE"/>
    <w:rsid w:val="00705A38"/>
    <w:rsid w:val="0071633B"/>
    <w:rsid w:val="00721DE8"/>
    <w:rsid w:val="0072263E"/>
    <w:rsid w:val="00724530"/>
    <w:rsid w:val="00725BF7"/>
    <w:rsid w:val="00735561"/>
    <w:rsid w:val="00737221"/>
    <w:rsid w:val="007432C3"/>
    <w:rsid w:val="00743BB0"/>
    <w:rsid w:val="00744CBA"/>
    <w:rsid w:val="00747F93"/>
    <w:rsid w:val="007509D0"/>
    <w:rsid w:val="007545A6"/>
    <w:rsid w:val="007568C1"/>
    <w:rsid w:val="007616D6"/>
    <w:rsid w:val="00764C05"/>
    <w:rsid w:val="0078200B"/>
    <w:rsid w:val="007A3059"/>
    <w:rsid w:val="007A5BE9"/>
    <w:rsid w:val="007B0280"/>
    <w:rsid w:val="007B4C28"/>
    <w:rsid w:val="007B4E01"/>
    <w:rsid w:val="007C0F56"/>
    <w:rsid w:val="007C24BC"/>
    <w:rsid w:val="007D1CBB"/>
    <w:rsid w:val="007D2CC2"/>
    <w:rsid w:val="007E31FD"/>
    <w:rsid w:val="007F2F29"/>
    <w:rsid w:val="0080092B"/>
    <w:rsid w:val="00827430"/>
    <w:rsid w:val="00833323"/>
    <w:rsid w:val="008333DC"/>
    <w:rsid w:val="00835310"/>
    <w:rsid w:val="00835356"/>
    <w:rsid w:val="008622B5"/>
    <w:rsid w:val="00890229"/>
    <w:rsid w:val="008A2406"/>
    <w:rsid w:val="008A3BF2"/>
    <w:rsid w:val="008A4FBC"/>
    <w:rsid w:val="008B164A"/>
    <w:rsid w:val="008B4901"/>
    <w:rsid w:val="008B6979"/>
    <w:rsid w:val="008C4788"/>
    <w:rsid w:val="008C47ED"/>
    <w:rsid w:val="008C4E21"/>
    <w:rsid w:val="008C52D8"/>
    <w:rsid w:val="008C5B17"/>
    <w:rsid w:val="008D12AD"/>
    <w:rsid w:val="008E2665"/>
    <w:rsid w:val="008F1FB6"/>
    <w:rsid w:val="008F2C05"/>
    <w:rsid w:val="00903C2E"/>
    <w:rsid w:val="00911CD4"/>
    <w:rsid w:val="009166ED"/>
    <w:rsid w:val="0091780B"/>
    <w:rsid w:val="00917FE9"/>
    <w:rsid w:val="00926ACF"/>
    <w:rsid w:val="00934F16"/>
    <w:rsid w:val="0093520E"/>
    <w:rsid w:val="009367FE"/>
    <w:rsid w:val="0093772D"/>
    <w:rsid w:val="00946A8C"/>
    <w:rsid w:val="009506C2"/>
    <w:rsid w:val="009510C2"/>
    <w:rsid w:val="00951A5A"/>
    <w:rsid w:val="00955D41"/>
    <w:rsid w:val="00961F1C"/>
    <w:rsid w:val="00967B62"/>
    <w:rsid w:val="009732E6"/>
    <w:rsid w:val="00973C63"/>
    <w:rsid w:val="00980DF2"/>
    <w:rsid w:val="00985BFD"/>
    <w:rsid w:val="009B6B94"/>
    <w:rsid w:val="009C078F"/>
    <w:rsid w:val="009D69CF"/>
    <w:rsid w:val="009E1340"/>
    <w:rsid w:val="009E7E42"/>
    <w:rsid w:val="00A02838"/>
    <w:rsid w:val="00A1156A"/>
    <w:rsid w:val="00A14C0C"/>
    <w:rsid w:val="00A15C80"/>
    <w:rsid w:val="00A32CAE"/>
    <w:rsid w:val="00A45EE7"/>
    <w:rsid w:val="00A5293B"/>
    <w:rsid w:val="00A562CF"/>
    <w:rsid w:val="00A60E9B"/>
    <w:rsid w:val="00A82949"/>
    <w:rsid w:val="00A83A3A"/>
    <w:rsid w:val="00A860E0"/>
    <w:rsid w:val="00A87FB4"/>
    <w:rsid w:val="00A958A2"/>
    <w:rsid w:val="00AA0637"/>
    <w:rsid w:val="00AA482B"/>
    <w:rsid w:val="00AB0669"/>
    <w:rsid w:val="00AB68A6"/>
    <w:rsid w:val="00AB6F06"/>
    <w:rsid w:val="00AD061D"/>
    <w:rsid w:val="00AF2D61"/>
    <w:rsid w:val="00AF3670"/>
    <w:rsid w:val="00AF3EA5"/>
    <w:rsid w:val="00AF5692"/>
    <w:rsid w:val="00B04FBB"/>
    <w:rsid w:val="00B05494"/>
    <w:rsid w:val="00B0729C"/>
    <w:rsid w:val="00B2580A"/>
    <w:rsid w:val="00B341A5"/>
    <w:rsid w:val="00B432AC"/>
    <w:rsid w:val="00B537C1"/>
    <w:rsid w:val="00B55D51"/>
    <w:rsid w:val="00B70E9F"/>
    <w:rsid w:val="00B80313"/>
    <w:rsid w:val="00B917B1"/>
    <w:rsid w:val="00B931A2"/>
    <w:rsid w:val="00B96546"/>
    <w:rsid w:val="00BA0086"/>
    <w:rsid w:val="00BB25D6"/>
    <w:rsid w:val="00BC0D6D"/>
    <w:rsid w:val="00BC793B"/>
    <w:rsid w:val="00BD47D8"/>
    <w:rsid w:val="00BE26F3"/>
    <w:rsid w:val="00BE609E"/>
    <w:rsid w:val="00BE63A8"/>
    <w:rsid w:val="00BE7879"/>
    <w:rsid w:val="00BF7635"/>
    <w:rsid w:val="00C075F9"/>
    <w:rsid w:val="00C11330"/>
    <w:rsid w:val="00C11455"/>
    <w:rsid w:val="00C16810"/>
    <w:rsid w:val="00C2725B"/>
    <w:rsid w:val="00C35B59"/>
    <w:rsid w:val="00C379A9"/>
    <w:rsid w:val="00C458E3"/>
    <w:rsid w:val="00C46306"/>
    <w:rsid w:val="00C52239"/>
    <w:rsid w:val="00C5743C"/>
    <w:rsid w:val="00C8346C"/>
    <w:rsid w:val="00C838BE"/>
    <w:rsid w:val="00C86F89"/>
    <w:rsid w:val="00CA1AA4"/>
    <w:rsid w:val="00CA2D02"/>
    <w:rsid w:val="00CA3807"/>
    <w:rsid w:val="00CA5B07"/>
    <w:rsid w:val="00CB1391"/>
    <w:rsid w:val="00CC31B8"/>
    <w:rsid w:val="00CC4851"/>
    <w:rsid w:val="00CD0CD5"/>
    <w:rsid w:val="00CD6952"/>
    <w:rsid w:val="00CD7968"/>
    <w:rsid w:val="00CD7DC4"/>
    <w:rsid w:val="00CE0637"/>
    <w:rsid w:val="00CE2670"/>
    <w:rsid w:val="00CE26AD"/>
    <w:rsid w:val="00CE2879"/>
    <w:rsid w:val="00CE53DF"/>
    <w:rsid w:val="00CF33E9"/>
    <w:rsid w:val="00D0666B"/>
    <w:rsid w:val="00D36834"/>
    <w:rsid w:val="00D46D22"/>
    <w:rsid w:val="00D511E0"/>
    <w:rsid w:val="00D5399E"/>
    <w:rsid w:val="00D6454D"/>
    <w:rsid w:val="00D73644"/>
    <w:rsid w:val="00D80708"/>
    <w:rsid w:val="00D82143"/>
    <w:rsid w:val="00D840EA"/>
    <w:rsid w:val="00D85CE2"/>
    <w:rsid w:val="00D91276"/>
    <w:rsid w:val="00DA39D8"/>
    <w:rsid w:val="00DA5CC0"/>
    <w:rsid w:val="00DB3775"/>
    <w:rsid w:val="00DB493E"/>
    <w:rsid w:val="00DB5E2A"/>
    <w:rsid w:val="00DC39E8"/>
    <w:rsid w:val="00DC6346"/>
    <w:rsid w:val="00DD202C"/>
    <w:rsid w:val="00DE1AA7"/>
    <w:rsid w:val="00DE30A0"/>
    <w:rsid w:val="00DF0002"/>
    <w:rsid w:val="00DF40A8"/>
    <w:rsid w:val="00E00D61"/>
    <w:rsid w:val="00E0472C"/>
    <w:rsid w:val="00E05C23"/>
    <w:rsid w:val="00E07A4B"/>
    <w:rsid w:val="00E16C1F"/>
    <w:rsid w:val="00E22CDA"/>
    <w:rsid w:val="00E24776"/>
    <w:rsid w:val="00E27C07"/>
    <w:rsid w:val="00E32F74"/>
    <w:rsid w:val="00E41FA7"/>
    <w:rsid w:val="00E45560"/>
    <w:rsid w:val="00E570DD"/>
    <w:rsid w:val="00E637F9"/>
    <w:rsid w:val="00E716BB"/>
    <w:rsid w:val="00E73AED"/>
    <w:rsid w:val="00E76169"/>
    <w:rsid w:val="00E76835"/>
    <w:rsid w:val="00E772DD"/>
    <w:rsid w:val="00E805BE"/>
    <w:rsid w:val="00E87D8A"/>
    <w:rsid w:val="00EA14EE"/>
    <w:rsid w:val="00EB14BC"/>
    <w:rsid w:val="00EB5D71"/>
    <w:rsid w:val="00EB6BD9"/>
    <w:rsid w:val="00EC02B5"/>
    <w:rsid w:val="00EC076C"/>
    <w:rsid w:val="00EC23C9"/>
    <w:rsid w:val="00EC412E"/>
    <w:rsid w:val="00ED723B"/>
    <w:rsid w:val="00EE7352"/>
    <w:rsid w:val="00EE77A6"/>
    <w:rsid w:val="00EF2986"/>
    <w:rsid w:val="00EF3B45"/>
    <w:rsid w:val="00F020B7"/>
    <w:rsid w:val="00F02306"/>
    <w:rsid w:val="00F02590"/>
    <w:rsid w:val="00F029D5"/>
    <w:rsid w:val="00F1525A"/>
    <w:rsid w:val="00F2217D"/>
    <w:rsid w:val="00F24457"/>
    <w:rsid w:val="00F2523A"/>
    <w:rsid w:val="00F30C0B"/>
    <w:rsid w:val="00F35CC1"/>
    <w:rsid w:val="00F4502F"/>
    <w:rsid w:val="00F54F15"/>
    <w:rsid w:val="00F56366"/>
    <w:rsid w:val="00F64C09"/>
    <w:rsid w:val="00F64DEE"/>
    <w:rsid w:val="00F734A4"/>
    <w:rsid w:val="00F8084F"/>
    <w:rsid w:val="00F90FB5"/>
    <w:rsid w:val="00F975FB"/>
    <w:rsid w:val="00FA64E3"/>
    <w:rsid w:val="00FB200A"/>
    <w:rsid w:val="00FB2059"/>
    <w:rsid w:val="00FB4208"/>
    <w:rsid w:val="00FB4F85"/>
    <w:rsid w:val="00FC4547"/>
    <w:rsid w:val="00FD09F3"/>
    <w:rsid w:val="00FD3914"/>
    <w:rsid w:val="00FD5DE8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AE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87F"/>
    <w:pPr>
      <w:ind w:left="720"/>
      <w:contextualSpacing/>
    </w:pPr>
  </w:style>
  <w:style w:type="table" w:styleId="TableGrid">
    <w:name w:val="Table Grid"/>
    <w:basedOn w:val="TableNormal"/>
    <w:uiPriority w:val="59"/>
    <w:rsid w:val="005F2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6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C2"/>
  </w:style>
  <w:style w:type="paragraph" w:styleId="Footer">
    <w:name w:val="footer"/>
    <w:basedOn w:val="Normal"/>
    <w:link w:val="FooterChar"/>
    <w:uiPriority w:val="99"/>
    <w:unhideWhenUsed/>
    <w:rsid w:val="009506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C2"/>
  </w:style>
  <w:style w:type="character" w:styleId="Hyperlink">
    <w:name w:val="Hyperlink"/>
    <w:basedOn w:val="DefaultParagraphFont"/>
    <w:uiPriority w:val="99"/>
    <w:unhideWhenUsed/>
    <w:rsid w:val="003F2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C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2C40"/>
  </w:style>
  <w:style w:type="character" w:customStyle="1" w:styleId="CommentTextChar">
    <w:name w:val="Comment Text Char"/>
    <w:basedOn w:val="DefaultParagraphFont"/>
    <w:link w:val="CommentText"/>
    <w:uiPriority w:val="99"/>
    <w:rsid w:val="003F2C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C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670"/>
  </w:style>
  <w:style w:type="character" w:styleId="PageNumber">
    <w:name w:val="page number"/>
    <w:basedOn w:val="DefaultParagraphFont"/>
    <w:uiPriority w:val="99"/>
    <w:semiHidden/>
    <w:unhideWhenUsed/>
    <w:rsid w:val="00536146"/>
  </w:style>
  <w:style w:type="character" w:customStyle="1" w:styleId="Heading1Char">
    <w:name w:val="Heading 1 Char"/>
    <w:basedOn w:val="DefaultParagraphFont"/>
    <w:link w:val="Heading1"/>
    <w:uiPriority w:val="9"/>
    <w:rsid w:val="00372C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F05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C793B"/>
    <w:pPr>
      <w:tabs>
        <w:tab w:val="right" w:leader="dot" w:pos="905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082A1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2A1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82A1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82A1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82A1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82A1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82A1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82A10"/>
    <w:pPr>
      <w:ind w:left="1920"/>
    </w:pPr>
  </w:style>
  <w:style w:type="paragraph" w:customStyle="1" w:styleId="whsheading1">
    <w:name w:val="whs_heading1"/>
    <w:basedOn w:val="Normal"/>
    <w:link w:val="whsheading1Char"/>
    <w:qFormat/>
    <w:rsid w:val="004324C1"/>
    <w:pPr>
      <w:widowControl w:val="0"/>
      <w:autoSpaceDE w:val="0"/>
      <w:autoSpaceDN w:val="0"/>
      <w:adjustRightInd w:val="0"/>
      <w:spacing w:before="360" w:after="120" w:line="375" w:lineRule="exact"/>
      <w:ind w:right="23"/>
    </w:pPr>
    <w:rPr>
      <w:rFonts w:asciiTheme="majorHAnsi" w:eastAsia="Times New Roman" w:hAnsiTheme="majorHAnsi" w:cs="DINPro-Medium"/>
      <w:b/>
      <w:color w:val="00AEEF"/>
      <w:sz w:val="32"/>
      <w:szCs w:val="30"/>
      <w:lang w:val="en-GB" w:eastAsia="en-US"/>
    </w:rPr>
  </w:style>
  <w:style w:type="character" w:customStyle="1" w:styleId="whsheading1Char">
    <w:name w:val="whs_heading1 Char"/>
    <w:basedOn w:val="DefaultParagraphFont"/>
    <w:link w:val="whsheading1"/>
    <w:rsid w:val="004324C1"/>
    <w:rPr>
      <w:rFonts w:asciiTheme="majorHAnsi" w:eastAsia="Times New Roman" w:hAnsiTheme="majorHAnsi" w:cs="DINPro-Medium"/>
      <w:b/>
      <w:color w:val="00AEEF"/>
      <w:sz w:val="32"/>
      <w:szCs w:val="30"/>
      <w:lang w:val="en-GB" w:eastAsia="en-US"/>
    </w:rPr>
  </w:style>
  <w:style w:type="table" w:customStyle="1" w:styleId="GridTable2-Accent11">
    <w:name w:val="Grid Table 2 - Accent 11"/>
    <w:basedOn w:val="TableNormal"/>
    <w:uiPriority w:val="47"/>
    <w:rsid w:val="004324C1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01B9F"/>
  </w:style>
  <w:style w:type="character" w:customStyle="1" w:styleId="FootnoteTextChar">
    <w:name w:val="Footnote Text Char"/>
    <w:basedOn w:val="DefaultParagraphFont"/>
    <w:link w:val="FootnoteText"/>
    <w:uiPriority w:val="99"/>
    <w:rsid w:val="00501B9F"/>
  </w:style>
  <w:style w:type="character" w:styleId="FootnoteReference">
    <w:name w:val="footnote reference"/>
    <w:basedOn w:val="DefaultParagraphFont"/>
    <w:uiPriority w:val="99"/>
    <w:unhideWhenUsed/>
    <w:rsid w:val="00501B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87F"/>
    <w:pPr>
      <w:ind w:left="720"/>
      <w:contextualSpacing/>
    </w:pPr>
  </w:style>
  <w:style w:type="table" w:styleId="TableGrid">
    <w:name w:val="Table Grid"/>
    <w:basedOn w:val="TableNormal"/>
    <w:uiPriority w:val="59"/>
    <w:rsid w:val="005F2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6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C2"/>
  </w:style>
  <w:style w:type="paragraph" w:styleId="Footer">
    <w:name w:val="footer"/>
    <w:basedOn w:val="Normal"/>
    <w:link w:val="FooterChar"/>
    <w:uiPriority w:val="99"/>
    <w:unhideWhenUsed/>
    <w:rsid w:val="009506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C2"/>
  </w:style>
  <w:style w:type="character" w:styleId="Hyperlink">
    <w:name w:val="Hyperlink"/>
    <w:basedOn w:val="DefaultParagraphFont"/>
    <w:uiPriority w:val="99"/>
    <w:unhideWhenUsed/>
    <w:rsid w:val="003F2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C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2C40"/>
  </w:style>
  <w:style w:type="character" w:customStyle="1" w:styleId="CommentTextChar">
    <w:name w:val="Comment Text Char"/>
    <w:basedOn w:val="DefaultParagraphFont"/>
    <w:link w:val="CommentText"/>
    <w:uiPriority w:val="99"/>
    <w:rsid w:val="003F2C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C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670"/>
  </w:style>
  <w:style w:type="character" w:styleId="PageNumber">
    <w:name w:val="page number"/>
    <w:basedOn w:val="DefaultParagraphFont"/>
    <w:uiPriority w:val="99"/>
    <w:semiHidden/>
    <w:unhideWhenUsed/>
    <w:rsid w:val="00536146"/>
  </w:style>
  <w:style w:type="character" w:customStyle="1" w:styleId="Heading1Char">
    <w:name w:val="Heading 1 Char"/>
    <w:basedOn w:val="DefaultParagraphFont"/>
    <w:link w:val="Heading1"/>
    <w:uiPriority w:val="9"/>
    <w:rsid w:val="00372C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F05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C793B"/>
    <w:pPr>
      <w:tabs>
        <w:tab w:val="right" w:leader="dot" w:pos="905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082A1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2A1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82A1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82A1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82A1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82A1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82A1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82A10"/>
    <w:pPr>
      <w:ind w:left="1920"/>
    </w:pPr>
  </w:style>
  <w:style w:type="paragraph" w:customStyle="1" w:styleId="whsheading1">
    <w:name w:val="whs_heading1"/>
    <w:basedOn w:val="Normal"/>
    <w:link w:val="whsheading1Char"/>
    <w:qFormat/>
    <w:rsid w:val="004324C1"/>
    <w:pPr>
      <w:widowControl w:val="0"/>
      <w:autoSpaceDE w:val="0"/>
      <w:autoSpaceDN w:val="0"/>
      <w:adjustRightInd w:val="0"/>
      <w:spacing w:before="360" w:after="120" w:line="375" w:lineRule="exact"/>
      <w:ind w:right="23"/>
    </w:pPr>
    <w:rPr>
      <w:rFonts w:asciiTheme="majorHAnsi" w:eastAsia="Times New Roman" w:hAnsiTheme="majorHAnsi" w:cs="DINPro-Medium"/>
      <w:b/>
      <w:color w:val="00AEEF"/>
      <w:sz w:val="32"/>
      <w:szCs w:val="30"/>
      <w:lang w:val="en-GB" w:eastAsia="en-US"/>
    </w:rPr>
  </w:style>
  <w:style w:type="character" w:customStyle="1" w:styleId="whsheading1Char">
    <w:name w:val="whs_heading1 Char"/>
    <w:basedOn w:val="DefaultParagraphFont"/>
    <w:link w:val="whsheading1"/>
    <w:rsid w:val="004324C1"/>
    <w:rPr>
      <w:rFonts w:asciiTheme="majorHAnsi" w:eastAsia="Times New Roman" w:hAnsiTheme="majorHAnsi" w:cs="DINPro-Medium"/>
      <w:b/>
      <w:color w:val="00AEEF"/>
      <w:sz w:val="32"/>
      <w:szCs w:val="30"/>
      <w:lang w:val="en-GB" w:eastAsia="en-US"/>
    </w:rPr>
  </w:style>
  <w:style w:type="table" w:customStyle="1" w:styleId="GridTable2-Accent11">
    <w:name w:val="Grid Table 2 - Accent 11"/>
    <w:basedOn w:val="TableNormal"/>
    <w:uiPriority w:val="47"/>
    <w:rsid w:val="004324C1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01B9F"/>
  </w:style>
  <w:style w:type="character" w:customStyle="1" w:styleId="FootnoteTextChar">
    <w:name w:val="Footnote Text Char"/>
    <w:basedOn w:val="DefaultParagraphFont"/>
    <w:link w:val="FootnoteText"/>
    <w:uiPriority w:val="99"/>
    <w:rsid w:val="00501B9F"/>
  </w:style>
  <w:style w:type="character" w:styleId="FootnoteReference">
    <w:name w:val="footnote reference"/>
    <w:basedOn w:val="DefaultParagraphFont"/>
    <w:uiPriority w:val="99"/>
    <w:unhideWhenUsed/>
    <w:rsid w:val="00501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15B54-A81E-4401-8D46-EF94577D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Council of Voluntary Agencies (ICVA)</Company>
  <LinksUpToDate>false</LinksUpToDate>
  <CharactersWithSpaces>8514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Pitotti</dc:creator>
  <cp:lastModifiedBy>Ben</cp:lastModifiedBy>
  <cp:revision>2</cp:revision>
  <cp:lastPrinted>2017-03-21T17:51:00Z</cp:lastPrinted>
  <dcterms:created xsi:type="dcterms:W3CDTF">2017-03-25T10:38:00Z</dcterms:created>
  <dcterms:modified xsi:type="dcterms:W3CDTF">2017-03-25T10:38:00Z</dcterms:modified>
</cp:coreProperties>
</file>