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2DB36" w14:textId="77777777" w:rsidR="00292474" w:rsidRDefault="008E4BF2" w:rsidP="00292474">
      <w:pP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0000"/>
          <w:sz w:val="20"/>
          <w:szCs w:val="20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4883E1" wp14:editId="48F80729">
                <wp:simplePos x="0" y="0"/>
                <wp:positionH relativeFrom="column">
                  <wp:posOffset>-130127</wp:posOffset>
                </wp:positionH>
                <wp:positionV relativeFrom="paragraph">
                  <wp:posOffset>-1538</wp:posOffset>
                </wp:positionV>
                <wp:extent cx="6904355" cy="620486"/>
                <wp:effectExtent l="0" t="0" r="1079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355" cy="62048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F845A" w14:textId="77777777" w:rsidR="00176B45" w:rsidRPr="00FD1C55" w:rsidRDefault="00176B45" w:rsidP="00C56342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CF4F00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IASC Reference </w:t>
                            </w:r>
                            <w:r w:rsidRPr="00C56342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Group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on </w:t>
                            </w:r>
                            <w:r w:rsidR="00210C5E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Meeting Humanitarian Challenges in Urban Areas</w:t>
                            </w:r>
                            <w:r w:rsidRPr="00C56342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2854C7C" w14:textId="77777777" w:rsidR="00176B45" w:rsidRPr="00CF4F00" w:rsidRDefault="00176B45" w:rsidP="00FD1C55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F4F00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Progress Report</w:t>
                            </w:r>
                            <w:r w:rsidR="007E59B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BA29B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April</w:t>
                            </w:r>
                            <w:r w:rsidR="009A3082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B5AF2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2016</w:t>
                            </w:r>
                            <w:r w:rsidR="007E59B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– February 2017</w:t>
                            </w:r>
                            <w:r w:rsidRPr="00CF4F00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3ED3F814" w14:textId="77777777" w:rsidR="00176B45" w:rsidRDefault="00176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883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25pt;margin-top:-.1pt;width:543.65pt;height:48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" fillcolor="#8db3e2 [1311]">
                <v:textbox>
                  <w:txbxContent>
                    <w:p w14:paraId="31FF845A" w14:textId="77777777" w:rsidR="00176B45" w:rsidRPr="00FD1C55" w:rsidRDefault="00176B45" w:rsidP="00C56342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CF4F00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IASC Reference </w:t>
                      </w:r>
                      <w:r w:rsidRPr="00C56342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Group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on </w:t>
                      </w:r>
                      <w:r w:rsidR="00210C5E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Meeting Humanitarian Challenges in Urban Areas</w:t>
                      </w:r>
                      <w:r w:rsidRPr="00C56342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2854C7C" w14:textId="77777777" w:rsidR="00176B45" w:rsidRPr="00CF4F00" w:rsidRDefault="00176B45" w:rsidP="00FD1C55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CF4F00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Progress Report</w:t>
                      </w:r>
                      <w:r w:rsidR="007E59B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, </w:t>
                      </w:r>
                      <w:r w:rsidR="00BA29B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April</w:t>
                      </w:r>
                      <w:r w:rsidR="009A3082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BB5AF2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2016</w:t>
                      </w:r>
                      <w:r w:rsidR="007E59B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– February 2017</w:t>
                      </w:r>
                      <w:r w:rsidRPr="00CF4F00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:</w:t>
                      </w:r>
                    </w:p>
                    <w:p w14:paraId="3ED3F814" w14:textId="77777777" w:rsidR="00176B45" w:rsidRDefault="00176B45"/>
                  </w:txbxContent>
                </v:textbox>
              </v:shape>
            </w:pict>
          </mc:Fallback>
        </mc:AlternateContent>
      </w:r>
    </w:p>
    <w:p w14:paraId="0850785E" w14:textId="77777777" w:rsidR="007F3DE0" w:rsidRDefault="007F3DE0" w:rsidP="00292474">
      <w:pP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</w:pPr>
    </w:p>
    <w:p w14:paraId="12266825" w14:textId="77777777" w:rsidR="007F3DE0" w:rsidRDefault="00C9758D" w:rsidP="00292474">
      <w:pP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6E37811D" wp14:editId="626131D7">
                <wp:simplePos x="0" y="0"/>
                <wp:positionH relativeFrom="column">
                  <wp:posOffset>-137112</wp:posOffset>
                </wp:positionH>
                <wp:positionV relativeFrom="paragraph">
                  <wp:posOffset>92629</wp:posOffset>
                </wp:positionV>
                <wp:extent cx="6904355" cy="1725385"/>
                <wp:effectExtent l="0" t="0" r="10795" b="273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355" cy="1725385"/>
                        </a:xfrm>
                        <a:prstGeom prst="rect">
                          <a:avLst/>
                        </a:prstGeom>
                        <a:blipFill dpi="0" rotWithShape="0">
                          <a:blip r:embed="rId10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DDD8D" w14:textId="77777777" w:rsidR="00176B45" w:rsidRPr="004D110C" w:rsidRDefault="00B3555A" w:rsidP="00BC4BCD">
                            <w:pPr>
                              <w:pStyle w:val="NoSpacing"/>
                              <w:jc w:val="center"/>
                              <w:rPr>
                                <w:b/>
                                <w:color w:val="E36C0A" w:themeColor="accent6" w:themeShade="BF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0"/>
                              </w:rPr>
                              <w:t>Objective:</w:t>
                            </w:r>
                          </w:p>
                          <w:p w14:paraId="1A192724" w14:textId="77777777" w:rsidR="00210C5E" w:rsidRPr="004D110C" w:rsidRDefault="00210C5E" w:rsidP="008F5472">
                            <w:pPr>
                              <w:pStyle w:val="NoSpacing"/>
                              <w:jc w:val="both"/>
                              <w:rPr>
                                <w:rFonts w:ascii="Calibri" w:hAnsi="Calibri"/>
                                <w:sz w:val="20"/>
                                <w:lang w:val="en-US"/>
                              </w:rPr>
                            </w:pPr>
                            <w:r w:rsidRPr="004D110C">
                              <w:rPr>
                                <w:rFonts w:ascii="Calibri" w:hAnsi="Calibri"/>
                                <w:sz w:val="20"/>
                                <w:lang w:val="en-US"/>
                              </w:rPr>
                              <w:t xml:space="preserve">The </w:t>
                            </w:r>
                            <w:r w:rsidR="00B3555A">
                              <w:rPr>
                                <w:rFonts w:ascii="Calibri" w:hAnsi="Calibri"/>
                                <w:sz w:val="20"/>
                                <w:lang w:val="en-US"/>
                              </w:rPr>
                              <w:t xml:space="preserve">IASC RG </w:t>
                            </w:r>
                            <w:r w:rsidRPr="004D110C">
                              <w:rPr>
                                <w:rFonts w:ascii="Calibri" w:hAnsi="Calibri"/>
                                <w:sz w:val="20"/>
                                <w:lang w:val="en-US"/>
                              </w:rPr>
                              <w:t xml:space="preserve">MHCUA </w:t>
                            </w:r>
                            <w:r w:rsidR="00B3555A">
                              <w:rPr>
                                <w:rFonts w:ascii="Calibri" w:hAnsi="Calibri"/>
                                <w:sz w:val="20"/>
                                <w:lang w:val="en-US"/>
                              </w:rPr>
                              <w:t>aims to promote more efficient and integrated responses to</w:t>
                            </w:r>
                            <w:r w:rsidRPr="004D110C">
                              <w:rPr>
                                <w:rFonts w:ascii="Calibri" w:hAnsi="Calibri"/>
                                <w:sz w:val="20"/>
                                <w:lang w:val="en-US"/>
                              </w:rPr>
                              <w:t xml:space="preserve"> humanitarian </w:t>
                            </w:r>
                            <w:r w:rsidR="00B3555A">
                              <w:rPr>
                                <w:rFonts w:ascii="Calibri" w:hAnsi="Calibri"/>
                                <w:sz w:val="20"/>
                                <w:lang w:val="en-US"/>
                              </w:rPr>
                              <w:t>crises</w:t>
                            </w:r>
                            <w:r w:rsidR="00E115C9" w:rsidRPr="00E115C9">
                              <w:rPr>
                                <w:rFonts w:ascii="Calibri" w:hAnsi="Calibri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E115C9">
                              <w:rPr>
                                <w:rFonts w:ascii="Calibri" w:hAnsi="Calibri"/>
                                <w:sz w:val="20"/>
                                <w:lang w:val="en-US"/>
                              </w:rPr>
                              <w:t xml:space="preserve">in </w:t>
                            </w:r>
                            <w:r w:rsidR="00E115C9" w:rsidRPr="004D110C">
                              <w:rPr>
                                <w:rFonts w:ascii="Calibri" w:hAnsi="Calibri"/>
                                <w:sz w:val="20"/>
                                <w:lang w:val="en-US"/>
                              </w:rPr>
                              <w:t>urban</w:t>
                            </w:r>
                            <w:r w:rsidR="00131E11">
                              <w:rPr>
                                <w:rFonts w:ascii="Calibri" w:hAnsi="Calibri"/>
                                <w:sz w:val="20"/>
                                <w:lang w:val="en-US"/>
                              </w:rPr>
                              <w:t xml:space="preserve"> areas</w:t>
                            </w:r>
                            <w:r w:rsidR="00B3555A">
                              <w:rPr>
                                <w:rFonts w:ascii="Calibri" w:hAnsi="Calibri"/>
                                <w:sz w:val="20"/>
                                <w:lang w:val="en-US"/>
                              </w:rPr>
                              <w:t>, through knowledge sharing, development of new approaches</w:t>
                            </w:r>
                            <w:r w:rsidR="005A3A96">
                              <w:rPr>
                                <w:rFonts w:ascii="Calibri" w:hAnsi="Calibri"/>
                                <w:sz w:val="20"/>
                                <w:lang w:val="en-US"/>
                              </w:rPr>
                              <w:t xml:space="preserve"> and </w:t>
                            </w:r>
                            <w:r w:rsidR="003974A7">
                              <w:rPr>
                                <w:rFonts w:ascii="Calibri" w:hAnsi="Calibri"/>
                                <w:sz w:val="20"/>
                                <w:lang w:val="en-US"/>
                              </w:rPr>
                              <w:t xml:space="preserve">creation of </w:t>
                            </w:r>
                            <w:r w:rsidR="005A3A96">
                              <w:rPr>
                                <w:rFonts w:ascii="Calibri" w:hAnsi="Calibri"/>
                                <w:sz w:val="20"/>
                                <w:lang w:val="en-US"/>
                              </w:rPr>
                              <w:t>systemic-change within the IASC Structure and its Members</w:t>
                            </w:r>
                            <w:r w:rsidRPr="004D110C">
                              <w:rPr>
                                <w:rFonts w:ascii="Calibri" w:hAnsi="Calibri"/>
                                <w:sz w:val="20"/>
                                <w:lang w:val="en-US"/>
                              </w:rPr>
                              <w:t xml:space="preserve">. </w:t>
                            </w:r>
                          </w:p>
                          <w:p w14:paraId="51FF5D67" w14:textId="77777777" w:rsidR="00210C5E" w:rsidRPr="00D333A0" w:rsidRDefault="00210C5E" w:rsidP="00BC4BCD">
                            <w:pPr>
                              <w:pStyle w:val="NoSpacing"/>
                              <w:jc w:val="center"/>
                              <w:rPr>
                                <w:b/>
                                <w:color w:val="E36C0A" w:themeColor="accent6" w:themeShade="BF"/>
                                <w:sz w:val="10"/>
                                <w:szCs w:val="10"/>
                              </w:rPr>
                            </w:pPr>
                          </w:p>
                          <w:p w14:paraId="4CAF23A4" w14:textId="77777777" w:rsidR="00176B45" w:rsidRPr="004D110C" w:rsidRDefault="00176B45" w:rsidP="00F26A92">
                            <w:pPr>
                              <w:pStyle w:val="NoSpacing"/>
                              <w:tabs>
                                <w:tab w:val="left" w:pos="560"/>
                              </w:tabs>
                              <w:jc w:val="center"/>
                              <w:rPr>
                                <w:b/>
                                <w:color w:val="E36C0A" w:themeColor="accent6" w:themeShade="BF"/>
                                <w:sz w:val="20"/>
                              </w:rPr>
                            </w:pPr>
                            <w:r w:rsidRPr="004D110C">
                              <w:rPr>
                                <w:b/>
                                <w:color w:val="E36C0A" w:themeColor="accent6" w:themeShade="BF"/>
                                <w:sz w:val="20"/>
                              </w:rPr>
                              <w:t>Tasks</w:t>
                            </w:r>
                          </w:p>
                          <w:p w14:paraId="75F721A4" w14:textId="77777777" w:rsidR="00210C5E" w:rsidRPr="004D110C" w:rsidRDefault="00210C5E" w:rsidP="00210C5E">
                            <w:pPr>
                              <w:widowControl w:val="0"/>
                              <w:tabs>
                                <w:tab w:val="left" w:pos="5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33"/>
                              <w:jc w:val="both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  <w:r w:rsidRPr="004D110C">
                              <w:rPr>
                                <w:rFonts w:ascii="Calibri" w:hAnsi="Calibri" w:cs="Tahoma"/>
                                <w:sz w:val="20"/>
                              </w:rPr>
                              <w:t>As per IASC Principals recommendations</w:t>
                            </w:r>
                            <w:r w:rsidR="009E533A"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 and in line with the IASC MHCUA Strategy</w:t>
                            </w:r>
                            <w:r w:rsidRPr="004D110C"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, </w:t>
                            </w:r>
                            <w:r w:rsidR="004D110C">
                              <w:rPr>
                                <w:rFonts w:ascii="Calibri" w:hAnsi="Calibri" w:cs="Tahoma"/>
                                <w:sz w:val="20"/>
                              </w:rPr>
                              <w:t>t</w:t>
                            </w:r>
                            <w:r w:rsidRPr="004D110C"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he RG </w:t>
                            </w:r>
                            <w:r w:rsidR="00210B88">
                              <w:rPr>
                                <w:rFonts w:ascii="Calibri" w:hAnsi="Calibri" w:cs="Tahoma"/>
                                <w:sz w:val="20"/>
                              </w:rPr>
                              <w:t>focuses</w:t>
                            </w:r>
                            <w:r w:rsidRPr="004D110C"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 on:</w:t>
                            </w:r>
                          </w:p>
                          <w:p w14:paraId="24D29354" w14:textId="77777777" w:rsidR="00210C5E" w:rsidRPr="00C562A0" w:rsidRDefault="00210C5E" w:rsidP="00210C5E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5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33"/>
                              <w:jc w:val="both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  <w:r w:rsidRPr="00C562A0">
                              <w:rPr>
                                <w:rFonts w:ascii="Calibri" w:hAnsi="Calibri" w:cs="Tahoma"/>
                                <w:sz w:val="20"/>
                              </w:rPr>
                              <w:t>Adopting Area-based Approaches</w:t>
                            </w:r>
                          </w:p>
                          <w:p w14:paraId="3D6AD602" w14:textId="77777777" w:rsidR="00CD3EED" w:rsidRPr="00C562A0" w:rsidRDefault="00210C5E" w:rsidP="00CD3EED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5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33"/>
                              <w:jc w:val="both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  <w:r w:rsidRPr="00C562A0">
                              <w:rPr>
                                <w:rFonts w:ascii="Calibri" w:hAnsi="Calibri" w:cs="Tahoma"/>
                                <w:sz w:val="20"/>
                              </w:rPr>
                              <w:t>Surging IASC Assistance within Local Governments and Partners fitting for purpose</w:t>
                            </w:r>
                          </w:p>
                          <w:p w14:paraId="46A0D20F" w14:textId="77777777" w:rsidR="00210C5E" w:rsidRPr="00C562A0" w:rsidRDefault="00210C5E" w:rsidP="00CD3EED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5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33"/>
                              <w:jc w:val="both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  <w:r w:rsidRPr="00C562A0">
                              <w:rPr>
                                <w:rFonts w:ascii="Calibri" w:hAnsi="Calibri" w:cs="Tahoma"/>
                                <w:sz w:val="20"/>
                              </w:rPr>
                              <w:t>Facilitating Affected Communities Direct Engagement for Enhanced Accountability</w:t>
                            </w:r>
                          </w:p>
                          <w:p w14:paraId="22A7604B" w14:textId="77777777" w:rsidR="00B3555A" w:rsidRPr="004D110C" w:rsidRDefault="00B3555A" w:rsidP="00210C5E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5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33"/>
                              <w:jc w:val="both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  <w:r w:rsidRPr="00C562A0">
                              <w:rPr>
                                <w:rFonts w:ascii="Calibri" w:hAnsi="Calibri" w:cs="Tahoma"/>
                                <w:sz w:val="20"/>
                              </w:rPr>
                              <w:t>Other Priorities</w:t>
                            </w:r>
                            <w:r w:rsidR="00F56D54" w:rsidRPr="00C562A0"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, including urban violence, social and gender inequality, urban resilience, urban </w:t>
                            </w:r>
                            <w:r w:rsidRPr="00C562A0">
                              <w:rPr>
                                <w:rFonts w:ascii="Calibri" w:hAnsi="Calibri" w:cs="Tahoma"/>
                                <w:sz w:val="20"/>
                              </w:rPr>
                              <w:t>governance and systems; and strengthening the link between humanitarian and</w:t>
                            </w:r>
                            <w:r w:rsidRPr="00B3555A"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 development actions</w:t>
                            </w:r>
                            <w:r w:rsidR="00F56D54"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7811D" id="Text Box 3" o:spid="_x0000_s1027" type="#_x0000_t202" style="position:absolute;margin-left:-10.8pt;margin-top:7.3pt;width:543.65pt;height:135.8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" strokecolor="#31849b [2408]">
                <v:fill r:id="rId11" o:title="" recolor="t" type="tile"/>
                <v:textbox>
                  <w:txbxContent>
                    <w:p w14:paraId="25ADDD8D" w14:textId="77777777" w:rsidR="00176B45" w:rsidRPr="004D110C" w:rsidRDefault="00B3555A" w:rsidP="00BC4BCD">
                      <w:pPr>
                        <w:pStyle w:val="NoSpacing"/>
                        <w:jc w:val="center"/>
                        <w:rPr>
                          <w:b/>
                          <w:color w:val="E36C0A" w:themeColor="accent6" w:themeShade="BF"/>
                          <w:sz w:val="20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20"/>
                        </w:rPr>
                        <w:t>Objective:</w:t>
                      </w:r>
                    </w:p>
                    <w:p w14:paraId="1A192724" w14:textId="77777777" w:rsidR="00210C5E" w:rsidRPr="004D110C" w:rsidRDefault="00210C5E" w:rsidP="008F5472">
                      <w:pPr>
                        <w:pStyle w:val="NoSpacing"/>
                        <w:jc w:val="both"/>
                        <w:rPr>
                          <w:rFonts w:ascii="Calibri" w:hAnsi="Calibri"/>
                          <w:sz w:val="20"/>
                          <w:lang w:val="en-US"/>
                        </w:rPr>
                      </w:pPr>
                      <w:r w:rsidRPr="004D110C">
                        <w:rPr>
                          <w:rFonts w:ascii="Calibri" w:hAnsi="Calibri"/>
                          <w:sz w:val="20"/>
                          <w:lang w:val="en-US"/>
                        </w:rPr>
                        <w:t xml:space="preserve">The </w:t>
                      </w:r>
                      <w:r w:rsidR="00B3555A">
                        <w:rPr>
                          <w:rFonts w:ascii="Calibri" w:hAnsi="Calibri"/>
                          <w:sz w:val="20"/>
                          <w:lang w:val="en-US"/>
                        </w:rPr>
                        <w:t xml:space="preserve">IASC RG </w:t>
                      </w:r>
                      <w:r w:rsidRPr="004D110C">
                        <w:rPr>
                          <w:rFonts w:ascii="Calibri" w:hAnsi="Calibri"/>
                          <w:sz w:val="20"/>
                          <w:lang w:val="en-US"/>
                        </w:rPr>
                        <w:t xml:space="preserve">MHCUA </w:t>
                      </w:r>
                      <w:r w:rsidR="00B3555A">
                        <w:rPr>
                          <w:rFonts w:ascii="Calibri" w:hAnsi="Calibri"/>
                          <w:sz w:val="20"/>
                          <w:lang w:val="en-US"/>
                        </w:rPr>
                        <w:t>aims to promote more efficient and integrated responses to</w:t>
                      </w:r>
                      <w:r w:rsidRPr="004D110C">
                        <w:rPr>
                          <w:rFonts w:ascii="Calibri" w:hAnsi="Calibri"/>
                          <w:sz w:val="20"/>
                          <w:lang w:val="en-US"/>
                        </w:rPr>
                        <w:t xml:space="preserve"> humanitarian </w:t>
                      </w:r>
                      <w:r w:rsidR="00B3555A">
                        <w:rPr>
                          <w:rFonts w:ascii="Calibri" w:hAnsi="Calibri"/>
                          <w:sz w:val="20"/>
                          <w:lang w:val="en-US"/>
                        </w:rPr>
                        <w:t>crises</w:t>
                      </w:r>
                      <w:r w:rsidR="00E115C9" w:rsidRPr="00E115C9">
                        <w:rPr>
                          <w:rFonts w:ascii="Calibri" w:hAnsi="Calibri"/>
                          <w:sz w:val="20"/>
                          <w:lang w:val="en-US"/>
                        </w:rPr>
                        <w:t xml:space="preserve"> </w:t>
                      </w:r>
                      <w:r w:rsidR="00E115C9">
                        <w:rPr>
                          <w:rFonts w:ascii="Calibri" w:hAnsi="Calibri"/>
                          <w:sz w:val="20"/>
                          <w:lang w:val="en-US"/>
                        </w:rPr>
                        <w:t xml:space="preserve">in </w:t>
                      </w:r>
                      <w:r w:rsidR="00E115C9" w:rsidRPr="004D110C">
                        <w:rPr>
                          <w:rFonts w:ascii="Calibri" w:hAnsi="Calibri"/>
                          <w:sz w:val="20"/>
                          <w:lang w:val="en-US"/>
                        </w:rPr>
                        <w:t>urban</w:t>
                      </w:r>
                      <w:r w:rsidR="00131E11">
                        <w:rPr>
                          <w:rFonts w:ascii="Calibri" w:hAnsi="Calibri"/>
                          <w:sz w:val="20"/>
                          <w:lang w:val="en-US"/>
                        </w:rPr>
                        <w:t xml:space="preserve"> areas</w:t>
                      </w:r>
                      <w:r w:rsidR="00B3555A">
                        <w:rPr>
                          <w:rFonts w:ascii="Calibri" w:hAnsi="Calibri"/>
                          <w:sz w:val="20"/>
                          <w:lang w:val="en-US"/>
                        </w:rPr>
                        <w:t>, through knowledge sharing, development of new approaches</w:t>
                      </w:r>
                      <w:r w:rsidR="005A3A96">
                        <w:rPr>
                          <w:rFonts w:ascii="Calibri" w:hAnsi="Calibri"/>
                          <w:sz w:val="20"/>
                          <w:lang w:val="en-US"/>
                        </w:rPr>
                        <w:t xml:space="preserve"> and </w:t>
                      </w:r>
                      <w:r w:rsidR="003974A7">
                        <w:rPr>
                          <w:rFonts w:ascii="Calibri" w:hAnsi="Calibri"/>
                          <w:sz w:val="20"/>
                          <w:lang w:val="en-US"/>
                        </w:rPr>
                        <w:t xml:space="preserve">creation of </w:t>
                      </w:r>
                      <w:r w:rsidR="005A3A96">
                        <w:rPr>
                          <w:rFonts w:ascii="Calibri" w:hAnsi="Calibri"/>
                          <w:sz w:val="20"/>
                          <w:lang w:val="en-US"/>
                        </w:rPr>
                        <w:t>systemic-change within the IASC Structure and its Members</w:t>
                      </w:r>
                      <w:r w:rsidRPr="004D110C">
                        <w:rPr>
                          <w:rFonts w:ascii="Calibri" w:hAnsi="Calibri"/>
                          <w:sz w:val="20"/>
                          <w:lang w:val="en-US"/>
                        </w:rPr>
                        <w:t xml:space="preserve">. </w:t>
                      </w:r>
                    </w:p>
                    <w:p w14:paraId="51FF5D67" w14:textId="77777777" w:rsidR="00210C5E" w:rsidRPr="00D333A0" w:rsidRDefault="00210C5E" w:rsidP="00BC4BCD">
                      <w:pPr>
                        <w:pStyle w:val="NoSpacing"/>
                        <w:jc w:val="center"/>
                        <w:rPr>
                          <w:b/>
                          <w:color w:val="E36C0A" w:themeColor="accent6" w:themeShade="BF"/>
                          <w:sz w:val="10"/>
                          <w:szCs w:val="10"/>
                        </w:rPr>
                      </w:pPr>
                    </w:p>
                    <w:p w14:paraId="4CAF23A4" w14:textId="77777777" w:rsidR="00176B45" w:rsidRPr="004D110C" w:rsidRDefault="00176B45" w:rsidP="00F26A92">
                      <w:pPr>
                        <w:pStyle w:val="NoSpacing"/>
                        <w:tabs>
                          <w:tab w:val="left" w:pos="560"/>
                        </w:tabs>
                        <w:jc w:val="center"/>
                        <w:rPr>
                          <w:b/>
                          <w:color w:val="E36C0A" w:themeColor="accent6" w:themeShade="BF"/>
                          <w:sz w:val="20"/>
                        </w:rPr>
                      </w:pPr>
                      <w:r w:rsidRPr="004D110C">
                        <w:rPr>
                          <w:b/>
                          <w:color w:val="E36C0A" w:themeColor="accent6" w:themeShade="BF"/>
                          <w:sz w:val="20"/>
                        </w:rPr>
                        <w:t>Tasks</w:t>
                      </w:r>
                    </w:p>
                    <w:p w14:paraId="75F721A4" w14:textId="77777777" w:rsidR="00210C5E" w:rsidRPr="004D110C" w:rsidRDefault="00210C5E" w:rsidP="00210C5E">
                      <w:pPr>
                        <w:widowControl w:val="0"/>
                        <w:tabs>
                          <w:tab w:val="left" w:pos="5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33"/>
                        <w:jc w:val="both"/>
                        <w:rPr>
                          <w:rFonts w:ascii="Calibri" w:hAnsi="Calibri" w:cs="Tahoma"/>
                          <w:sz w:val="20"/>
                        </w:rPr>
                      </w:pPr>
                      <w:r w:rsidRPr="004D110C">
                        <w:rPr>
                          <w:rFonts w:ascii="Calibri" w:hAnsi="Calibri" w:cs="Tahoma"/>
                          <w:sz w:val="20"/>
                        </w:rPr>
                        <w:t>As per IASC Principals recommendations</w:t>
                      </w:r>
                      <w:r w:rsidR="009E533A">
                        <w:rPr>
                          <w:rFonts w:ascii="Calibri" w:hAnsi="Calibri" w:cs="Tahoma"/>
                          <w:sz w:val="20"/>
                        </w:rPr>
                        <w:t xml:space="preserve"> and in line with the IASC MHCUA Strategy</w:t>
                      </w:r>
                      <w:r w:rsidRPr="004D110C">
                        <w:rPr>
                          <w:rFonts w:ascii="Calibri" w:hAnsi="Calibri" w:cs="Tahoma"/>
                          <w:sz w:val="20"/>
                        </w:rPr>
                        <w:t xml:space="preserve">, </w:t>
                      </w:r>
                      <w:r w:rsidR="004D110C">
                        <w:rPr>
                          <w:rFonts w:ascii="Calibri" w:hAnsi="Calibri" w:cs="Tahoma"/>
                          <w:sz w:val="20"/>
                        </w:rPr>
                        <w:t>t</w:t>
                      </w:r>
                      <w:r w:rsidRPr="004D110C">
                        <w:rPr>
                          <w:rFonts w:ascii="Calibri" w:hAnsi="Calibri" w:cs="Tahoma"/>
                          <w:sz w:val="20"/>
                        </w:rPr>
                        <w:t xml:space="preserve">he RG </w:t>
                      </w:r>
                      <w:r w:rsidR="00210B88">
                        <w:rPr>
                          <w:rFonts w:ascii="Calibri" w:hAnsi="Calibri" w:cs="Tahoma"/>
                          <w:sz w:val="20"/>
                        </w:rPr>
                        <w:t>focuses</w:t>
                      </w:r>
                      <w:r w:rsidRPr="004D110C">
                        <w:rPr>
                          <w:rFonts w:ascii="Calibri" w:hAnsi="Calibri" w:cs="Tahoma"/>
                          <w:sz w:val="20"/>
                        </w:rPr>
                        <w:t xml:space="preserve"> on:</w:t>
                      </w:r>
                    </w:p>
                    <w:p w14:paraId="24D29354" w14:textId="77777777" w:rsidR="00210C5E" w:rsidRPr="00C562A0" w:rsidRDefault="00210C5E" w:rsidP="00210C5E">
                      <w:pPr>
                        <w:widowControl w:val="0"/>
                        <w:numPr>
                          <w:ilvl w:val="0"/>
                          <w:numId w:val="12"/>
                        </w:numPr>
                        <w:tabs>
                          <w:tab w:val="left" w:pos="5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33"/>
                        <w:jc w:val="both"/>
                        <w:rPr>
                          <w:rFonts w:ascii="Calibri" w:hAnsi="Calibri" w:cs="Tahoma"/>
                          <w:sz w:val="20"/>
                        </w:rPr>
                      </w:pPr>
                      <w:r w:rsidRPr="00C562A0">
                        <w:rPr>
                          <w:rFonts w:ascii="Calibri" w:hAnsi="Calibri" w:cs="Tahoma"/>
                          <w:sz w:val="20"/>
                        </w:rPr>
                        <w:t>Adopting Area-based Approaches</w:t>
                      </w:r>
                    </w:p>
                    <w:p w14:paraId="3D6AD602" w14:textId="77777777" w:rsidR="00CD3EED" w:rsidRPr="00C562A0" w:rsidRDefault="00210C5E" w:rsidP="00CD3EED">
                      <w:pPr>
                        <w:widowControl w:val="0"/>
                        <w:numPr>
                          <w:ilvl w:val="0"/>
                          <w:numId w:val="12"/>
                        </w:numPr>
                        <w:tabs>
                          <w:tab w:val="left" w:pos="5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33"/>
                        <w:jc w:val="both"/>
                        <w:rPr>
                          <w:rFonts w:ascii="Calibri" w:hAnsi="Calibri" w:cs="Tahoma"/>
                          <w:sz w:val="20"/>
                        </w:rPr>
                      </w:pPr>
                      <w:r w:rsidRPr="00C562A0">
                        <w:rPr>
                          <w:rFonts w:ascii="Calibri" w:hAnsi="Calibri" w:cs="Tahoma"/>
                          <w:sz w:val="20"/>
                        </w:rPr>
                        <w:t>Surging IASC Assistance within Local Governments and Partners fitting for purpose</w:t>
                      </w:r>
                    </w:p>
                    <w:p w14:paraId="46A0D20F" w14:textId="77777777" w:rsidR="00210C5E" w:rsidRPr="00C562A0" w:rsidRDefault="00210C5E" w:rsidP="00CD3EED">
                      <w:pPr>
                        <w:widowControl w:val="0"/>
                        <w:numPr>
                          <w:ilvl w:val="0"/>
                          <w:numId w:val="12"/>
                        </w:numPr>
                        <w:tabs>
                          <w:tab w:val="left" w:pos="5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33"/>
                        <w:jc w:val="both"/>
                        <w:rPr>
                          <w:rFonts w:ascii="Calibri" w:hAnsi="Calibri" w:cs="Tahoma"/>
                          <w:sz w:val="20"/>
                        </w:rPr>
                      </w:pPr>
                      <w:r w:rsidRPr="00C562A0">
                        <w:rPr>
                          <w:rFonts w:ascii="Calibri" w:hAnsi="Calibri" w:cs="Tahoma"/>
                          <w:sz w:val="20"/>
                        </w:rPr>
                        <w:t>Facilitating Affected Communities Direct Engagement for Enhanced Accountability</w:t>
                      </w:r>
                    </w:p>
                    <w:p w14:paraId="22A7604B" w14:textId="77777777" w:rsidR="00B3555A" w:rsidRPr="004D110C" w:rsidRDefault="00B3555A" w:rsidP="00210C5E">
                      <w:pPr>
                        <w:widowControl w:val="0"/>
                        <w:numPr>
                          <w:ilvl w:val="0"/>
                          <w:numId w:val="12"/>
                        </w:numPr>
                        <w:tabs>
                          <w:tab w:val="left" w:pos="5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33"/>
                        <w:jc w:val="both"/>
                        <w:rPr>
                          <w:rFonts w:ascii="Calibri" w:hAnsi="Calibri" w:cs="Tahoma"/>
                          <w:sz w:val="20"/>
                        </w:rPr>
                      </w:pPr>
                      <w:r w:rsidRPr="00C562A0">
                        <w:rPr>
                          <w:rFonts w:ascii="Calibri" w:hAnsi="Calibri" w:cs="Tahoma"/>
                          <w:sz w:val="20"/>
                        </w:rPr>
                        <w:t>Other Priorities</w:t>
                      </w:r>
                      <w:r w:rsidR="00F56D54" w:rsidRPr="00C562A0">
                        <w:rPr>
                          <w:rFonts w:ascii="Calibri" w:hAnsi="Calibri" w:cs="Tahoma"/>
                          <w:sz w:val="20"/>
                        </w:rPr>
                        <w:t xml:space="preserve">, including urban violence, social and gender inequality, urban resilience, urban </w:t>
                      </w:r>
                      <w:r w:rsidRPr="00C562A0">
                        <w:rPr>
                          <w:rFonts w:ascii="Calibri" w:hAnsi="Calibri" w:cs="Tahoma"/>
                          <w:sz w:val="20"/>
                        </w:rPr>
                        <w:t>governance and systems; and strengthening the link between humanitarian and</w:t>
                      </w:r>
                      <w:r w:rsidRPr="00B3555A">
                        <w:rPr>
                          <w:rFonts w:ascii="Calibri" w:hAnsi="Calibri" w:cs="Tahoma"/>
                          <w:sz w:val="20"/>
                        </w:rPr>
                        <w:t xml:space="preserve"> development actions</w:t>
                      </w:r>
                      <w:r w:rsidR="00F56D54">
                        <w:rPr>
                          <w:rFonts w:ascii="Calibri" w:hAnsi="Calibri" w:cs="Tahoma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6761D8B" w14:textId="77777777" w:rsidR="007F3DE0" w:rsidRDefault="007F3DE0" w:rsidP="00292474">
      <w:pP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</w:pPr>
    </w:p>
    <w:p w14:paraId="5C584FFC" w14:textId="77777777" w:rsidR="007F3DE0" w:rsidRDefault="007F3DE0" w:rsidP="00292474">
      <w:pP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</w:pPr>
    </w:p>
    <w:p w14:paraId="4301655E" w14:textId="77777777" w:rsidR="007F3DE0" w:rsidRPr="007F3DE0" w:rsidRDefault="007F3DE0" w:rsidP="00292474">
      <w:pPr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279A936D" w14:textId="77777777" w:rsidR="0094728E" w:rsidRDefault="0094728E" w:rsidP="00690441">
      <w:pPr>
        <w:spacing w:before="240" w:line="240" w:lineRule="auto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701692FD" w14:textId="77777777" w:rsidR="00ED376B" w:rsidRDefault="000220BF" w:rsidP="0094728E">
      <w:pPr>
        <w:spacing w:line="240" w:lineRule="auto"/>
        <w:rPr>
          <w:b/>
          <w:color w:val="548DD4" w:themeColor="text2" w:themeTint="99"/>
          <w:sz w:val="2"/>
          <w:lang w:val="en-US"/>
        </w:rPr>
      </w:pPr>
      <w:r w:rsidRPr="000220BF">
        <w:rPr>
          <w:b/>
          <w:color w:val="548DD4" w:themeColor="text2" w:themeTint="99"/>
          <w:sz w:val="28"/>
          <w:lang w:val="en-US"/>
        </w:rPr>
        <w:t xml:space="preserve"> </w:t>
      </w:r>
    </w:p>
    <w:p w14:paraId="2D11DE4F" w14:textId="77777777" w:rsidR="00EA011A" w:rsidRDefault="00457A8F" w:rsidP="00EA011A">
      <w:pPr>
        <w:spacing w:before="120" w:line="240" w:lineRule="auto"/>
        <w:rPr>
          <w:rFonts w:ascii="Calibri" w:hAnsi="Calibri" w:cs="Verdana"/>
          <w:sz w:val="20"/>
          <w:szCs w:val="20"/>
        </w:rPr>
      </w:pPr>
      <w:r>
        <w:rPr>
          <w:rFonts w:ascii="Arial" w:hAnsi="Arial" w:cs="Arial"/>
          <w:bCs/>
          <w:noProof/>
          <w:color w:val="000000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45C1EC22" wp14:editId="3B8CA4D3">
                <wp:simplePos x="0" y="0"/>
                <wp:positionH relativeFrom="column">
                  <wp:posOffset>-221109</wp:posOffset>
                </wp:positionH>
                <wp:positionV relativeFrom="paragraph">
                  <wp:posOffset>225027</wp:posOffset>
                </wp:positionV>
                <wp:extent cx="4012565" cy="272415"/>
                <wp:effectExtent l="0" t="0" r="698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56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49859" w14:textId="77777777" w:rsidR="00945ED1" w:rsidRPr="00ED376B" w:rsidRDefault="00945ED1" w:rsidP="00945ED1">
                            <w:pPr>
                              <w:spacing w:line="240" w:lineRule="auto"/>
                              <w:rPr>
                                <w:b/>
                                <w:color w:val="548DD4" w:themeColor="text2" w:themeTint="99"/>
                                <w:sz w:val="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4"/>
                                <w:szCs w:val="24"/>
                                <w:lang w:val="en-US"/>
                              </w:rPr>
                              <w:t>ACHIEVEMENTS SINCE</w:t>
                            </w:r>
                            <w:r w:rsidR="003201E3">
                              <w:rPr>
                                <w:b/>
                                <w:color w:val="548DD4" w:themeColor="text2" w:themeTint="99"/>
                                <w:sz w:val="24"/>
                                <w:szCs w:val="24"/>
                                <w:lang w:val="en-US"/>
                              </w:rPr>
                              <w:t xml:space="preserve"> APRIL</w:t>
                            </w:r>
                            <w:r>
                              <w:rPr>
                                <w:b/>
                                <w:color w:val="548DD4" w:themeColor="text2" w:themeTint="99"/>
                                <w:sz w:val="24"/>
                                <w:szCs w:val="24"/>
                                <w:lang w:val="en-US"/>
                              </w:rPr>
                              <w:t xml:space="preserve"> 2016</w:t>
                            </w:r>
                          </w:p>
                          <w:p w14:paraId="131573F0" w14:textId="77777777" w:rsidR="00945ED1" w:rsidRPr="00185C8D" w:rsidRDefault="00945ED1" w:rsidP="00945ED1">
                            <w:pPr>
                              <w:spacing w:after="120" w:line="240" w:lineRule="auto"/>
                              <w:rPr>
                                <w:b/>
                                <w:color w:val="548DD4" w:themeColor="text2" w:themeTint="99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1EC22" id="_x0000_s1028" type="#_x0000_t202" style="position:absolute;margin-left:-17.4pt;margin-top:17.7pt;width:315.95pt;height:21.4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" stroked="f">
                <v:textbox>
                  <w:txbxContent>
                    <w:p w14:paraId="6AC49859" w14:textId="77777777" w:rsidR="00945ED1" w:rsidRPr="00ED376B" w:rsidRDefault="00945ED1" w:rsidP="00945ED1">
                      <w:pPr>
                        <w:spacing w:line="240" w:lineRule="auto"/>
                        <w:rPr>
                          <w:b/>
                          <w:color w:val="548DD4" w:themeColor="text2" w:themeTint="99"/>
                          <w:sz w:val="2"/>
                          <w:lang w:val="en-US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4"/>
                          <w:szCs w:val="24"/>
                          <w:lang w:val="en-US"/>
                        </w:rPr>
                        <w:t>ACHIEVEMENTS SINCE</w:t>
                      </w:r>
                      <w:r w:rsidR="003201E3">
                        <w:rPr>
                          <w:b/>
                          <w:color w:val="548DD4" w:themeColor="text2" w:themeTint="99"/>
                          <w:sz w:val="24"/>
                          <w:szCs w:val="24"/>
                          <w:lang w:val="en-US"/>
                        </w:rPr>
                        <w:t xml:space="preserve"> APRIL</w:t>
                      </w:r>
                      <w:r>
                        <w:rPr>
                          <w:b/>
                          <w:color w:val="548DD4" w:themeColor="text2" w:themeTint="99"/>
                          <w:sz w:val="24"/>
                          <w:szCs w:val="24"/>
                          <w:lang w:val="en-US"/>
                        </w:rPr>
                        <w:t xml:space="preserve"> 2016</w:t>
                      </w:r>
                    </w:p>
                    <w:p w14:paraId="131573F0" w14:textId="77777777" w:rsidR="00945ED1" w:rsidRPr="00185C8D" w:rsidRDefault="00945ED1" w:rsidP="00945ED1">
                      <w:pPr>
                        <w:spacing w:after="120" w:line="240" w:lineRule="auto"/>
                        <w:rPr>
                          <w:b/>
                          <w:color w:val="548DD4" w:themeColor="text2" w:themeTint="99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8A53D8" w14:textId="77777777" w:rsidR="00EA011A" w:rsidRPr="00EA011A" w:rsidRDefault="00457A8F" w:rsidP="00EA011A">
      <w:pPr>
        <w:tabs>
          <w:tab w:val="left" w:pos="7851"/>
        </w:tabs>
        <w:rPr>
          <w:rFonts w:ascii="Calibri" w:hAnsi="Calibri" w:cs="Verdana"/>
          <w:sz w:val="20"/>
          <w:szCs w:val="20"/>
        </w:rPr>
      </w:pPr>
      <w:r w:rsidRPr="00B03AD0">
        <w:rPr>
          <w:b/>
          <w:noProof/>
          <w:color w:val="548DD4" w:themeColor="text2" w:themeTint="99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1D9C0FA4" wp14:editId="0710CA04">
                <wp:simplePos x="0" y="0"/>
                <wp:positionH relativeFrom="column">
                  <wp:posOffset>-162560</wp:posOffset>
                </wp:positionH>
                <wp:positionV relativeFrom="paragraph">
                  <wp:posOffset>218569</wp:posOffset>
                </wp:positionV>
                <wp:extent cx="6896100" cy="3029918"/>
                <wp:effectExtent l="0" t="0" r="1905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30299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EC441" w14:textId="77777777" w:rsidR="00F76AA6" w:rsidRPr="00BA29B9" w:rsidRDefault="00F76AA6" w:rsidP="00210C5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Helvetic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BA29B9">
                              <w:rPr>
                                <w:rFonts w:ascii="Calibri" w:hAnsi="Calibri" w:cs="Helvetica"/>
                                <w:color w:val="000000"/>
                                <w:sz w:val="21"/>
                                <w:szCs w:val="21"/>
                              </w:rPr>
                              <w:t>Through regular meetings</w:t>
                            </w:r>
                            <w:r w:rsidR="004935FB" w:rsidRPr="00BA29B9">
                              <w:rPr>
                                <w:rFonts w:ascii="Calibri" w:hAnsi="Calibri" w:cs="Helvetica"/>
                                <w:color w:val="000000"/>
                                <w:sz w:val="21"/>
                                <w:szCs w:val="21"/>
                              </w:rPr>
                              <w:t xml:space="preserve"> and coordination</w:t>
                            </w:r>
                            <w:r w:rsidRPr="00BA29B9">
                              <w:rPr>
                                <w:rFonts w:ascii="Calibri" w:hAnsi="Calibri" w:cs="Helvetica"/>
                                <w:color w:val="000000"/>
                                <w:sz w:val="21"/>
                                <w:szCs w:val="21"/>
                              </w:rPr>
                              <w:t xml:space="preserve">, the IASC RG Co-Chairs and its Members have ensured a successful implementation of the </w:t>
                            </w:r>
                            <w:r w:rsidR="00CF391B" w:rsidRPr="00BA29B9">
                              <w:rPr>
                                <w:rFonts w:ascii="Calibri" w:hAnsi="Calibri" w:cs="Helvetica"/>
                                <w:color w:val="000000"/>
                                <w:sz w:val="21"/>
                                <w:szCs w:val="21"/>
                              </w:rPr>
                              <w:t>action plan</w:t>
                            </w:r>
                            <w:r w:rsidRPr="00BA29B9">
                              <w:rPr>
                                <w:rFonts w:ascii="Calibri" w:hAnsi="Calibri" w:cs="Helvetica"/>
                                <w:color w:val="000000"/>
                                <w:sz w:val="21"/>
                                <w:szCs w:val="21"/>
                              </w:rPr>
                              <w:t>, with the following key achievements:</w:t>
                            </w:r>
                          </w:p>
                          <w:p w14:paraId="610BD44B" w14:textId="77777777" w:rsidR="00210C5E" w:rsidRPr="00BA29B9" w:rsidRDefault="006C6C68" w:rsidP="00203ED5">
                            <w:pPr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84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Helvetic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 xml:space="preserve">The RG has played an active role in organizing </w:t>
                            </w:r>
                            <w:r w:rsidRPr="00BA29B9">
                              <w:rPr>
                                <w:rFonts w:ascii="Calibri" w:hAnsi="Calibri" w:cs="Arial"/>
                                <w:b/>
                                <w:sz w:val="21"/>
                                <w:szCs w:val="21"/>
                                <w:lang w:val="en-US"/>
                              </w:rPr>
                              <w:t>urba</w:t>
                            </w:r>
                            <w:r w:rsidR="00987F67" w:rsidRPr="00BA29B9">
                              <w:rPr>
                                <w:rFonts w:ascii="Calibri" w:hAnsi="Calibri" w:cs="Arial"/>
                                <w:b/>
                                <w:sz w:val="21"/>
                                <w:szCs w:val="21"/>
                                <w:lang w:val="en-US"/>
                              </w:rPr>
                              <w:t xml:space="preserve">n related events during the WHS, </w:t>
                            </w:r>
                            <w:r w:rsidRPr="00BA29B9">
                              <w:rPr>
                                <w:rFonts w:ascii="Calibri" w:hAnsi="Calibri" w:cs="Arial"/>
                                <w:b/>
                                <w:sz w:val="21"/>
                                <w:szCs w:val="21"/>
                                <w:lang w:val="en-US"/>
                              </w:rPr>
                              <w:t>Habitat III</w:t>
                            </w:r>
                            <w:r w:rsidR="00987F67"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 xml:space="preserve"> and the </w:t>
                            </w:r>
                            <w:r w:rsidR="00987F67" w:rsidRPr="00BA29B9">
                              <w:rPr>
                                <w:rFonts w:ascii="Calibri" w:hAnsi="Calibri" w:cs="Arial"/>
                                <w:b/>
                                <w:sz w:val="21"/>
                                <w:szCs w:val="21"/>
                                <w:lang w:val="en-US"/>
                              </w:rPr>
                              <w:t>Humanitarian Network Partnership Week</w:t>
                            </w:r>
                            <w:r w:rsidR="00987F67"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>, with high attendance and fruitful discussions on urban</w:t>
                            </w:r>
                            <w:r w:rsidR="006B7550"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 xml:space="preserve"> issues</w:t>
                            </w:r>
                            <w:r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>;</w:t>
                            </w:r>
                          </w:p>
                          <w:p w14:paraId="1DDC238E" w14:textId="77777777" w:rsidR="00EA4A78" w:rsidRPr="00BA29B9" w:rsidRDefault="00EA4A78" w:rsidP="00203ED5">
                            <w:pPr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84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Helvetic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 xml:space="preserve">The RG prepared </w:t>
                            </w:r>
                            <w:r w:rsidRPr="00BA29B9">
                              <w:rPr>
                                <w:rFonts w:ascii="Calibri" w:hAnsi="Calibri" w:cs="Arial"/>
                                <w:b/>
                                <w:sz w:val="21"/>
                                <w:szCs w:val="21"/>
                                <w:lang w:val="en-US"/>
                              </w:rPr>
                              <w:t>key messages for the IASC Principals within the fra</w:t>
                            </w:r>
                            <w:r w:rsidR="00D953A5" w:rsidRPr="00BA29B9">
                              <w:rPr>
                                <w:rFonts w:ascii="Calibri" w:hAnsi="Calibri" w:cs="Arial"/>
                                <w:b/>
                                <w:sz w:val="21"/>
                                <w:szCs w:val="21"/>
                                <w:lang w:val="en-US"/>
                              </w:rPr>
                              <w:t>mework of Habitat III</w:t>
                            </w:r>
                            <w:r w:rsidR="00D953A5"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 xml:space="preserve">, ensuring humanitarian </w:t>
                            </w:r>
                            <w:r w:rsidR="00BF033D"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 xml:space="preserve">language and </w:t>
                            </w:r>
                            <w:r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 xml:space="preserve">messages </w:t>
                            </w:r>
                            <w:r w:rsidR="006F3D92"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 xml:space="preserve">related to fragile cities </w:t>
                            </w:r>
                            <w:r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>were included in the New Urban Agenda approved during Habitat III;</w:t>
                            </w:r>
                          </w:p>
                          <w:p w14:paraId="214CBE0D" w14:textId="77777777" w:rsidR="00C54E75" w:rsidRPr="00BA29B9" w:rsidRDefault="00C54E75" w:rsidP="00C54E75">
                            <w:pPr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84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>The RG has been highly involved in the creation of the</w:t>
                            </w:r>
                            <w:r w:rsidR="00C85462"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C85462" w:rsidRPr="00BA29B9">
                              <w:rPr>
                                <w:rFonts w:ascii="Calibri" w:hAnsi="Calibri" w:cs="Arial"/>
                                <w:b/>
                                <w:sz w:val="21"/>
                                <w:szCs w:val="21"/>
                                <w:lang w:val="en-US"/>
                              </w:rPr>
                              <w:t>Global Alliance for Urban Crises (GAUC)</w:t>
                            </w:r>
                            <w:r w:rsidR="00C85462"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 xml:space="preserve">, which was a key activity in the </w:t>
                            </w:r>
                            <w:r w:rsidR="00F55A0E"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 xml:space="preserve">RG </w:t>
                            </w:r>
                            <w:r w:rsidR="00CF391B" w:rsidRPr="00BA29B9">
                              <w:rPr>
                                <w:rFonts w:ascii="Calibri" w:hAnsi="Calibri" w:cs="Helvetica"/>
                                <w:color w:val="000000"/>
                                <w:sz w:val="21"/>
                                <w:szCs w:val="21"/>
                              </w:rPr>
                              <w:t>action plan</w:t>
                            </w:r>
                            <w:r w:rsidR="00C85462"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>, and was officially launched during the WHS.</w:t>
                            </w:r>
                            <w:r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C85462"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>T</w:t>
                            </w:r>
                            <w:r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 xml:space="preserve">he RG </w:t>
                            </w:r>
                            <w:r w:rsidR="00C85462"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 xml:space="preserve">has </w:t>
                            </w:r>
                            <w:r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 xml:space="preserve">attended </w:t>
                            </w:r>
                            <w:r w:rsidR="00C85462"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>all GAUC</w:t>
                            </w:r>
                            <w:r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 xml:space="preserve"> meetings</w:t>
                            </w:r>
                            <w:r w:rsidR="00475641"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 xml:space="preserve"> and contributed to shaping its strategy and priorities</w:t>
                            </w:r>
                            <w:r w:rsidR="00876EB0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 xml:space="preserve"> resulting in the RG hosting GAUC Secretariat in its UN-Habitat Urban Resilience Programme offices in Barcelona</w:t>
                            </w:r>
                            <w:r w:rsidR="007A7BA8"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>;</w:t>
                            </w:r>
                          </w:p>
                          <w:p w14:paraId="1823CCCC" w14:textId="77777777" w:rsidR="003B2424" w:rsidRPr="00BA29B9" w:rsidRDefault="003B2424" w:rsidP="00C54E75">
                            <w:pPr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84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 xml:space="preserve">The RG has finalized a first draft of the </w:t>
                            </w:r>
                            <w:r w:rsidRPr="00BA29B9">
                              <w:rPr>
                                <w:rFonts w:ascii="Calibri" w:hAnsi="Calibri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Guidance Note for improving coordination and responses to Urban Crises</w:t>
                            </w:r>
                            <w:r w:rsidRPr="00BA29B9">
                              <w:rPr>
                                <w:rFonts w:ascii="Calibri" w:hAnsi="Calibri" w:cs="Arial"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in the Humanitarian Programme Cycle through the IASC and its Cluster System</w:t>
                            </w:r>
                            <w:r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 xml:space="preserve">, which will serve as a basis for a participatory consultation </w:t>
                            </w:r>
                            <w:r w:rsidR="00DC2B0F"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 xml:space="preserve">within IASC bodies </w:t>
                            </w:r>
                            <w:r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>in 2017 to bring key systemic-changes for humanitarian responses in urban areas</w:t>
                            </w:r>
                            <w:r w:rsidR="004A137D"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 xml:space="preserve">. This </w:t>
                            </w:r>
                            <w:r w:rsidR="00ED376B"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>Guidance Note</w:t>
                            </w:r>
                            <w:r w:rsidR="004A137D"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ED376B"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>will support</w:t>
                            </w:r>
                            <w:r w:rsidR="004A137D"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 xml:space="preserve"> WHS Commitments </w:t>
                            </w:r>
                            <w:r w:rsidR="004A137D" w:rsidRPr="00AD3B68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 xml:space="preserve">related to a </w:t>
                            </w:r>
                            <w:r w:rsidR="00AD3B68" w:rsidRPr="00AD3B68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>“Ne</w:t>
                            </w:r>
                            <w:r w:rsidR="004A137D" w:rsidRPr="00AD3B68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>w way of working</w:t>
                            </w:r>
                            <w:r w:rsidR="00AD3B68" w:rsidRPr="00AD3B68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>”</w:t>
                            </w:r>
                            <w:r w:rsidR="00ED376B" w:rsidRPr="00AD3B68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>, providing</w:t>
                            </w:r>
                            <w:r w:rsidR="00ED376B"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 xml:space="preserve"> concrete guidance on how to respond in more efficient and integrated ways to urban crises;</w:t>
                            </w:r>
                          </w:p>
                          <w:p w14:paraId="307459F2" w14:textId="77777777" w:rsidR="00BC2C18" w:rsidRPr="00BA29B9" w:rsidRDefault="00BC2C18" w:rsidP="00C54E75">
                            <w:pPr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84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 xml:space="preserve">The RG has pro-actively created </w:t>
                            </w:r>
                            <w:r w:rsidRPr="00BA29B9">
                              <w:rPr>
                                <w:rFonts w:ascii="Calibri" w:hAnsi="Calibri" w:cs="Arial"/>
                                <w:b/>
                                <w:sz w:val="21"/>
                                <w:szCs w:val="21"/>
                                <w:lang w:val="en-US"/>
                              </w:rPr>
                              <w:t>linkages with other IASC Bodies</w:t>
                            </w:r>
                            <w:r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 xml:space="preserve">, namely the </w:t>
                            </w:r>
                            <w:r w:rsidR="00AD3B68" w:rsidRPr="00AD3B68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>IASC Task Team on Humanitarian / Development Nexus in Protracted Crises and the IASC Task Team on AAP/PSEA</w:t>
                            </w:r>
                            <w:r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>, launching joint work-streams for 2017;</w:t>
                            </w:r>
                          </w:p>
                          <w:p w14:paraId="7AAB565A" w14:textId="77777777" w:rsidR="00176B45" w:rsidRPr="00BA29B9" w:rsidRDefault="00C54E75" w:rsidP="0045612F">
                            <w:pPr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84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 xml:space="preserve">As part of the RG, partners have continued to </w:t>
                            </w:r>
                            <w:r w:rsidRPr="00BA29B9">
                              <w:rPr>
                                <w:rFonts w:ascii="Calibri" w:hAnsi="Calibri" w:cs="Arial"/>
                                <w:b/>
                                <w:sz w:val="21"/>
                                <w:szCs w:val="21"/>
                                <w:lang w:val="en-US"/>
                              </w:rPr>
                              <w:t>implement the action plan</w:t>
                            </w:r>
                            <w:r w:rsidR="0045612F"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 xml:space="preserve"> leading to the creation of new approaches related to the six core objectives of the MHCUA Action Plan (</w:t>
                            </w:r>
                            <w:r w:rsidR="00B93BF6"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>see</w:t>
                            </w:r>
                            <w:r w:rsidR="0045612F"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 xml:space="preserve"> Annex A, </w:t>
                            </w:r>
                            <w:r w:rsidR="0045612F" w:rsidRPr="00BA29B9">
                              <w:rPr>
                                <w:rFonts w:ascii="Calibri" w:hAnsi="Calibri" w:cs="Arial"/>
                                <w:i/>
                                <w:sz w:val="21"/>
                                <w:szCs w:val="21"/>
                                <w:lang w:val="en-US"/>
                              </w:rPr>
                              <w:t>Action Plan update – January 2017</w:t>
                            </w:r>
                            <w:r w:rsidR="0045612F"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>)</w:t>
                            </w:r>
                            <w:r w:rsidR="00446283" w:rsidRPr="00BA29B9">
                              <w:rPr>
                                <w:rFonts w:ascii="Calibri" w:eastAsia="Times New Roman" w:hAnsi="Calibri" w:cs="Times New Roman"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C0FA4" id="_x0000_s1029" type="#_x0000_t202" style="position:absolute;margin-left:-12.8pt;margin-top:17.2pt;width:543pt;height:238.6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" strokecolor="#4f81bd [3204]">
                <v:textbox>
                  <w:txbxContent>
                    <w:p w14:paraId="558EC441" w14:textId="77777777" w:rsidR="00F76AA6" w:rsidRPr="00BA29B9" w:rsidRDefault="00F76AA6" w:rsidP="00210C5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Helvetica"/>
                          <w:color w:val="000000"/>
                          <w:sz w:val="21"/>
                          <w:szCs w:val="21"/>
                        </w:rPr>
                      </w:pPr>
                      <w:r w:rsidRPr="00BA29B9">
                        <w:rPr>
                          <w:rFonts w:ascii="Calibri" w:hAnsi="Calibri" w:cs="Helvetica"/>
                          <w:color w:val="000000"/>
                          <w:sz w:val="21"/>
                          <w:szCs w:val="21"/>
                        </w:rPr>
                        <w:t>Through regular meetings</w:t>
                      </w:r>
                      <w:r w:rsidR="004935FB" w:rsidRPr="00BA29B9">
                        <w:rPr>
                          <w:rFonts w:ascii="Calibri" w:hAnsi="Calibri" w:cs="Helvetica"/>
                          <w:color w:val="000000"/>
                          <w:sz w:val="21"/>
                          <w:szCs w:val="21"/>
                        </w:rPr>
                        <w:t xml:space="preserve"> and coordination</w:t>
                      </w:r>
                      <w:r w:rsidRPr="00BA29B9">
                        <w:rPr>
                          <w:rFonts w:ascii="Calibri" w:hAnsi="Calibri" w:cs="Helvetica"/>
                          <w:color w:val="000000"/>
                          <w:sz w:val="21"/>
                          <w:szCs w:val="21"/>
                        </w:rPr>
                        <w:t xml:space="preserve">, the IASC RG Co-Chairs and its Members have ensured a successful implementation of the </w:t>
                      </w:r>
                      <w:r w:rsidR="00CF391B" w:rsidRPr="00BA29B9">
                        <w:rPr>
                          <w:rFonts w:ascii="Calibri" w:hAnsi="Calibri" w:cs="Helvetica"/>
                          <w:color w:val="000000"/>
                          <w:sz w:val="21"/>
                          <w:szCs w:val="21"/>
                        </w:rPr>
                        <w:t>action plan</w:t>
                      </w:r>
                      <w:r w:rsidRPr="00BA29B9">
                        <w:rPr>
                          <w:rFonts w:ascii="Calibri" w:hAnsi="Calibri" w:cs="Helvetica"/>
                          <w:color w:val="000000"/>
                          <w:sz w:val="21"/>
                          <w:szCs w:val="21"/>
                        </w:rPr>
                        <w:t>, with the following key achievements:</w:t>
                      </w:r>
                    </w:p>
                    <w:p w14:paraId="610BD44B" w14:textId="77777777" w:rsidR="00210C5E" w:rsidRPr="00BA29B9" w:rsidRDefault="006C6C68" w:rsidP="00203ED5">
                      <w:pPr>
                        <w:widowControl w:val="0"/>
                        <w:numPr>
                          <w:ilvl w:val="0"/>
                          <w:numId w:val="22"/>
                        </w:numPr>
                        <w:tabs>
                          <w:tab w:val="left" w:pos="284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Helvetica"/>
                          <w:color w:val="000000"/>
                          <w:sz w:val="21"/>
                          <w:szCs w:val="21"/>
                        </w:rPr>
                      </w:pPr>
                      <w:r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 xml:space="preserve">The RG has played an active role in organizing </w:t>
                      </w:r>
                      <w:r w:rsidRPr="00BA29B9">
                        <w:rPr>
                          <w:rFonts w:ascii="Calibri" w:hAnsi="Calibri" w:cs="Arial"/>
                          <w:b/>
                          <w:sz w:val="21"/>
                          <w:szCs w:val="21"/>
                          <w:lang w:val="en-US"/>
                        </w:rPr>
                        <w:t>urba</w:t>
                      </w:r>
                      <w:r w:rsidR="00987F67" w:rsidRPr="00BA29B9">
                        <w:rPr>
                          <w:rFonts w:ascii="Calibri" w:hAnsi="Calibri" w:cs="Arial"/>
                          <w:b/>
                          <w:sz w:val="21"/>
                          <w:szCs w:val="21"/>
                          <w:lang w:val="en-US"/>
                        </w:rPr>
                        <w:t xml:space="preserve">n related events during the WHS, </w:t>
                      </w:r>
                      <w:r w:rsidRPr="00BA29B9">
                        <w:rPr>
                          <w:rFonts w:ascii="Calibri" w:hAnsi="Calibri" w:cs="Arial"/>
                          <w:b/>
                          <w:sz w:val="21"/>
                          <w:szCs w:val="21"/>
                          <w:lang w:val="en-US"/>
                        </w:rPr>
                        <w:t>Habitat III</w:t>
                      </w:r>
                      <w:r w:rsidR="00987F67"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 xml:space="preserve"> and the </w:t>
                      </w:r>
                      <w:r w:rsidR="00987F67" w:rsidRPr="00BA29B9">
                        <w:rPr>
                          <w:rFonts w:ascii="Calibri" w:hAnsi="Calibri" w:cs="Arial"/>
                          <w:b/>
                          <w:sz w:val="21"/>
                          <w:szCs w:val="21"/>
                          <w:lang w:val="en-US"/>
                        </w:rPr>
                        <w:t>Humanitarian Network Partnership Week</w:t>
                      </w:r>
                      <w:r w:rsidR="00987F67"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>, with high attendance and fruitful discussions on urban</w:t>
                      </w:r>
                      <w:r w:rsidR="006B7550"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 xml:space="preserve"> issues</w:t>
                      </w:r>
                      <w:r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>;</w:t>
                      </w:r>
                    </w:p>
                    <w:p w14:paraId="1DDC238E" w14:textId="77777777" w:rsidR="00EA4A78" w:rsidRPr="00BA29B9" w:rsidRDefault="00EA4A78" w:rsidP="00203ED5">
                      <w:pPr>
                        <w:widowControl w:val="0"/>
                        <w:numPr>
                          <w:ilvl w:val="0"/>
                          <w:numId w:val="22"/>
                        </w:numPr>
                        <w:tabs>
                          <w:tab w:val="left" w:pos="284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Helvetica"/>
                          <w:color w:val="000000"/>
                          <w:sz w:val="21"/>
                          <w:szCs w:val="21"/>
                        </w:rPr>
                      </w:pPr>
                      <w:r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 xml:space="preserve">The RG prepared </w:t>
                      </w:r>
                      <w:r w:rsidRPr="00BA29B9">
                        <w:rPr>
                          <w:rFonts w:ascii="Calibri" w:hAnsi="Calibri" w:cs="Arial"/>
                          <w:b/>
                          <w:sz w:val="21"/>
                          <w:szCs w:val="21"/>
                          <w:lang w:val="en-US"/>
                        </w:rPr>
                        <w:t>key messages for the IASC Principals within the fra</w:t>
                      </w:r>
                      <w:r w:rsidR="00D953A5" w:rsidRPr="00BA29B9">
                        <w:rPr>
                          <w:rFonts w:ascii="Calibri" w:hAnsi="Calibri" w:cs="Arial"/>
                          <w:b/>
                          <w:sz w:val="21"/>
                          <w:szCs w:val="21"/>
                          <w:lang w:val="en-US"/>
                        </w:rPr>
                        <w:t>mework of Habitat III</w:t>
                      </w:r>
                      <w:r w:rsidR="00D953A5"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 xml:space="preserve">, ensuring humanitarian </w:t>
                      </w:r>
                      <w:r w:rsidR="00BF033D"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 xml:space="preserve">language and </w:t>
                      </w:r>
                      <w:r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 xml:space="preserve">messages </w:t>
                      </w:r>
                      <w:r w:rsidR="006F3D92"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 xml:space="preserve">related to fragile cities </w:t>
                      </w:r>
                      <w:r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>were included in the New Urban Agenda approved during Habitat III;</w:t>
                      </w:r>
                    </w:p>
                    <w:p w14:paraId="214CBE0D" w14:textId="77777777" w:rsidR="00C54E75" w:rsidRPr="00BA29B9" w:rsidRDefault="00C54E75" w:rsidP="00C54E75">
                      <w:pPr>
                        <w:widowControl w:val="0"/>
                        <w:numPr>
                          <w:ilvl w:val="0"/>
                          <w:numId w:val="22"/>
                        </w:numPr>
                        <w:tabs>
                          <w:tab w:val="left" w:pos="284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</w:pPr>
                      <w:r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>The RG has been highly involved in the creation of the</w:t>
                      </w:r>
                      <w:r w:rsidR="00C85462"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="00C85462" w:rsidRPr="00BA29B9">
                        <w:rPr>
                          <w:rFonts w:ascii="Calibri" w:hAnsi="Calibri" w:cs="Arial"/>
                          <w:b/>
                          <w:sz w:val="21"/>
                          <w:szCs w:val="21"/>
                          <w:lang w:val="en-US"/>
                        </w:rPr>
                        <w:t>Global Alliance for Urban Crises (GAUC)</w:t>
                      </w:r>
                      <w:r w:rsidR="00C85462"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 xml:space="preserve">, which was a key activity in the </w:t>
                      </w:r>
                      <w:r w:rsidR="00F55A0E"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 xml:space="preserve">RG </w:t>
                      </w:r>
                      <w:r w:rsidR="00CF391B" w:rsidRPr="00BA29B9">
                        <w:rPr>
                          <w:rFonts w:ascii="Calibri" w:hAnsi="Calibri" w:cs="Helvetica"/>
                          <w:color w:val="000000"/>
                          <w:sz w:val="21"/>
                          <w:szCs w:val="21"/>
                        </w:rPr>
                        <w:t>action plan</w:t>
                      </w:r>
                      <w:r w:rsidR="00C85462"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>, and was officially launched during the WHS.</w:t>
                      </w:r>
                      <w:r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="00C85462"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>T</w:t>
                      </w:r>
                      <w:r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 xml:space="preserve">he RG </w:t>
                      </w:r>
                      <w:r w:rsidR="00C85462"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 xml:space="preserve">has </w:t>
                      </w:r>
                      <w:r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 xml:space="preserve">attended </w:t>
                      </w:r>
                      <w:r w:rsidR="00C85462"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>all GAUC</w:t>
                      </w:r>
                      <w:r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 xml:space="preserve"> meetings</w:t>
                      </w:r>
                      <w:r w:rsidR="00475641"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 xml:space="preserve"> and contributed to shaping its strategy and priorities</w:t>
                      </w:r>
                      <w:r w:rsidR="00876EB0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 xml:space="preserve"> resulting in the RG hosting GAUC Secretariat in its UN-Habitat Urban Resilience Programme offices in Barcelona</w:t>
                      </w:r>
                      <w:r w:rsidR="007A7BA8"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>;</w:t>
                      </w:r>
                    </w:p>
                    <w:p w14:paraId="1823CCCC" w14:textId="77777777" w:rsidR="003B2424" w:rsidRPr="00BA29B9" w:rsidRDefault="003B2424" w:rsidP="00C54E75">
                      <w:pPr>
                        <w:widowControl w:val="0"/>
                        <w:numPr>
                          <w:ilvl w:val="0"/>
                          <w:numId w:val="22"/>
                        </w:numPr>
                        <w:tabs>
                          <w:tab w:val="left" w:pos="284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</w:pPr>
                      <w:r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 xml:space="preserve">The RG has finalized a first draft of the </w:t>
                      </w:r>
                      <w:r w:rsidRPr="00BA29B9">
                        <w:rPr>
                          <w:rFonts w:ascii="Calibri" w:hAnsi="Calibri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Guidance Note for improving coordination and responses to Urban Crises</w:t>
                      </w:r>
                      <w:r w:rsidRPr="00BA29B9">
                        <w:rPr>
                          <w:rFonts w:ascii="Calibri" w:hAnsi="Calibri" w:cs="Arial"/>
                          <w:i/>
                          <w:sz w:val="21"/>
                          <w:szCs w:val="21"/>
                          <w:lang w:val="en-US"/>
                        </w:rPr>
                        <w:t xml:space="preserve"> in the Humanitarian Programme Cycle through the IASC and its Cluster System</w:t>
                      </w:r>
                      <w:r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 xml:space="preserve">, which will serve as a basis for a participatory consultation </w:t>
                      </w:r>
                      <w:r w:rsidR="00DC2B0F"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 xml:space="preserve">within IASC bodies </w:t>
                      </w:r>
                      <w:r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>in 2017 to bring key systemic-changes for humanitarian responses in urban areas</w:t>
                      </w:r>
                      <w:r w:rsidR="004A137D"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 xml:space="preserve">. This </w:t>
                      </w:r>
                      <w:r w:rsidR="00ED376B"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>Guidance Note</w:t>
                      </w:r>
                      <w:r w:rsidR="004A137D"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="00ED376B"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>will support</w:t>
                      </w:r>
                      <w:r w:rsidR="004A137D"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 xml:space="preserve"> WHS Commitments </w:t>
                      </w:r>
                      <w:r w:rsidR="004A137D" w:rsidRPr="00AD3B68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 xml:space="preserve">related to a </w:t>
                      </w:r>
                      <w:r w:rsidR="00AD3B68" w:rsidRPr="00AD3B68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>“Ne</w:t>
                      </w:r>
                      <w:r w:rsidR="004A137D" w:rsidRPr="00AD3B68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>w way of working</w:t>
                      </w:r>
                      <w:r w:rsidR="00AD3B68" w:rsidRPr="00AD3B68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>”</w:t>
                      </w:r>
                      <w:r w:rsidR="00ED376B" w:rsidRPr="00AD3B68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>, providing</w:t>
                      </w:r>
                      <w:r w:rsidR="00ED376B"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 xml:space="preserve"> concrete guidance on how to respond in more efficient and integrated ways to urban crises;</w:t>
                      </w:r>
                    </w:p>
                    <w:p w14:paraId="307459F2" w14:textId="77777777" w:rsidR="00BC2C18" w:rsidRPr="00BA29B9" w:rsidRDefault="00BC2C18" w:rsidP="00C54E75">
                      <w:pPr>
                        <w:widowControl w:val="0"/>
                        <w:numPr>
                          <w:ilvl w:val="0"/>
                          <w:numId w:val="22"/>
                        </w:numPr>
                        <w:tabs>
                          <w:tab w:val="left" w:pos="284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</w:pPr>
                      <w:r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 xml:space="preserve">The RG has pro-actively created </w:t>
                      </w:r>
                      <w:r w:rsidRPr="00BA29B9">
                        <w:rPr>
                          <w:rFonts w:ascii="Calibri" w:hAnsi="Calibri" w:cs="Arial"/>
                          <w:b/>
                          <w:sz w:val="21"/>
                          <w:szCs w:val="21"/>
                          <w:lang w:val="en-US"/>
                        </w:rPr>
                        <w:t>linkages with other IASC Bodies</w:t>
                      </w:r>
                      <w:r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 xml:space="preserve">, namely the </w:t>
                      </w:r>
                      <w:r w:rsidR="00AD3B68" w:rsidRPr="00AD3B68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>IASC Task Team on Humanitarian / Development Nexus in Protracted Crises and the IASC Task Team on AAP/PSEA</w:t>
                      </w:r>
                      <w:r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>, launching joint work-streams for 2017;</w:t>
                      </w:r>
                    </w:p>
                    <w:p w14:paraId="7AAB565A" w14:textId="77777777" w:rsidR="00176B45" w:rsidRPr="00BA29B9" w:rsidRDefault="00C54E75" w:rsidP="0045612F">
                      <w:pPr>
                        <w:widowControl w:val="0"/>
                        <w:numPr>
                          <w:ilvl w:val="0"/>
                          <w:numId w:val="22"/>
                        </w:numPr>
                        <w:tabs>
                          <w:tab w:val="left" w:pos="284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sz w:val="21"/>
                          <w:szCs w:val="21"/>
                          <w:lang w:val="en-US"/>
                        </w:rPr>
                      </w:pPr>
                      <w:r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 xml:space="preserve">As part of the RG, partners have continued to </w:t>
                      </w:r>
                      <w:r w:rsidRPr="00BA29B9">
                        <w:rPr>
                          <w:rFonts w:ascii="Calibri" w:hAnsi="Calibri" w:cs="Arial"/>
                          <w:b/>
                          <w:sz w:val="21"/>
                          <w:szCs w:val="21"/>
                          <w:lang w:val="en-US"/>
                        </w:rPr>
                        <w:t>implement the action plan</w:t>
                      </w:r>
                      <w:r w:rsidR="0045612F"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 xml:space="preserve"> leading to the creation of new approaches related to the six core objectives of the MHCUA Action Plan (</w:t>
                      </w:r>
                      <w:r w:rsidR="00B93BF6"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>see</w:t>
                      </w:r>
                      <w:r w:rsidR="0045612F"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 xml:space="preserve"> Annex A, </w:t>
                      </w:r>
                      <w:r w:rsidR="0045612F" w:rsidRPr="00BA29B9">
                        <w:rPr>
                          <w:rFonts w:ascii="Calibri" w:hAnsi="Calibri" w:cs="Arial"/>
                          <w:i/>
                          <w:sz w:val="21"/>
                          <w:szCs w:val="21"/>
                          <w:lang w:val="en-US"/>
                        </w:rPr>
                        <w:t>Action Plan update – January 2017</w:t>
                      </w:r>
                      <w:r w:rsidR="0045612F"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>)</w:t>
                      </w:r>
                      <w:r w:rsidR="00446283" w:rsidRPr="00BA29B9">
                        <w:rPr>
                          <w:rFonts w:ascii="Calibri" w:eastAsia="Times New Roman" w:hAnsi="Calibri" w:cs="Times New Roman"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A011A">
        <w:rPr>
          <w:rFonts w:ascii="Calibri" w:hAnsi="Calibri" w:cs="Verdana"/>
          <w:sz w:val="20"/>
          <w:szCs w:val="20"/>
        </w:rPr>
        <w:tab/>
      </w:r>
    </w:p>
    <w:p w14:paraId="52BF4276" w14:textId="77777777" w:rsidR="007F3DE0" w:rsidRPr="007F3DE0" w:rsidRDefault="007F3DE0" w:rsidP="00292474">
      <w:pPr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0E657D2A" w14:textId="77777777" w:rsidR="007F3DE0" w:rsidRPr="007F3DE0" w:rsidRDefault="007F3DE0" w:rsidP="00292474">
      <w:pPr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667F74FE" w14:textId="77777777" w:rsidR="007F3DE0" w:rsidRPr="007F3DE0" w:rsidRDefault="007F3DE0" w:rsidP="00292474">
      <w:pPr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42B83214" w14:textId="77777777" w:rsidR="007F3DE0" w:rsidRPr="007F3DE0" w:rsidRDefault="007F3DE0" w:rsidP="00292474">
      <w:pPr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2F660222" w14:textId="77777777" w:rsidR="007F3DE0" w:rsidRPr="007F3DE0" w:rsidRDefault="007F3DE0" w:rsidP="00292474">
      <w:pPr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776C9629" w14:textId="77777777" w:rsidR="007F3DE0" w:rsidRPr="007F3DE0" w:rsidRDefault="007F3DE0" w:rsidP="00292474">
      <w:pPr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1BC98B7F" w14:textId="77777777" w:rsidR="0033206E" w:rsidRDefault="0033206E" w:rsidP="00292474">
      <w:pPr>
        <w:rPr>
          <w:rFonts w:ascii="Arial" w:hAnsi="Arial" w:cs="Arial"/>
          <w:sz w:val="20"/>
          <w:szCs w:val="20"/>
          <w:lang w:val="en-US"/>
        </w:rPr>
      </w:pPr>
    </w:p>
    <w:p w14:paraId="1DF9507E" w14:textId="77777777" w:rsidR="0033206E" w:rsidRDefault="0033206E" w:rsidP="0033206E">
      <w:pPr>
        <w:rPr>
          <w:rFonts w:ascii="Arial" w:hAnsi="Arial" w:cs="Arial"/>
          <w:sz w:val="20"/>
          <w:szCs w:val="20"/>
          <w:lang w:val="en-US"/>
        </w:rPr>
      </w:pPr>
    </w:p>
    <w:p w14:paraId="0091C4F3" w14:textId="77777777" w:rsidR="0033206E" w:rsidRDefault="0033206E" w:rsidP="0033206E">
      <w:pPr>
        <w:rPr>
          <w:rFonts w:ascii="Arial" w:hAnsi="Arial" w:cs="Arial"/>
          <w:sz w:val="20"/>
          <w:szCs w:val="20"/>
          <w:lang w:val="en-US"/>
        </w:rPr>
      </w:pPr>
    </w:p>
    <w:p w14:paraId="733D4337" w14:textId="77777777" w:rsidR="007F3DE0" w:rsidRPr="0033206E" w:rsidRDefault="00876EB0" w:rsidP="0033206E">
      <w:pPr>
        <w:ind w:firstLine="720"/>
        <w:rPr>
          <w:rFonts w:ascii="Arial" w:hAnsi="Arial" w:cs="Arial"/>
          <w:sz w:val="20"/>
          <w:szCs w:val="20"/>
          <w:lang w:val="en-US"/>
        </w:rPr>
      </w:pPr>
      <w:r>
        <w:rPr>
          <w:noProof/>
          <w:lang w:eastAsia="zh-CN"/>
        </w:rPr>
        <w:drawing>
          <wp:anchor distT="0" distB="0" distL="114300" distR="114300" simplePos="0" relativeHeight="251694592" behindDoc="0" locked="0" layoutInCell="1" allowOverlap="1" wp14:anchorId="2AEF7263" wp14:editId="3F04026D">
            <wp:simplePos x="0" y="0"/>
            <wp:positionH relativeFrom="column">
              <wp:posOffset>4039235</wp:posOffset>
            </wp:positionH>
            <wp:positionV relativeFrom="paragraph">
              <wp:posOffset>575310</wp:posOffset>
            </wp:positionV>
            <wp:extent cx="2640965" cy="3232785"/>
            <wp:effectExtent l="0" t="0" r="635" b="18415"/>
            <wp:wrapNone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6CD0A7" wp14:editId="498D83B0">
                <wp:simplePos x="0" y="0"/>
                <wp:positionH relativeFrom="column">
                  <wp:posOffset>-173332</wp:posOffset>
                </wp:positionH>
                <wp:positionV relativeFrom="paragraph">
                  <wp:posOffset>610235</wp:posOffset>
                </wp:positionV>
                <wp:extent cx="4232298" cy="3233350"/>
                <wp:effectExtent l="0" t="0" r="34925" b="184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2298" cy="32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2A2C8" w14:textId="77777777" w:rsidR="00234927" w:rsidRPr="00BA29B9" w:rsidRDefault="00234927" w:rsidP="00244C6D">
                            <w:pPr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84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 xml:space="preserve">Lead the revision of </w:t>
                            </w:r>
                            <w:r w:rsidR="000E6FF1"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>the</w:t>
                            </w:r>
                            <w:r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0E6FF1" w:rsidRPr="00BA29B9">
                              <w:rPr>
                                <w:rFonts w:ascii="Calibri" w:hAnsi="Calibri" w:cs="Arial"/>
                                <w:b/>
                                <w:sz w:val="21"/>
                                <w:szCs w:val="21"/>
                                <w:lang w:val="en-US"/>
                              </w:rPr>
                              <w:t>IASC</w:t>
                            </w:r>
                            <w:r w:rsidR="000E6FF1"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Pr="00BA29B9">
                              <w:rPr>
                                <w:rFonts w:ascii="Calibri" w:hAnsi="Calibri" w:cs="Arial"/>
                                <w:b/>
                                <w:sz w:val="21"/>
                                <w:szCs w:val="21"/>
                                <w:lang w:val="en-US"/>
                              </w:rPr>
                              <w:t>Urban Strategy</w:t>
                            </w:r>
                            <w:r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0E6FF1"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>(next period:</w:t>
                            </w:r>
                            <w:r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 xml:space="preserve"> 2018 – 2020</w:t>
                            </w:r>
                            <w:r w:rsidR="000E6FF1"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>)</w:t>
                            </w:r>
                            <w:r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 xml:space="preserve"> and the </w:t>
                            </w:r>
                            <w:r w:rsidR="000E6FF1"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 xml:space="preserve">related </w:t>
                            </w:r>
                            <w:r w:rsidRPr="00BA29B9">
                              <w:rPr>
                                <w:rFonts w:ascii="Calibri" w:hAnsi="Calibri" w:cs="Arial"/>
                                <w:b/>
                                <w:sz w:val="21"/>
                                <w:szCs w:val="21"/>
                                <w:lang w:val="en-US"/>
                              </w:rPr>
                              <w:t>IASC RG MHCUA Action Plan</w:t>
                            </w:r>
                            <w:r w:rsidR="009256B0"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 xml:space="preserve">, </w:t>
                            </w:r>
                            <w:r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>to be endorsed by IASC WG and IAS</w:t>
                            </w:r>
                            <w:r w:rsidR="009256B0"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>C Principals by end of 2017</w:t>
                            </w:r>
                            <w:r w:rsidR="00BE4CCB"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>/early 2018</w:t>
                            </w:r>
                            <w:r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>;</w:t>
                            </w:r>
                          </w:p>
                          <w:p w14:paraId="134BC107" w14:textId="77777777" w:rsidR="0033206E" w:rsidRPr="00BA29B9" w:rsidRDefault="00234927" w:rsidP="00244C6D">
                            <w:pPr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84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 xml:space="preserve">Lead a consultative process </w:t>
                            </w:r>
                            <w:r w:rsidR="003B1244"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>within the IASC bodies (Members, Clusters, Inter-Cluster, Reference Groups and Task Teams) on how to improve coordination and aid delivery in urban areas</w:t>
                            </w:r>
                            <w:r w:rsidR="00A06B5B"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 xml:space="preserve">. The outcome will be reflected in </w:t>
                            </w:r>
                            <w:r w:rsidR="001C275D"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>a</w:t>
                            </w:r>
                            <w:r w:rsidR="003B1244"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3B1244" w:rsidRPr="00BA29B9">
                              <w:rPr>
                                <w:rFonts w:ascii="Calibri" w:hAnsi="Calibri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Guidance Note for improving coordination and responses to Urban Crises in the Humanitarian Programme Cycle through the IASC and its Cluster System</w:t>
                            </w:r>
                            <w:r w:rsidR="003B1244"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>, to be endorsed by IASC WG and IAS</w:t>
                            </w:r>
                            <w:r w:rsidR="00C41BB3"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>C Principals by end of 2017</w:t>
                            </w:r>
                            <w:r w:rsidR="00436937"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>;</w:t>
                            </w:r>
                          </w:p>
                          <w:p w14:paraId="5C38F272" w14:textId="77777777" w:rsidR="00DF3BFE" w:rsidRPr="00BA29B9" w:rsidRDefault="00DF3BFE" w:rsidP="00244C6D">
                            <w:pPr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84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 xml:space="preserve">Promote </w:t>
                            </w:r>
                            <w:r w:rsidRPr="00BA29B9">
                              <w:rPr>
                                <w:rFonts w:ascii="Calibri" w:hAnsi="Calibri" w:cs="Arial"/>
                                <w:b/>
                                <w:sz w:val="21"/>
                                <w:szCs w:val="21"/>
                                <w:lang w:val="en-US"/>
                              </w:rPr>
                              <w:t>joint initiative</w:t>
                            </w:r>
                            <w:r w:rsidR="002C1E65" w:rsidRPr="00BA29B9">
                              <w:rPr>
                                <w:rFonts w:ascii="Calibri" w:hAnsi="Calibri" w:cs="Arial"/>
                                <w:b/>
                                <w:sz w:val="21"/>
                                <w:szCs w:val="21"/>
                                <w:lang w:val="en-US"/>
                              </w:rPr>
                              <w:t>s</w:t>
                            </w:r>
                            <w:r w:rsidRPr="00BA29B9">
                              <w:rPr>
                                <w:rFonts w:ascii="Calibri" w:hAnsi="Calibri" w:cs="Arial"/>
                                <w:b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E854A6" w:rsidRPr="00BA29B9">
                              <w:rPr>
                                <w:rFonts w:ascii="Calibri" w:hAnsi="Calibri" w:cs="Arial"/>
                                <w:b/>
                                <w:sz w:val="21"/>
                                <w:szCs w:val="21"/>
                                <w:lang w:val="en-US"/>
                              </w:rPr>
                              <w:t>with</w:t>
                            </w:r>
                            <w:r w:rsidRPr="00BA29B9">
                              <w:rPr>
                                <w:rFonts w:ascii="Calibri" w:hAnsi="Calibri" w:cs="Arial"/>
                                <w:b/>
                                <w:sz w:val="21"/>
                                <w:szCs w:val="21"/>
                                <w:lang w:val="en-US"/>
                              </w:rPr>
                              <w:t xml:space="preserve"> IASC </w:t>
                            </w:r>
                            <w:r w:rsidR="00E854A6" w:rsidRPr="00BA29B9">
                              <w:rPr>
                                <w:rFonts w:ascii="Calibri" w:hAnsi="Calibri" w:cs="Arial"/>
                                <w:b/>
                                <w:sz w:val="21"/>
                                <w:szCs w:val="21"/>
                                <w:lang w:val="en-US"/>
                              </w:rPr>
                              <w:t>Task Teams</w:t>
                            </w:r>
                            <w:r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>, with a specific focus on AAP in Urban Areas</w:t>
                            </w:r>
                            <w:r w:rsidR="00CA3D80"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 xml:space="preserve"> and Humanitarian/Development Nexus;</w:t>
                            </w:r>
                          </w:p>
                          <w:p w14:paraId="0FB9F581" w14:textId="77777777" w:rsidR="00DD0EA4" w:rsidRPr="00BA29B9" w:rsidRDefault="00DD0EA4" w:rsidP="00DD0EA4">
                            <w:pPr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84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>Continue supporting post-WHS and post-Habitat III processes and commitments for action, including through continuous engagement with and support of the Global Alliance for Urban Crises as per the MHCUA Action Plan;</w:t>
                            </w:r>
                          </w:p>
                          <w:p w14:paraId="6C0C1387" w14:textId="1EBAE4D8" w:rsidR="001262C4" w:rsidRPr="00BA29B9" w:rsidRDefault="001262C4" w:rsidP="00244C6D">
                            <w:pPr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84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>Continue the implementation of the</w:t>
                            </w:r>
                            <w:r w:rsidR="00BB35E7"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 xml:space="preserve"> overall</w:t>
                            </w:r>
                            <w:r w:rsidRP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BA29B9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>Action Plan through RG Partners</w:t>
                            </w:r>
                            <w:r w:rsidR="00876EB0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n-US"/>
                              </w:rPr>
                              <w:t xml:space="preserve"> in support of delivering SDGs (especially target 11), NUA and other global international agreements.</w:t>
                            </w:r>
                          </w:p>
                          <w:p w14:paraId="26560EB1" w14:textId="77777777" w:rsidR="00DD0EA4" w:rsidRDefault="00DD0E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CD0A7" id="_x0000_s1030" type="#_x0000_t202" style="position:absolute;left:0;text-align:left;margin-left:-13.65pt;margin-top:48.05pt;width:333.25pt;height:25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" strokecolor="#4f81bd [3204]">
                <v:textbox>
                  <w:txbxContent>
                    <w:p w14:paraId="6DA2A2C8" w14:textId="77777777" w:rsidR="00234927" w:rsidRPr="00BA29B9" w:rsidRDefault="00234927" w:rsidP="00244C6D">
                      <w:pPr>
                        <w:widowControl w:val="0"/>
                        <w:numPr>
                          <w:ilvl w:val="0"/>
                          <w:numId w:val="22"/>
                        </w:numPr>
                        <w:tabs>
                          <w:tab w:val="left" w:pos="284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</w:pPr>
                      <w:r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 xml:space="preserve">Lead the revision of </w:t>
                      </w:r>
                      <w:r w:rsidR="000E6FF1"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>the</w:t>
                      </w:r>
                      <w:r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="000E6FF1" w:rsidRPr="00BA29B9">
                        <w:rPr>
                          <w:rFonts w:ascii="Calibri" w:hAnsi="Calibri" w:cs="Arial"/>
                          <w:b/>
                          <w:sz w:val="21"/>
                          <w:szCs w:val="21"/>
                          <w:lang w:val="en-US"/>
                        </w:rPr>
                        <w:t>IASC</w:t>
                      </w:r>
                      <w:r w:rsidR="000E6FF1"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Pr="00BA29B9">
                        <w:rPr>
                          <w:rFonts w:ascii="Calibri" w:hAnsi="Calibri" w:cs="Arial"/>
                          <w:b/>
                          <w:sz w:val="21"/>
                          <w:szCs w:val="21"/>
                          <w:lang w:val="en-US"/>
                        </w:rPr>
                        <w:t>Urban Strategy</w:t>
                      </w:r>
                      <w:r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="000E6FF1"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>(next period:</w:t>
                      </w:r>
                      <w:r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 xml:space="preserve"> 2018 – 2020</w:t>
                      </w:r>
                      <w:r w:rsidR="000E6FF1"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>)</w:t>
                      </w:r>
                      <w:r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 xml:space="preserve"> and the </w:t>
                      </w:r>
                      <w:r w:rsidR="000E6FF1"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 xml:space="preserve">related </w:t>
                      </w:r>
                      <w:r w:rsidRPr="00BA29B9">
                        <w:rPr>
                          <w:rFonts w:ascii="Calibri" w:hAnsi="Calibri" w:cs="Arial"/>
                          <w:b/>
                          <w:sz w:val="21"/>
                          <w:szCs w:val="21"/>
                          <w:lang w:val="en-US"/>
                        </w:rPr>
                        <w:t>IASC RG MHCUA Action Plan</w:t>
                      </w:r>
                      <w:r w:rsidR="009256B0"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 xml:space="preserve">, </w:t>
                      </w:r>
                      <w:r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>to be endorsed by IASC WG and IAS</w:t>
                      </w:r>
                      <w:r w:rsidR="009256B0"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>C Principals by end of 2017</w:t>
                      </w:r>
                      <w:r w:rsidR="00BE4CCB"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>/early 2018</w:t>
                      </w:r>
                      <w:r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>;</w:t>
                      </w:r>
                    </w:p>
                    <w:p w14:paraId="134BC107" w14:textId="77777777" w:rsidR="0033206E" w:rsidRPr="00BA29B9" w:rsidRDefault="00234927" w:rsidP="00244C6D">
                      <w:pPr>
                        <w:widowControl w:val="0"/>
                        <w:numPr>
                          <w:ilvl w:val="0"/>
                          <w:numId w:val="22"/>
                        </w:numPr>
                        <w:tabs>
                          <w:tab w:val="left" w:pos="284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</w:pPr>
                      <w:r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 xml:space="preserve">Lead a consultative process </w:t>
                      </w:r>
                      <w:r w:rsidR="003B1244"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>within the IASC bodies (Members, Clusters, Inter-Cluster, Reference Groups and Task Teams) on how to improve coordination and aid delivery in urban areas</w:t>
                      </w:r>
                      <w:r w:rsidR="00A06B5B"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 xml:space="preserve">. The outcome will be reflected in </w:t>
                      </w:r>
                      <w:r w:rsidR="001C275D"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>a</w:t>
                      </w:r>
                      <w:r w:rsidR="003B1244"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="003B1244" w:rsidRPr="00BA29B9">
                        <w:rPr>
                          <w:rFonts w:ascii="Calibri" w:hAnsi="Calibri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Guidance Note for improving coordination and responses to Urban Crises in the Humanitarian Programme Cycle through the IASC and its Cluster System</w:t>
                      </w:r>
                      <w:r w:rsidR="003B1244"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>, to be endorsed by IASC WG and IAS</w:t>
                      </w:r>
                      <w:r w:rsidR="00C41BB3"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>C Principals by end of 2017</w:t>
                      </w:r>
                      <w:r w:rsidR="00436937"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>;</w:t>
                      </w:r>
                    </w:p>
                    <w:p w14:paraId="5C38F272" w14:textId="77777777" w:rsidR="00DF3BFE" w:rsidRPr="00BA29B9" w:rsidRDefault="00DF3BFE" w:rsidP="00244C6D">
                      <w:pPr>
                        <w:widowControl w:val="0"/>
                        <w:numPr>
                          <w:ilvl w:val="0"/>
                          <w:numId w:val="22"/>
                        </w:numPr>
                        <w:tabs>
                          <w:tab w:val="left" w:pos="284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</w:pPr>
                      <w:r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 xml:space="preserve">Promote </w:t>
                      </w:r>
                      <w:r w:rsidRPr="00BA29B9">
                        <w:rPr>
                          <w:rFonts w:ascii="Calibri" w:hAnsi="Calibri" w:cs="Arial"/>
                          <w:b/>
                          <w:sz w:val="21"/>
                          <w:szCs w:val="21"/>
                          <w:lang w:val="en-US"/>
                        </w:rPr>
                        <w:t>joint initiative</w:t>
                      </w:r>
                      <w:r w:rsidR="002C1E65" w:rsidRPr="00BA29B9">
                        <w:rPr>
                          <w:rFonts w:ascii="Calibri" w:hAnsi="Calibri" w:cs="Arial"/>
                          <w:b/>
                          <w:sz w:val="21"/>
                          <w:szCs w:val="21"/>
                          <w:lang w:val="en-US"/>
                        </w:rPr>
                        <w:t>s</w:t>
                      </w:r>
                      <w:r w:rsidRPr="00BA29B9">
                        <w:rPr>
                          <w:rFonts w:ascii="Calibri" w:hAnsi="Calibri" w:cs="Arial"/>
                          <w:b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="00E854A6" w:rsidRPr="00BA29B9">
                        <w:rPr>
                          <w:rFonts w:ascii="Calibri" w:hAnsi="Calibri" w:cs="Arial"/>
                          <w:b/>
                          <w:sz w:val="21"/>
                          <w:szCs w:val="21"/>
                          <w:lang w:val="en-US"/>
                        </w:rPr>
                        <w:t>with</w:t>
                      </w:r>
                      <w:r w:rsidRPr="00BA29B9">
                        <w:rPr>
                          <w:rFonts w:ascii="Calibri" w:hAnsi="Calibri" w:cs="Arial"/>
                          <w:b/>
                          <w:sz w:val="21"/>
                          <w:szCs w:val="21"/>
                          <w:lang w:val="en-US"/>
                        </w:rPr>
                        <w:t xml:space="preserve"> IASC </w:t>
                      </w:r>
                      <w:r w:rsidR="00E854A6" w:rsidRPr="00BA29B9">
                        <w:rPr>
                          <w:rFonts w:ascii="Calibri" w:hAnsi="Calibri" w:cs="Arial"/>
                          <w:b/>
                          <w:sz w:val="21"/>
                          <w:szCs w:val="21"/>
                          <w:lang w:val="en-US"/>
                        </w:rPr>
                        <w:t>Task Teams</w:t>
                      </w:r>
                      <w:r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>, with a specific focus on AAP in Urban Areas</w:t>
                      </w:r>
                      <w:r w:rsidR="00CA3D80"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 xml:space="preserve"> and Humanitarian/Development Nexus;</w:t>
                      </w:r>
                    </w:p>
                    <w:p w14:paraId="0FB9F581" w14:textId="77777777" w:rsidR="00DD0EA4" w:rsidRPr="00BA29B9" w:rsidRDefault="00DD0EA4" w:rsidP="00DD0EA4">
                      <w:pPr>
                        <w:widowControl w:val="0"/>
                        <w:numPr>
                          <w:ilvl w:val="0"/>
                          <w:numId w:val="22"/>
                        </w:numPr>
                        <w:tabs>
                          <w:tab w:val="left" w:pos="284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</w:pPr>
                      <w:r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>Continue supporting post-WHS and post-Habitat III processes and commitments for action, including through continuous engagement with and support of the Global Alliance for Urban Crises as per the MHCUA Action Plan;</w:t>
                      </w:r>
                    </w:p>
                    <w:p w14:paraId="6C0C1387" w14:textId="1EBAE4D8" w:rsidR="001262C4" w:rsidRPr="00BA29B9" w:rsidRDefault="001262C4" w:rsidP="00244C6D">
                      <w:pPr>
                        <w:widowControl w:val="0"/>
                        <w:numPr>
                          <w:ilvl w:val="0"/>
                          <w:numId w:val="22"/>
                        </w:numPr>
                        <w:tabs>
                          <w:tab w:val="left" w:pos="284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</w:pPr>
                      <w:r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>Continue the implementation of the</w:t>
                      </w:r>
                      <w:r w:rsidR="00BB35E7"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 xml:space="preserve"> overall</w:t>
                      </w:r>
                      <w:r w:rsidRP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="00BA29B9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>Action Plan through RG Partners</w:t>
                      </w:r>
                      <w:r w:rsidR="00876EB0">
                        <w:rPr>
                          <w:rFonts w:ascii="Calibri" w:hAnsi="Calibri" w:cs="Arial"/>
                          <w:sz w:val="21"/>
                          <w:szCs w:val="21"/>
                          <w:lang w:val="en-US"/>
                        </w:rPr>
                        <w:t xml:space="preserve"> in support of delivering SDGs (especially target 11), NUA and other global international agreements.</w:t>
                      </w:r>
                    </w:p>
                    <w:p w14:paraId="26560EB1" w14:textId="77777777" w:rsidR="00DD0EA4" w:rsidRDefault="00DD0EA4"/>
                  </w:txbxContent>
                </v:textbox>
              </v:shape>
            </w:pict>
          </mc:Fallback>
        </mc:AlternateContent>
      </w:r>
      <w:r w:rsidRPr="00875A60"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anchor distT="45720" distB="45720" distL="114300" distR="114300" simplePos="0" relativeHeight="251735552" behindDoc="0" locked="0" layoutInCell="1" allowOverlap="1" wp14:anchorId="5501DBCA" wp14:editId="4359C0F4">
                <wp:simplePos x="0" y="0"/>
                <wp:positionH relativeFrom="column">
                  <wp:posOffset>-175895</wp:posOffset>
                </wp:positionH>
                <wp:positionV relativeFrom="paragraph">
                  <wp:posOffset>3808095</wp:posOffset>
                </wp:positionV>
                <wp:extent cx="6858000" cy="4724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A5EEC" w14:textId="1C573DEE" w:rsidR="00875A60" w:rsidRPr="00875A60" w:rsidRDefault="00875A60" w:rsidP="00875A6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875A60">
                              <w:rPr>
                                <w:sz w:val="14"/>
                                <w:szCs w:val="16"/>
                              </w:rPr>
                              <w:t>*Members include: NGOs (SCI, NRC, WVI, ACTED, WHH, Samaritans Purse, IRC, InterAction, Concern, ICVA), UN Agencies (UNHCR, WFP, UNDP, UNICEF, ILO, UN-Habitat, IOM, WHO, FAO, OCHA), Donors (ECHO, OFDA, World Bank), global Clusters (global Shelter Cluster, global Food Security Cluster), Networks (Global Alliance for Urban Crises, United Cities and Local Governments), Researc</w:t>
                            </w:r>
                            <w:r w:rsidR="00D47A07">
                              <w:rPr>
                                <w:sz w:val="14"/>
                                <w:szCs w:val="16"/>
                              </w:rPr>
                              <w:t>h</w:t>
                            </w:r>
                            <w:r w:rsidRPr="00875A60">
                              <w:rPr>
                                <w:sz w:val="14"/>
                                <w:szCs w:val="16"/>
                              </w:rPr>
                              <w:t xml:space="preserve"> Organisations / Think Tanks (IMPACT Initiatives, JIPS, MIT, Graduate Institute Geneva, ALNAP, Sphere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1DBCA" id="_x0000_s1031" type="#_x0000_t202" style="position:absolute;left:0;text-align:left;margin-left:-13.85pt;margin-top:299.85pt;width:540pt;height:37.2pt;z-index:251735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" filled="f" strokecolor="#4f81bd [3204]">
                <v:textbox>
                  <w:txbxContent>
                    <w:p w14:paraId="5AEA5EEC" w14:textId="1C573DEE" w:rsidR="00875A60" w:rsidRPr="00875A60" w:rsidRDefault="00875A60" w:rsidP="00875A60">
                      <w:pPr>
                        <w:rPr>
                          <w:sz w:val="14"/>
                          <w:szCs w:val="16"/>
                        </w:rPr>
                      </w:pPr>
                      <w:r w:rsidRPr="00875A60">
                        <w:rPr>
                          <w:sz w:val="14"/>
                          <w:szCs w:val="16"/>
                        </w:rPr>
                        <w:t>*Members include: NGOs (SCI, NRC, WVI, ACTED, WHH, Samaritans Purse, IRC, InterAction, Concern, ICVA), UN Agencies (UNHCR, WFP, UNDP, UNICEF, ILO, UN-Habitat, IOM, WHO, FAO, OCHA), Donors (ECHO, OFDA, World Bank), global Clusters (global Shelter Cluster, global Food Security Cluster), Networks (Global Alliance for Urban Crises, United Cities and Local Governments), Researc</w:t>
                      </w:r>
                      <w:r w:rsidR="00D47A07">
                        <w:rPr>
                          <w:sz w:val="14"/>
                          <w:szCs w:val="16"/>
                        </w:rPr>
                        <w:t>h</w:t>
                      </w:r>
                      <w:r w:rsidRPr="00875A60">
                        <w:rPr>
                          <w:sz w:val="14"/>
                          <w:szCs w:val="16"/>
                        </w:rPr>
                        <w:t xml:space="preserve"> Organisations / Think Tanks (IMPACT Initiatives, JIPS, MIT, Graduate Institute Geneva, ALNAP, Sphere Project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01E3">
        <w:rPr>
          <w:rFonts w:ascii="Arial" w:hAnsi="Arial" w:cs="Arial"/>
          <w:bCs/>
          <w:noProof/>
          <w:color w:val="000000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654C320C" wp14:editId="3728D54B">
                <wp:simplePos x="0" y="0"/>
                <wp:positionH relativeFrom="column">
                  <wp:posOffset>3959225</wp:posOffset>
                </wp:positionH>
                <wp:positionV relativeFrom="paragraph">
                  <wp:posOffset>312291</wp:posOffset>
                </wp:positionV>
                <wp:extent cx="1976755" cy="241418"/>
                <wp:effectExtent l="0" t="0" r="4445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241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0364F" w14:textId="77777777" w:rsidR="00CB2627" w:rsidRPr="00185C8D" w:rsidRDefault="00CB2627" w:rsidP="00CB2627">
                            <w:pPr>
                              <w:spacing w:after="120" w:line="240" w:lineRule="auto"/>
                              <w:rPr>
                                <w:b/>
                                <w:color w:val="548DD4" w:themeColor="text2" w:themeTint="99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4"/>
                                <w:szCs w:val="24"/>
                                <w:lang w:val="en-US"/>
                              </w:rPr>
                              <w:t>MEMBERSHIP OVERVIEW</w:t>
                            </w:r>
                            <w:r w:rsidR="00875A60">
                              <w:rPr>
                                <w:b/>
                                <w:color w:val="548DD4" w:themeColor="text2" w:themeTint="99"/>
                                <w:sz w:val="24"/>
                                <w:szCs w:val="24"/>
                                <w:lang w:val="en-US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C320C" id="_x0000_s1032" type="#_x0000_t202" style="position:absolute;left:0;text-align:left;margin-left:311.75pt;margin-top:24.6pt;width:155.65pt;height:19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" stroked="f">
                <v:textbox>
                  <w:txbxContent>
                    <w:p w14:paraId="3040364F" w14:textId="77777777" w:rsidR="00CB2627" w:rsidRPr="00185C8D" w:rsidRDefault="00CB2627" w:rsidP="00CB2627">
                      <w:pPr>
                        <w:spacing w:after="120" w:line="240" w:lineRule="auto"/>
                        <w:rPr>
                          <w:b/>
                          <w:color w:val="548DD4" w:themeColor="text2" w:themeTint="99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4"/>
                          <w:szCs w:val="24"/>
                          <w:lang w:val="en-US"/>
                        </w:rPr>
                        <w:t>MEMBERSHIP OVERVIEW</w:t>
                      </w:r>
                      <w:r w:rsidR="00875A60">
                        <w:rPr>
                          <w:b/>
                          <w:color w:val="548DD4" w:themeColor="text2" w:themeTint="99"/>
                          <w:sz w:val="24"/>
                          <w:szCs w:val="24"/>
                          <w:lang w:val="en-US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3201E3">
        <w:rPr>
          <w:rFonts w:ascii="Arial" w:hAnsi="Arial" w:cs="Arial"/>
          <w:bCs/>
          <w:noProof/>
          <w:color w:val="000000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348B7D68" wp14:editId="6656CC7B">
                <wp:simplePos x="0" y="0"/>
                <wp:positionH relativeFrom="column">
                  <wp:posOffset>-255270</wp:posOffset>
                </wp:positionH>
                <wp:positionV relativeFrom="paragraph">
                  <wp:posOffset>299720</wp:posOffset>
                </wp:positionV>
                <wp:extent cx="4012565" cy="241300"/>
                <wp:effectExtent l="0" t="0" r="6985" b="63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56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E49CC" w14:textId="77777777" w:rsidR="00176B45" w:rsidRPr="00185C8D" w:rsidRDefault="004A137D" w:rsidP="00306740">
                            <w:pPr>
                              <w:spacing w:after="120" w:line="240" w:lineRule="auto"/>
                              <w:rPr>
                                <w:b/>
                                <w:color w:val="548DD4" w:themeColor="text2" w:themeTint="99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4"/>
                                <w:szCs w:val="24"/>
                                <w:lang w:val="en-US"/>
                              </w:rPr>
                              <w:t>PRIORITY</w:t>
                            </w:r>
                            <w:r w:rsidR="00176B45" w:rsidRPr="00185C8D">
                              <w:rPr>
                                <w:b/>
                                <w:color w:val="548DD4" w:themeColor="text2" w:themeTint="99"/>
                                <w:sz w:val="24"/>
                                <w:szCs w:val="24"/>
                                <w:lang w:val="en-US"/>
                              </w:rPr>
                              <w:t xml:space="preserve"> ACTIVITIES </w:t>
                            </w:r>
                            <w:r w:rsidR="00B03AD0">
                              <w:rPr>
                                <w:b/>
                                <w:color w:val="548DD4" w:themeColor="text2" w:themeTint="99"/>
                                <w:sz w:val="24"/>
                                <w:szCs w:val="24"/>
                                <w:lang w:val="en-US"/>
                              </w:rPr>
                              <w:t>FOR</w:t>
                            </w:r>
                            <w:r w:rsidR="00840D34">
                              <w:rPr>
                                <w:b/>
                                <w:color w:val="548DD4" w:themeColor="text2" w:themeTint="99"/>
                                <w:sz w:val="24"/>
                                <w:szCs w:val="24"/>
                                <w:lang w:val="en-US"/>
                              </w:rPr>
                              <w:t xml:space="preserve"> 201</w:t>
                            </w:r>
                            <w:r w:rsidR="003B1244">
                              <w:rPr>
                                <w:b/>
                                <w:color w:val="548DD4" w:themeColor="text2" w:themeTint="99"/>
                                <w:sz w:val="24"/>
                                <w:szCs w:val="24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B7D68" id="_x0000_s1033" type="#_x0000_t202" style="position:absolute;left:0;text-align:left;margin-left:-20.1pt;margin-top:23.6pt;width:315.95pt;height:19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" stroked="f">
                <v:textbox>
                  <w:txbxContent>
                    <w:p w14:paraId="2CFE49CC" w14:textId="77777777" w:rsidR="00176B45" w:rsidRPr="00185C8D" w:rsidRDefault="004A137D" w:rsidP="00306740">
                      <w:pPr>
                        <w:spacing w:after="120" w:line="240" w:lineRule="auto"/>
                        <w:rPr>
                          <w:b/>
                          <w:color w:val="548DD4" w:themeColor="text2" w:themeTint="99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4"/>
                          <w:szCs w:val="24"/>
                          <w:lang w:val="en-US"/>
                        </w:rPr>
                        <w:t>PRIORITY</w:t>
                      </w:r>
                      <w:r w:rsidR="00176B45" w:rsidRPr="00185C8D">
                        <w:rPr>
                          <w:b/>
                          <w:color w:val="548DD4" w:themeColor="text2" w:themeTint="99"/>
                          <w:sz w:val="24"/>
                          <w:szCs w:val="24"/>
                          <w:lang w:val="en-US"/>
                        </w:rPr>
                        <w:t xml:space="preserve"> ACTIVITIES </w:t>
                      </w:r>
                      <w:r w:rsidR="00B03AD0">
                        <w:rPr>
                          <w:b/>
                          <w:color w:val="548DD4" w:themeColor="text2" w:themeTint="99"/>
                          <w:sz w:val="24"/>
                          <w:szCs w:val="24"/>
                          <w:lang w:val="en-US"/>
                        </w:rPr>
                        <w:t>FOR</w:t>
                      </w:r>
                      <w:r w:rsidR="00840D34">
                        <w:rPr>
                          <w:b/>
                          <w:color w:val="548DD4" w:themeColor="text2" w:themeTint="99"/>
                          <w:sz w:val="24"/>
                          <w:szCs w:val="24"/>
                          <w:lang w:val="en-US"/>
                        </w:rPr>
                        <w:t xml:space="preserve"> 201</w:t>
                      </w:r>
                      <w:r w:rsidR="003B1244">
                        <w:rPr>
                          <w:b/>
                          <w:color w:val="548DD4" w:themeColor="text2" w:themeTint="99"/>
                          <w:sz w:val="24"/>
                          <w:szCs w:val="24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3DE0" w:rsidRPr="0033206E" w:rsidSect="007F3DE0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9C2F9" w14:textId="77777777" w:rsidR="00822078" w:rsidRDefault="00822078" w:rsidP="00C54E75">
      <w:pPr>
        <w:spacing w:after="0" w:line="240" w:lineRule="auto"/>
      </w:pPr>
      <w:r>
        <w:separator/>
      </w:r>
    </w:p>
  </w:endnote>
  <w:endnote w:type="continuationSeparator" w:id="0">
    <w:p w14:paraId="753781C7" w14:textId="77777777" w:rsidR="00822078" w:rsidRDefault="00822078" w:rsidP="00C5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A09F0" w14:textId="77777777" w:rsidR="00C54E75" w:rsidRDefault="008E4BF2">
    <w:pPr>
      <w:pStyle w:val="Foo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3A7542" wp14:editId="54B15465">
              <wp:simplePos x="0" y="0"/>
              <wp:positionH relativeFrom="column">
                <wp:posOffset>-356235</wp:posOffset>
              </wp:positionH>
              <wp:positionV relativeFrom="paragraph">
                <wp:posOffset>235198</wp:posOffset>
              </wp:positionV>
              <wp:extent cx="7334250" cy="255722"/>
              <wp:effectExtent l="0" t="0" r="19050" b="1143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0" cy="255722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tile tx="0" ty="0" sx="100000" sy="100000" flip="none" algn="tl"/>
                      </a:blipFill>
                      <a:ln w="9525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492DB1" w14:textId="77777777" w:rsidR="0033206E" w:rsidRPr="003201E3" w:rsidRDefault="003B1244" w:rsidP="003201E3">
                          <w:pPr>
                            <w:pStyle w:val="NoSpacing"/>
                            <w:ind w:left="4321" w:hanging="4321"/>
                            <w:jc w:val="center"/>
                            <w:rPr>
                              <w:color w:val="000000" w:themeColor="text1"/>
                              <w:sz w:val="20"/>
                            </w:rPr>
                          </w:pPr>
                          <w:r w:rsidRPr="00433FC4">
                            <w:rPr>
                              <w:b/>
                              <w:color w:val="002060"/>
                              <w:sz w:val="20"/>
                            </w:rPr>
                            <w:t>C</w:t>
                          </w:r>
                          <w:r w:rsidR="0033206E" w:rsidRPr="00433FC4">
                            <w:rPr>
                              <w:b/>
                              <w:color w:val="002060"/>
                              <w:sz w:val="20"/>
                            </w:rPr>
                            <w:t>o-Chairs</w:t>
                          </w:r>
                          <w:r w:rsidR="0033206E" w:rsidRPr="00433FC4">
                            <w:rPr>
                              <w:color w:val="002060"/>
                              <w:sz w:val="20"/>
                            </w:rPr>
                            <w:t>:</w:t>
                          </w:r>
                          <w:r w:rsidR="0033206E" w:rsidRPr="00433FC4">
                            <w:rPr>
                              <w:color w:val="000000" w:themeColor="text1"/>
                              <w:sz w:val="20"/>
                            </w:rPr>
                            <w:t xml:space="preserve"> </w:t>
                          </w:r>
                          <w:r w:rsidR="00433FC4" w:rsidRPr="00433FC4">
                            <w:rPr>
                              <w:color w:val="000000" w:themeColor="text1"/>
                              <w:sz w:val="20"/>
                            </w:rPr>
                            <w:t xml:space="preserve">Gaia van der Esch, </w:t>
                          </w:r>
                          <w:r w:rsidR="00BB5AF2" w:rsidRPr="00433FC4">
                            <w:rPr>
                              <w:color w:val="000000" w:themeColor="text1"/>
                              <w:sz w:val="20"/>
                            </w:rPr>
                            <w:t>IMPACT Initiatives</w:t>
                          </w:r>
                          <w:r w:rsidR="003201E3">
                            <w:rPr>
                              <w:color w:val="000000" w:themeColor="text1"/>
                              <w:sz w:val="20"/>
                            </w:rPr>
                            <w:t xml:space="preserve">; </w:t>
                          </w:r>
                          <w:r w:rsidR="00433FC4">
                            <w:rPr>
                              <w:color w:val="000000" w:themeColor="text1"/>
                              <w:sz w:val="20"/>
                              <w:lang w:val="fr-FR"/>
                            </w:rPr>
                            <w:t xml:space="preserve">Esteban Leon, </w:t>
                          </w:r>
                          <w:r w:rsidRPr="003B1244">
                            <w:rPr>
                              <w:color w:val="000000" w:themeColor="text1"/>
                              <w:sz w:val="20"/>
                              <w:lang w:val="fr-FR"/>
                            </w:rPr>
                            <w:t>UN-Habitat</w:t>
                          </w:r>
                        </w:p>
                        <w:p w14:paraId="286AAA3B" w14:textId="77777777" w:rsidR="0033206E" w:rsidRPr="003B1244" w:rsidRDefault="0033206E" w:rsidP="00433FC4">
                          <w:pPr>
                            <w:pStyle w:val="NoSpacing"/>
                            <w:spacing w:before="120" w:after="120"/>
                            <w:ind w:left="4321" w:hanging="4321"/>
                            <w:jc w:val="center"/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3A754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-28.05pt;margin-top:18.5pt;width:577.5pt;height: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" strokecolor="#92cddc [1944]">
              <v:fill r:id="rId2" o:title="" recolor="t" type="tile"/>
              <v:textbox>
                <w:txbxContent>
                  <w:p w14:paraId="0E492DB1" w14:textId="77777777" w:rsidR="0033206E" w:rsidRPr="003201E3" w:rsidRDefault="003B1244" w:rsidP="003201E3">
                    <w:pPr>
                      <w:pStyle w:val="NoSpacing"/>
                      <w:ind w:left="4321" w:hanging="4321"/>
                      <w:jc w:val="center"/>
                      <w:rPr>
                        <w:color w:val="000000" w:themeColor="text1"/>
                        <w:sz w:val="20"/>
                      </w:rPr>
                    </w:pPr>
                    <w:r w:rsidRPr="00433FC4">
                      <w:rPr>
                        <w:b/>
                        <w:color w:val="002060"/>
                        <w:sz w:val="20"/>
                      </w:rPr>
                      <w:t>C</w:t>
                    </w:r>
                    <w:r w:rsidR="0033206E" w:rsidRPr="00433FC4">
                      <w:rPr>
                        <w:b/>
                        <w:color w:val="002060"/>
                        <w:sz w:val="20"/>
                      </w:rPr>
                      <w:t>o-Chairs</w:t>
                    </w:r>
                    <w:r w:rsidR="0033206E" w:rsidRPr="00433FC4">
                      <w:rPr>
                        <w:color w:val="002060"/>
                        <w:sz w:val="20"/>
                      </w:rPr>
                      <w:t>:</w:t>
                    </w:r>
                    <w:r w:rsidR="0033206E" w:rsidRPr="00433FC4">
                      <w:rPr>
                        <w:color w:val="000000" w:themeColor="text1"/>
                        <w:sz w:val="20"/>
                      </w:rPr>
                      <w:t xml:space="preserve"> </w:t>
                    </w:r>
                    <w:r w:rsidR="00433FC4" w:rsidRPr="00433FC4">
                      <w:rPr>
                        <w:color w:val="000000" w:themeColor="text1"/>
                        <w:sz w:val="20"/>
                      </w:rPr>
                      <w:t xml:space="preserve">Gaia van der Esch, </w:t>
                    </w:r>
                    <w:r w:rsidR="00BB5AF2" w:rsidRPr="00433FC4">
                      <w:rPr>
                        <w:color w:val="000000" w:themeColor="text1"/>
                        <w:sz w:val="20"/>
                      </w:rPr>
                      <w:t>IMPACT Initiatives</w:t>
                    </w:r>
                    <w:r w:rsidR="003201E3">
                      <w:rPr>
                        <w:color w:val="000000" w:themeColor="text1"/>
                        <w:sz w:val="20"/>
                      </w:rPr>
                      <w:t xml:space="preserve">; </w:t>
                    </w:r>
                    <w:r w:rsidR="00433FC4">
                      <w:rPr>
                        <w:color w:val="000000" w:themeColor="text1"/>
                        <w:sz w:val="20"/>
                        <w:lang w:val="fr-FR"/>
                      </w:rPr>
                      <w:t xml:space="preserve">Esteban Leon, </w:t>
                    </w:r>
                    <w:r w:rsidRPr="003B1244">
                      <w:rPr>
                        <w:color w:val="000000" w:themeColor="text1"/>
                        <w:sz w:val="20"/>
                        <w:lang w:val="fr-FR"/>
                      </w:rPr>
                      <w:t>UN-Habitat</w:t>
                    </w:r>
                  </w:p>
                  <w:p w14:paraId="286AAA3B" w14:textId="77777777" w:rsidR="0033206E" w:rsidRPr="003B1244" w:rsidRDefault="0033206E" w:rsidP="00433FC4">
                    <w:pPr>
                      <w:pStyle w:val="NoSpacing"/>
                      <w:spacing w:before="120" w:after="120"/>
                      <w:ind w:left="4321" w:hanging="4321"/>
                      <w:jc w:val="center"/>
                      <w:rPr>
                        <w:sz w:val="16"/>
                        <w:szCs w:val="16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1F8C6" w14:textId="77777777" w:rsidR="00822078" w:rsidRDefault="00822078" w:rsidP="00C54E75">
      <w:pPr>
        <w:spacing w:after="0" w:line="240" w:lineRule="auto"/>
      </w:pPr>
      <w:r>
        <w:separator/>
      </w:r>
    </w:p>
  </w:footnote>
  <w:footnote w:type="continuationSeparator" w:id="0">
    <w:p w14:paraId="1320C3BC" w14:textId="77777777" w:rsidR="00822078" w:rsidRDefault="00822078" w:rsidP="00C54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37FE"/>
    <w:multiLevelType w:val="hybridMultilevel"/>
    <w:tmpl w:val="B30E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A0A62"/>
    <w:multiLevelType w:val="hybridMultilevel"/>
    <w:tmpl w:val="B760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9105A"/>
    <w:multiLevelType w:val="hybridMultilevel"/>
    <w:tmpl w:val="48F447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70072B"/>
    <w:multiLevelType w:val="hybridMultilevel"/>
    <w:tmpl w:val="4D181A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>
    <w:nsid w:val="17F01408"/>
    <w:multiLevelType w:val="hybridMultilevel"/>
    <w:tmpl w:val="3782C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F13CE"/>
    <w:multiLevelType w:val="hybridMultilevel"/>
    <w:tmpl w:val="D1984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0E4F33"/>
    <w:multiLevelType w:val="hybridMultilevel"/>
    <w:tmpl w:val="3058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61E56"/>
    <w:multiLevelType w:val="hybridMultilevel"/>
    <w:tmpl w:val="418E6C3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D60A6A8">
      <w:numFmt w:val="bullet"/>
      <w:lvlText w:val="-"/>
      <w:lvlJc w:val="left"/>
      <w:pPr>
        <w:ind w:left="1080" w:hanging="360"/>
      </w:pPr>
      <w:rPr>
        <w:rFonts w:ascii="Calibri" w:eastAsia="MS Mincho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852E78"/>
    <w:multiLevelType w:val="hybridMultilevel"/>
    <w:tmpl w:val="9282F1FC"/>
    <w:lvl w:ilvl="0" w:tplc="68A4B93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762F0"/>
    <w:multiLevelType w:val="hybridMultilevel"/>
    <w:tmpl w:val="C46859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C78B6"/>
    <w:multiLevelType w:val="hybridMultilevel"/>
    <w:tmpl w:val="7DFA57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8C10D1"/>
    <w:multiLevelType w:val="hybridMultilevel"/>
    <w:tmpl w:val="9CB078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E676F"/>
    <w:multiLevelType w:val="hybridMultilevel"/>
    <w:tmpl w:val="9FB0B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34F24"/>
    <w:multiLevelType w:val="hybridMultilevel"/>
    <w:tmpl w:val="C32AB6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235429"/>
    <w:multiLevelType w:val="hybridMultilevel"/>
    <w:tmpl w:val="39F6E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A0CAB"/>
    <w:multiLevelType w:val="hybridMultilevel"/>
    <w:tmpl w:val="552497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5036B"/>
    <w:multiLevelType w:val="hybridMultilevel"/>
    <w:tmpl w:val="8878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C32CE0"/>
    <w:multiLevelType w:val="hybridMultilevel"/>
    <w:tmpl w:val="820CAA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3A4DC1"/>
    <w:multiLevelType w:val="hybridMultilevel"/>
    <w:tmpl w:val="6D3623C4"/>
    <w:lvl w:ilvl="0" w:tplc="100C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>
    <w:nsid w:val="4F373572"/>
    <w:multiLevelType w:val="hybridMultilevel"/>
    <w:tmpl w:val="062E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814334"/>
    <w:multiLevelType w:val="hybridMultilevel"/>
    <w:tmpl w:val="C92C57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B846C5"/>
    <w:multiLevelType w:val="hybridMultilevel"/>
    <w:tmpl w:val="094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EC30BC"/>
    <w:multiLevelType w:val="hybridMultilevel"/>
    <w:tmpl w:val="AB824F6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F5971CD"/>
    <w:multiLevelType w:val="hybridMultilevel"/>
    <w:tmpl w:val="2C203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3"/>
  </w:num>
  <w:num w:numId="5">
    <w:abstractNumId w:val="9"/>
  </w:num>
  <w:num w:numId="6">
    <w:abstractNumId w:val="23"/>
  </w:num>
  <w:num w:numId="7">
    <w:abstractNumId w:val="17"/>
  </w:num>
  <w:num w:numId="8">
    <w:abstractNumId w:val="10"/>
  </w:num>
  <w:num w:numId="9">
    <w:abstractNumId w:val="4"/>
  </w:num>
  <w:num w:numId="10">
    <w:abstractNumId w:val="20"/>
  </w:num>
  <w:num w:numId="11">
    <w:abstractNumId w:val="5"/>
  </w:num>
  <w:num w:numId="12">
    <w:abstractNumId w:val="3"/>
  </w:num>
  <w:num w:numId="13">
    <w:abstractNumId w:val="6"/>
  </w:num>
  <w:num w:numId="14">
    <w:abstractNumId w:val="1"/>
  </w:num>
  <w:num w:numId="15">
    <w:abstractNumId w:val="19"/>
  </w:num>
  <w:num w:numId="16">
    <w:abstractNumId w:val="14"/>
  </w:num>
  <w:num w:numId="17">
    <w:abstractNumId w:val="21"/>
  </w:num>
  <w:num w:numId="18">
    <w:abstractNumId w:val="0"/>
  </w:num>
  <w:num w:numId="19">
    <w:abstractNumId w:val="16"/>
  </w:num>
  <w:num w:numId="20">
    <w:abstractNumId w:val="12"/>
  </w:num>
  <w:num w:numId="21">
    <w:abstractNumId w:val="18"/>
  </w:num>
  <w:num w:numId="22">
    <w:abstractNumId w:val="22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D1"/>
    <w:rsid w:val="000052AE"/>
    <w:rsid w:val="00005AC4"/>
    <w:rsid w:val="000220BF"/>
    <w:rsid w:val="0002769F"/>
    <w:rsid w:val="00035202"/>
    <w:rsid w:val="00042633"/>
    <w:rsid w:val="0005218D"/>
    <w:rsid w:val="000560D0"/>
    <w:rsid w:val="00063E87"/>
    <w:rsid w:val="0007721F"/>
    <w:rsid w:val="0008041E"/>
    <w:rsid w:val="0008448B"/>
    <w:rsid w:val="0008468B"/>
    <w:rsid w:val="0009313F"/>
    <w:rsid w:val="000A1ECB"/>
    <w:rsid w:val="000A3DBA"/>
    <w:rsid w:val="000B296A"/>
    <w:rsid w:val="000B4560"/>
    <w:rsid w:val="000B60E2"/>
    <w:rsid w:val="000E6FF1"/>
    <w:rsid w:val="000F0B19"/>
    <w:rsid w:val="000F642B"/>
    <w:rsid w:val="001262C4"/>
    <w:rsid w:val="00127EEF"/>
    <w:rsid w:val="00131E11"/>
    <w:rsid w:val="00147D20"/>
    <w:rsid w:val="001550C8"/>
    <w:rsid w:val="00176B45"/>
    <w:rsid w:val="00185C8D"/>
    <w:rsid w:val="00191CE5"/>
    <w:rsid w:val="00195B17"/>
    <w:rsid w:val="0019618D"/>
    <w:rsid w:val="001A2478"/>
    <w:rsid w:val="001B709E"/>
    <w:rsid w:val="001C275D"/>
    <w:rsid w:val="001C617E"/>
    <w:rsid w:val="001D4901"/>
    <w:rsid w:val="001D5AC2"/>
    <w:rsid w:val="001E1193"/>
    <w:rsid w:val="001E7C41"/>
    <w:rsid w:val="001F2F9C"/>
    <w:rsid w:val="001F6DCA"/>
    <w:rsid w:val="00201903"/>
    <w:rsid w:val="00203ED5"/>
    <w:rsid w:val="00210B7C"/>
    <w:rsid w:val="00210B88"/>
    <w:rsid w:val="00210C5E"/>
    <w:rsid w:val="00234927"/>
    <w:rsid w:val="00244C6D"/>
    <w:rsid w:val="00264C77"/>
    <w:rsid w:val="00291829"/>
    <w:rsid w:val="00292474"/>
    <w:rsid w:val="0029537F"/>
    <w:rsid w:val="002A740E"/>
    <w:rsid w:val="002B1A75"/>
    <w:rsid w:val="002B2F1D"/>
    <w:rsid w:val="002C1E65"/>
    <w:rsid w:val="002E5BF6"/>
    <w:rsid w:val="002F5B74"/>
    <w:rsid w:val="00306740"/>
    <w:rsid w:val="0030749D"/>
    <w:rsid w:val="00311FAD"/>
    <w:rsid w:val="003132EE"/>
    <w:rsid w:val="003201E3"/>
    <w:rsid w:val="00322949"/>
    <w:rsid w:val="00324EBE"/>
    <w:rsid w:val="00330215"/>
    <w:rsid w:val="0033206E"/>
    <w:rsid w:val="0035127E"/>
    <w:rsid w:val="00390A59"/>
    <w:rsid w:val="003974A7"/>
    <w:rsid w:val="003B1244"/>
    <w:rsid w:val="003B2424"/>
    <w:rsid w:val="003C2435"/>
    <w:rsid w:val="003C2E1B"/>
    <w:rsid w:val="003C622A"/>
    <w:rsid w:val="003D5499"/>
    <w:rsid w:val="003E377C"/>
    <w:rsid w:val="003F10F9"/>
    <w:rsid w:val="003F4F19"/>
    <w:rsid w:val="0042450E"/>
    <w:rsid w:val="00433FC4"/>
    <w:rsid w:val="00436937"/>
    <w:rsid w:val="004431AF"/>
    <w:rsid w:val="00443F38"/>
    <w:rsid w:val="00446283"/>
    <w:rsid w:val="0045612F"/>
    <w:rsid w:val="00457511"/>
    <w:rsid w:val="00457A8F"/>
    <w:rsid w:val="00460FA9"/>
    <w:rsid w:val="00475641"/>
    <w:rsid w:val="004935FB"/>
    <w:rsid w:val="004A137D"/>
    <w:rsid w:val="004A210C"/>
    <w:rsid w:val="004C30F8"/>
    <w:rsid w:val="004D110C"/>
    <w:rsid w:val="004E160D"/>
    <w:rsid w:val="004F12F1"/>
    <w:rsid w:val="005026AC"/>
    <w:rsid w:val="00512DE1"/>
    <w:rsid w:val="00514568"/>
    <w:rsid w:val="00534603"/>
    <w:rsid w:val="005363A1"/>
    <w:rsid w:val="00536B50"/>
    <w:rsid w:val="005371FA"/>
    <w:rsid w:val="005469CC"/>
    <w:rsid w:val="00547E10"/>
    <w:rsid w:val="005520E7"/>
    <w:rsid w:val="00552671"/>
    <w:rsid w:val="00557750"/>
    <w:rsid w:val="00576B8B"/>
    <w:rsid w:val="00591897"/>
    <w:rsid w:val="005A2B89"/>
    <w:rsid w:val="005A3A96"/>
    <w:rsid w:val="005A3AA0"/>
    <w:rsid w:val="005A46E8"/>
    <w:rsid w:val="005D23A7"/>
    <w:rsid w:val="005D3242"/>
    <w:rsid w:val="005D3D1B"/>
    <w:rsid w:val="005D7C22"/>
    <w:rsid w:val="005E242B"/>
    <w:rsid w:val="005F07D9"/>
    <w:rsid w:val="00616625"/>
    <w:rsid w:val="00623000"/>
    <w:rsid w:val="006261F3"/>
    <w:rsid w:val="006279E5"/>
    <w:rsid w:val="0065090C"/>
    <w:rsid w:val="00664931"/>
    <w:rsid w:val="0067141F"/>
    <w:rsid w:val="00671A98"/>
    <w:rsid w:val="00675551"/>
    <w:rsid w:val="00676BC5"/>
    <w:rsid w:val="00690441"/>
    <w:rsid w:val="00690AAA"/>
    <w:rsid w:val="006A11AB"/>
    <w:rsid w:val="006B3B53"/>
    <w:rsid w:val="006B7550"/>
    <w:rsid w:val="006C6C68"/>
    <w:rsid w:val="006F3D92"/>
    <w:rsid w:val="00702198"/>
    <w:rsid w:val="00720FA0"/>
    <w:rsid w:val="00726CBD"/>
    <w:rsid w:val="007376D6"/>
    <w:rsid w:val="00742A35"/>
    <w:rsid w:val="00744AB5"/>
    <w:rsid w:val="0076608B"/>
    <w:rsid w:val="00780CAB"/>
    <w:rsid w:val="007A5E96"/>
    <w:rsid w:val="007A6CAF"/>
    <w:rsid w:val="007A7370"/>
    <w:rsid w:val="007A7BA8"/>
    <w:rsid w:val="007B273A"/>
    <w:rsid w:val="007D365B"/>
    <w:rsid w:val="007D5EFA"/>
    <w:rsid w:val="007D75C8"/>
    <w:rsid w:val="007E174A"/>
    <w:rsid w:val="007E59BA"/>
    <w:rsid w:val="007F3DE0"/>
    <w:rsid w:val="007F4886"/>
    <w:rsid w:val="00800D7C"/>
    <w:rsid w:val="0081208F"/>
    <w:rsid w:val="00812DF2"/>
    <w:rsid w:val="00822078"/>
    <w:rsid w:val="00840D34"/>
    <w:rsid w:val="00840F1C"/>
    <w:rsid w:val="008459AA"/>
    <w:rsid w:val="0086214C"/>
    <w:rsid w:val="0086292B"/>
    <w:rsid w:val="00875A60"/>
    <w:rsid w:val="00876EB0"/>
    <w:rsid w:val="00882C58"/>
    <w:rsid w:val="00895FF0"/>
    <w:rsid w:val="00896721"/>
    <w:rsid w:val="008D5C0C"/>
    <w:rsid w:val="008D733E"/>
    <w:rsid w:val="008E4BF2"/>
    <w:rsid w:val="008F5472"/>
    <w:rsid w:val="0090184B"/>
    <w:rsid w:val="00917F5E"/>
    <w:rsid w:val="009256B0"/>
    <w:rsid w:val="009259A5"/>
    <w:rsid w:val="00926924"/>
    <w:rsid w:val="0092704C"/>
    <w:rsid w:val="00927198"/>
    <w:rsid w:val="00941120"/>
    <w:rsid w:val="00945ED1"/>
    <w:rsid w:val="0094728E"/>
    <w:rsid w:val="009741ED"/>
    <w:rsid w:val="00987F67"/>
    <w:rsid w:val="00994B9F"/>
    <w:rsid w:val="009A3082"/>
    <w:rsid w:val="009E533A"/>
    <w:rsid w:val="009F5083"/>
    <w:rsid w:val="00A069EF"/>
    <w:rsid w:val="00A06B5B"/>
    <w:rsid w:val="00A341DE"/>
    <w:rsid w:val="00A438E9"/>
    <w:rsid w:val="00A67109"/>
    <w:rsid w:val="00A827C5"/>
    <w:rsid w:val="00A8553C"/>
    <w:rsid w:val="00AB51DF"/>
    <w:rsid w:val="00AD3B68"/>
    <w:rsid w:val="00AE08F1"/>
    <w:rsid w:val="00AE32AA"/>
    <w:rsid w:val="00AE5E8B"/>
    <w:rsid w:val="00AE6D7B"/>
    <w:rsid w:val="00AF1E08"/>
    <w:rsid w:val="00B03AD0"/>
    <w:rsid w:val="00B175F0"/>
    <w:rsid w:val="00B3555A"/>
    <w:rsid w:val="00B4053D"/>
    <w:rsid w:val="00B416D1"/>
    <w:rsid w:val="00B4242B"/>
    <w:rsid w:val="00B53065"/>
    <w:rsid w:val="00B662B8"/>
    <w:rsid w:val="00B86DC4"/>
    <w:rsid w:val="00B90310"/>
    <w:rsid w:val="00B93BF6"/>
    <w:rsid w:val="00BA254D"/>
    <w:rsid w:val="00BA29B9"/>
    <w:rsid w:val="00BB35E7"/>
    <w:rsid w:val="00BB5AF2"/>
    <w:rsid w:val="00BC2C18"/>
    <w:rsid w:val="00BC4BCD"/>
    <w:rsid w:val="00BE0351"/>
    <w:rsid w:val="00BE0AA0"/>
    <w:rsid w:val="00BE1CEA"/>
    <w:rsid w:val="00BE4CCB"/>
    <w:rsid w:val="00BF033D"/>
    <w:rsid w:val="00C01C3A"/>
    <w:rsid w:val="00C16BEF"/>
    <w:rsid w:val="00C17BD4"/>
    <w:rsid w:val="00C35482"/>
    <w:rsid w:val="00C41BB3"/>
    <w:rsid w:val="00C51552"/>
    <w:rsid w:val="00C54E75"/>
    <w:rsid w:val="00C562A0"/>
    <w:rsid w:val="00C56342"/>
    <w:rsid w:val="00C60137"/>
    <w:rsid w:val="00C66448"/>
    <w:rsid w:val="00C74442"/>
    <w:rsid w:val="00C85462"/>
    <w:rsid w:val="00C9758D"/>
    <w:rsid w:val="00CA10C8"/>
    <w:rsid w:val="00CA3D80"/>
    <w:rsid w:val="00CA7391"/>
    <w:rsid w:val="00CB2627"/>
    <w:rsid w:val="00CB4552"/>
    <w:rsid w:val="00CC2ACF"/>
    <w:rsid w:val="00CC612B"/>
    <w:rsid w:val="00CD1352"/>
    <w:rsid w:val="00CD3EED"/>
    <w:rsid w:val="00CF06F9"/>
    <w:rsid w:val="00CF391B"/>
    <w:rsid w:val="00CF4F00"/>
    <w:rsid w:val="00CF671C"/>
    <w:rsid w:val="00D02EC3"/>
    <w:rsid w:val="00D205A2"/>
    <w:rsid w:val="00D333A0"/>
    <w:rsid w:val="00D33442"/>
    <w:rsid w:val="00D47A07"/>
    <w:rsid w:val="00D503CB"/>
    <w:rsid w:val="00D51A45"/>
    <w:rsid w:val="00D5557A"/>
    <w:rsid w:val="00D74AF1"/>
    <w:rsid w:val="00D90FAC"/>
    <w:rsid w:val="00D953A5"/>
    <w:rsid w:val="00DA0DCE"/>
    <w:rsid w:val="00DB69EE"/>
    <w:rsid w:val="00DC2B0F"/>
    <w:rsid w:val="00DD0EA4"/>
    <w:rsid w:val="00DE5B2F"/>
    <w:rsid w:val="00DF3BFE"/>
    <w:rsid w:val="00E10287"/>
    <w:rsid w:val="00E115C9"/>
    <w:rsid w:val="00E15B3E"/>
    <w:rsid w:val="00E4095F"/>
    <w:rsid w:val="00E4482F"/>
    <w:rsid w:val="00E62B92"/>
    <w:rsid w:val="00E62DA2"/>
    <w:rsid w:val="00E659FE"/>
    <w:rsid w:val="00E65D06"/>
    <w:rsid w:val="00E703CE"/>
    <w:rsid w:val="00E76962"/>
    <w:rsid w:val="00E854A6"/>
    <w:rsid w:val="00E975E4"/>
    <w:rsid w:val="00EA011A"/>
    <w:rsid w:val="00EA4A78"/>
    <w:rsid w:val="00EB6146"/>
    <w:rsid w:val="00EB7956"/>
    <w:rsid w:val="00EC04D1"/>
    <w:rsid w:val="00ED0FC0"/>
    <w:rsid w:val="00ED376B"/>
    <w:rsid w:val="00ED3B88"/>
    <w:rsid w:val="00EE2FCE"/>
    <w:rsid w:val="00F001C0"/>
    <w:rsid w:val="00F00D9D"/>
    <w:rsid w:val="00F0416A"/>
    <w:rsid w:val="00F07A36"/>
    <w:rsid w:val="00F207CC"/>
    <w:rsid w:val="00F26A92"/>
    <w:rsid w:val="00F31773"/>
    <w:rsid w:val="00F33620"/>
    <w:rsid w:val="00F42C9B"/>
    <w:rsid w:val="00F44E79"/>
    <w:rsid w:val="00F5125E"/>
    <w:rsid w:val="00F55A0E"/>
    <w:rsid w:val="00F55C8E"/>
    <w:rsid w:val="00F56D54"/>
    <w:rsid w:val="00F717A1"/>
    <w:rsid w:val="00F76AA6"/>
    <w:rsid w:val="00F9600E"/>
    <w:rsid w:val="00F96342"/>
    <w:rsid w:val="00FA2FE9"/>
    <w:rsid w:val="00FA6E80"/>
    <w:rsid w:val="00FA7070"/>
    <w:rsid w:val="00FA7CC2"/>
    <w:rsid w:val="00FB4DCC"/>
    <w:rsid w:val="00FC7F66"/>
    <w:rsid w:val="00FD1C55"/>
    <w:rsid w:val="00FD6321"/>
    <w:rsid w:val="00FF6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4AAA1E"/>
  <w15:docId w15:val="{339BAFB9-C1BA-4337-8A95-01C3E753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rsid w:val="003C2E1B"/>
    <w:pPr>
      <w:keepNext/>
      <w:spacing w:before="240" w:after="60" w:line="240" w:lineRule="auto"/>
      <w:outlineLvl w:val="2"/>
    </w:pPr>
    <w:rPr>
      <w:rFonts w:ascii="Calibri" w:eastAsia="MS Gothic" w:hAnsi="Calibri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4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52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oSpacing">
    <w:name w:val="No Spacing"/>
    <w:uiPriority w:val="1"/>
    <w:qFormat/>
    <w:rsid w:val="00BC4BCD"/>
    <w:pPr>
      <w:spacing w:after="0" w:line="240" w:lineRule="auto"/>
    </w:pPr>
  </w:style>
  <w:style w:type="paragraph" w:customStyle="1" w:styleId="Body">
    <w:name w:val="Body"/>
    <w:rsid w:val="007660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GB"/>
    </w:rPr>
  </w:style>
  <w:style w:type="table" w:styleId="TableGrid">
    <w:name w:val="Table Grid"/>
    <w:basedOn w:val="TableNormal"/>
    <w:uiPriority w:val="59"/>
    <w:rsid w:val="00766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2">
    <w:name w:val="Table Style 2"/>
    <w:rsid w:val="005577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5D7C2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4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6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6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6E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46E8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C2E1B"/>
    <w:rPr>
      <w:rFonts w:ascii="Calibri" w:eastAsia="MS Gothic" w:hAnsi="Calibri" w:cs="Times New Roman"/>
      <w:b/>
      <w:bCs/>
      <w:sz w:val="26"/>
      <w:szCs w:val="2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01C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4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E75"/>
  </w:style>
  <w:style w:type="paragraph" w:styleId="Footer">
    <w:name w:val="footer"/>
    <w:basedOn w:val="Normal"/>
    <w:link w:val="FooterChar"/>
    <w:uiPriority w:val="99"/>
    <w:unhideWhenUsed/>
    <w:rsid w:val="00C54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0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aia%20van%20der%20Esch\Desktop\IMPACT\2.%20External%20Representation%20and%20Partnerships\MHCUA\MHCUA%20Compositio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1890234150839"/>
          <c:y val="4.9490989358547698E-2"/>
          <c:w val="0.82849860785548002"/>
          <c:h val="0.462772305377283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Sheet2!$A$3</c:f>
              <c:strCache>
                <c:ptCount val="1"/>
                <c:pt idx="0">
                  <c:v>NGO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Sheet2!$B$3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Sheet2!$A$4</c:f>
              <c:strCache>
                <c:ptCount val="1"/>
                <c:pt idx="0">
                  <c:v>UN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Sheet2!$B$4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2"/>
          <c:order val="2"/>
          <c:tx>
            <c:strRef>
              <c:f>Sheet2!$A$5</c:f>
              <c:strCache>
                <c:ptCount val="1"/>
                <c:pt idx="0">
                  <c:v>Research Organisations / Think Tanks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Sheet2!$B$5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3"/>
          <c:order val="3"/>
          <c:tx>
            <c:strRef>
              <c:f>Sheet2!$A$6</c:f>
              <c:strCache>
                <c:ptCount val="1"/>
                <c:pt idx="0">
                  <c:v>Donors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Sheet2!$B$6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4"/>
          <c:order val="4"/>
          <c:tx>
            <c:strRef>
              <c:f>Sheet2!$A$7</c:f>
              <c:strCache>
                <c:ptCount val="1"/>
                <c:pt idx="0">
                  <c:v>Global Clusters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Sheet2!$B$7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5"/>
          <c:order val="5"/>
          <c:tx>
            <c:strRef>
              <c:f>Sheet2!$A$8</c:f>
              <c:strCache>
                <c:ptCount val="1"/>
                <c:pt idx="0">
                  <c:v>Networks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Sheet2!$B$8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6"/>
          <c:order val="6"/>
          <c:tx>
            <c:strRef>
              <c:f>Sheet2!$A$9</c:f>
              <c:strCache>
                <c:ptCount val="1"/>
                <c:pt idx="0">
                  <c:v>Red Cross and Red Crescent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Sheet2!$B$9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1385552"/>
        <c:axId val="121387120"/>
      </c:barChart>
      <c:catAx>
        <c:axId val="12138555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1387120"/>
        <c:crosses val="autoZero"/>
        <c:auto val="1"/>
        <c:lblAlgn val="ctr"/>
        <c:lblOffset val="100"/>
        <c:noMultiLvlLbl val="0"/>
      </c:catAx>
      <c:valAx>
        <c:axId val="1213871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1385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556909613510993"/>
          <c:w val="0.99182013724498297"/>
          <c:h val="0.416670307228769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027080213F264DBBBF50D20B8418D2" ma:contentTypeVersion="3" ma:contentTypeDescription="Create a new document." ma:contentTypeScope="" ma:versionID="c520536b0f10aacf9d168421bd12eb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76e12710425ef6441a81c479bb71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F4F7A6-E1A4-41E5-A348-D6DAB7148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348560-267E-4CA1-AD82-CC1CCE382CA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394D3F7-F70B-460D-B3C2-81B9189CBF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OCHA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OCHA</dc:creator>
  <cp:lastModifiedBy>COOK</cp:lastModifiedBy>
  <cp:revision>2</cp:revision>
  <cp:lastPrinted>2015-07-29T11:04:00Z</cp:lastPrinted>
  <dcterms:created xsi:type="dcterms:W3CDTF">2017-03-09T16:57:00Z</dcterms:created>
  <dcterms:modified xsi:type="dcterms:W3CDTF">2017-03-09T16:57:00Z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0x0101007C027080213F264DBBBF50D20B8418D2</vt:lpwstr>
  </property>
</Properties>
</file>