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BA5F" w14:textId="77777777" w:rsidR="00DF20A7" w:rsidRPr="004F6499" w:rsidRDefault="00A03195" w:rsidP="00A03195">
      <w:pPr>
        <w:pStyle w:val="paragraph"/>
        <w:spacing w:before="0" w:beforeAutospacing="0" w:after="0" w:afterAutospacing="0"/>
        <w:jc w:val="center"/>
        <w:textAlignment w:val="baseline"/>
        <w:rPr>
          <w:rStyle w:val="normaltextrun"/>
          <w:rFonts w:ascii="Arial Narrow" w:hAnsi="Arial Narrow" w:cs="Segoe UI"/>
          <w:b/>
          <w:bCs/>
          <w:color w:val="4B55A6"/>
          <w:sz w:val="32"/>
          <w:szCs w:val="32"/>
        </w:rPr>
      </w:pPr>
      <w:r w:rsidRPr="004F6499">
        <w:rPr>
          <w:rStyle w:val="normaltextrun"/>
          <w:rFonts w:ascii="Arial Narrow" w:hAnsi="Arial Narrow" w:cs="Segoe UI"/>
          <w:b/>
          <w:bCs/>
          <w:color w:val="4B55A6"/>
          <w:sz w:val="32"/>
          <w:szCs w:val="32"/>
        </w:rPr>
        <w:t xml:space="preserve">IASC Task Force 4 </w:t>
      </w:r>
    </w:p>
    <w:p w14:paraId="40488BE2" w14:textId="1E7543BF" w:rsidR="00FF1C3B" w:rsidRPr="004F6499" w:rsidRDefault="00A03195" w:rsidP="00DF20A7">
      <w:pPr>
        <w:pStyle w:val="paragraph"/>
        <w:spacing w:before="0" w:beforeAutospacing="0" w:after="0" w:afterAutospacing="0"/>
        <w:jc w:val="center"/>
        <w:textAlignment w:val="baseline"/>
        <w:rPr>
          <w:rStyle w:val="eop"/>
          <w:rFonts w:ascii="Arial Narrow" w:hAnsi="Arial Narrow" w:cs="Segoe UI"/>
          <w:b/>
          <w:bCs/>
          <w:color w:val="4B55A6"/>
          <w:sz w:val="32"/>
          <w:szCs w:val="32"/>
        </w:rPr>
      </w:pPr>
      <w:r w:rsidRPr="004F6499">
        <w:rPr>
          <w:rStyle w:val="normaltextrun"/>
          <w:rFonts w:ascii="Arial Narrow" w:hAnsi="Arial Narrow" w:cs="Segoe UI"/>
          <w:b/>
          <w:bCs/>
          <w:color w:val="4B55A6"/>
          <w:sz w:val="32"/>
          <w:szCs w:val="32"/>
        </w:rPr>
        <w:t>Humanitarian Development Collaboration and its Linkages to Peace</w:t>
      </w:r>
      <w:r w:rsidRPr="004F6499">
        <w:rPr>
          <w:rStyle w:val="eop"/>
          <w:rFonts w:ascii="Arial Narrow" w:hAnsi="Arial Narrow" w:cs="Segoe UI"/>
          <w:b/>
          <w:bCs/>
          <w:color w:val="4B55A6"/>
          <w:sz w:val="32"/>
          <w:szCs w:val="32"/>
        </w:rPr>
        <w:t> </w:t>
      </w:r>
    </w:p>
    <w:p w14:paraId="13B4BDCC" w14:textId="77777777" w:rsidR="00DF20A7" w:rsidRPr="00DF20A7" w:rsidRDefault="00DF20A7" w:rsidP="00DF20A7">
      <w:pPr>
        <w:pStyle w:val="paragraph"/>
        <w:spacing w:before="0" w:beforeAutospacing="0" w:after="0" w:afterAutospacing="0"/>
        <w:jc w:val="center"/>
        <w:textAlignment w:val="baseline"/>
        <w:rPr>
          <w:rStyle w:val="normaltextrun"/>
          <w:rFonts w:ascii="Arial Narrow" w:hAnsi="Arial Narrow" w:cs="Segoe UI"/>
          <w:b/>
          <w:bCs/>
          <w:color w:val="4B55A6"/>
          <w:sz w:val="33"/>
          <w:szCs w:val="33"/>
        </w:rPr>
      </w:pPr>
    </w:p>
    <w:p w14:paraId="6D2377F1" w14:textId="565E4F71" w:rsidR="00A03195" w:rsidRDefault="00552750" w:rsidP="00A03195">
      <w:pPr>
        <w:pStyle w:val="paragraph"/>
        <w:spacing w:before="0" w:beforeAutospacing="0" w:after="0" w:afterAutospacing="0"/>
        <w:jc w:val="center"/>
        <w:textAlignment w:val="baseline"/>
        <w:rPr>
          <w:rStyle w:val="eop"/>
          <w:rFonts w:ascii="Arial Narrow" w:hAnsi="Arial Narrow" w:cs="Segoe UI"/>
          <w:b/>
          <w:bCs/>
          <w:color w:val="6E76BA"/>
          <w:sz w:val="25"/>
          <w:szCs w:val="25"/>
        </w:rPr>
      </w:pPr>
      <w:r>
        <w:rPr>
          <w:rStyle w:val="normaltextrun"/>
          <w:rFonts w:ascii="Arial Narrow" w:hAnsi="Arial Narrow" w:cs="Segoe UI"/>
          <w:b/>
          <w:bCs/>
          <w:color w:val="6E76BA"/>
          <w:sz w:val="25"/>
          <w:szCs w:val="25"/>
        </w:rPr>
        <w:t>12</w:t>
      </w:r>
      <w:r w:rsidR="003837F9">
        <w:rPr>
          <w:rStyle w:val="normaltextrun"/>
          <w:rFonts w:ascii="Arial Narrow" w:hAnsi="Arial Narrow" w:cs="Segoe UI"/>
          <w:b/>
          <w:bCs/>
          <w:color w:val="6E76BA"/>
          <w:sz w:val="25"/>
          <w:szCs w:val="25"/>
        </w:rPr>
        <w:t xml:space="preserve"> </w:t>
      </w:r>
      <w:r>
        <w:rPr>
          <w:rStyle w:val="normaltextrun"/>
          <w:rFonts w:ascii="Arial Narrow" w:hAnsi="Arial Narrow" w:cs="Segoe UI"/>
          <w:b/>
          <w:bCs/>
          <w:color w:val="6E76BA"/>
          <w:sz w:val="25"/>
          <w:szCs w:val="25"/>
        </w:rPr>
        <w:t>December</w:t>
      </w:r>
      <w:r w:rsidR="00A03195">
        <w:rPr>
          <w:rStyle w:val="normaltextrun"/>
          <w:rFonts w:ascii="Arial Narrow" w:hAnsi="Arial Narrow" w:cs="Segoe UI"/>
          <w:b/>
          <w:bCs/>
          <w:color w:val="6E76BA"/>
          <w:sz w:val="25"/>
          <w:szCs w:val="25"/>
        </w:rPr>
        <w:t xml:space="preserve"> 2023</w:t>
      </w:r>
      <w:r w:rsidR="00A03195">
        <w:rPr>
          <w:rStyle w:val="eop"/>
          <w:rFonts w:ascii="Arial Narrow" w:hAnsi="Arial Narrow" w:cs="Segoe UI"/>
          <w:b/>
          <w:bCs/>
          <w:color w:val="6E76BA"/>
          <w:sz w:val="25"/>
          <w:szCs w:val="25"/>
        </w:rPr>
        <w:t> </w:t>
      </w:r>
    </w:p>
    <w:p w14:paraId="6DC68415" w14:textId="77777777" w:rsidR="00A03195" w:rsidRDefault="00A03195" w:rsidP="00A03195">
      <w:pPr>
        <w:pStyle w:val="paragraph"/>
        <w:spacing w:before="0" w:beforeAutospacing="0" w:after="0" w:afterAutospacing="0"/>
        <w:jc w:val="center"/>
        <w:textAlignment w:val="baseline"/>
        <w:rPr>
          <w:rFonts w:ascii="Segoe UI" w:hAnsi="Segoe UI" w:cs="Segoe UI"/>
          <w:b/>
          <w:bCs/>
          <w:color w:val="6E76BA"/>
          <w:sz w:val="18"/>
          <w:szCs w:val="18"/>
        </w:rPr>
      </w:pPr>
    </w:p>
    <w:p w14:paraId="539C99FD" w14:textId="676C8281" w:rsidR="00FA4115" w:rsidRPr="00FF4534" w:rsidRDefault="00A03195" w:rsidP="00FF4534">
      <w:pPr>
        <w:pStyle w:val="paragraph"/>
        <w:spacing w:before="0" w:beforeAutospacing="0" w:after="0" w:afterAutospacing="0"/>
        <w:jc w:val="center"/>
        <w:textAlignment w:val="baseline"/>
        <w:rPr>
          <w:rStyle w:val="normaltextrun"/>
          <w:rFonts w:ascii="Segoe UI" w:hAnsi="Segoe UI" w:cs="Segoe UI"/>
          <w:b/>
          <w:bCs/>
          <w:color w:val="EF3340"/>
          <w:sz w:val="32"/>
          <w:szCs w:val="32"/>
        </w:rPr>
      </w:pPr>
      <w:r w:rsidRPr="004F6499">
        <w:rPr>
          <w:rStyle w:val="normaltextrun"/>
          <w:rFonts w:ascii="Arial Narrow" w:hAnsi="Arial Narrow" w:cs="Segoe UI"/>
          <w:b/>
          <w:bCs/>
          <w:color w:val="EF3340"/>
          <w:sz w:val="32"/>
          <w:szCs w:val="32"/>
        </w:rPr>
        <w:t>Action Points</w:t>
      </w:r>
      <w:r w:rsidRPr="004F6499">
        <w:rPr>
          <w:rStyle w:val="eop"/>
          <w:rFonts w:ascii="Arial Narrow" w:hAnsi="Arial Narrow" w:cs="Segoe UI"/>
          <w:b/>
          <w:bCs/>
          <w:color w:val="EF3340"/>
          <w:sz w:val="32"/>
          <w:szCs w:val="32"/>
        </w:rPr>
        <w:t> </w:t>
      </w:r>
    </w:p>
    <w:p w14:paraId="5D3C8C4E" w14:textId="138AEC6C" w:rsidR="008C5C83" w:rsidRDefault="00A03195" w:rsidP="002D4F38">
      <w:pPr>
        <w:spacing w:after="0"/>
        <w:jc w:val="both"/>
        <w:rPr>
          <w:rStyle w:val="eop"/>
          <w:rFonts w:ascii="Calibri" w:hAnsi="Calibri" w:cs="Calibri"/>
          <w:color w:val="000000"/>
          <w:shd w:val="clear" w:color="auto" w:fill="FFFFFF"/>
        </w:rPr>
      </w:pPr>
      <w:r>
        <w:rPr>
          <w:rStyle w:val="normaltextrun"/>
          <w:rFonts w:ascii="Arial Narrow" w:hAnsi="Arial Narrow"/>
          <w:b/>
          <w:bCs/>
          <w:caps/>
          <w:color w:val="4B55A6"/>
          <w:shd w:val="clear" w:color="auto" w:fill="FFFFFF"/>
        </w:rPr>
        <w:t>AGENDA</w:t>
      </w:r>
      <w:r>
        <w:rPr>
          <w:rStyle w:val="normaltextrun"/>
          <w:rFonts w:ascii="Calibri" w:hAnsi="Calibri" w:cs="Calibri"/>
          <w:b/>
          <w:bCs/>
          <w:color w:val="000000"/>
          <w:shd w:val="clear" w:color="auto" w:fill="FFFFFF"/>
        </w:rPr>
        <w:t>:</w:t>
      </w:r>
      <w:r>
        <w:rPr>
          <w:rStyle w:val="eop"/>
          <w:rFonts w:ascii="Calibri" w:hAnsi="Calibri" w:cs="Calibri"/>
          <w:color w:val="000000"/>
          <w:shd w:val="clear" w:color="auto" w:fill="FFFFFF"/>
        </w:rPr>
        <w:t> </w:t>
      </w:r>
    </w:p>
    <w:p w14:paraId="645F43DA" w14:textId="32BCA961" w:rsidR="007E370A" w:rsidRPr="007E370A" w:rsidRDefault="007E370A">
      <w:pPr>
        <w:pStyle w:val="ListParagraph"/>
        <w:numPr>
          <w:ilvl w:val="0"/>
          <w:numId w:val="4"/>
        </w:numPr>
        <w:jc w:val="both"/>
        <w:rPr>
          <w:rFonts w:ascii="Arial Narrow" w:eastAsia="Times New Roman" w:hAnsi="Arial Narrow"/>
        </w:rPr>
      </w:pPr>
      <w:r w:rsidRPr="007E370A">
        <w:rPr>
          <w:rFonts w:ascii="Arial Narrow" w:eastAsia="Times New Roman" w:hAnsi="Arial Narrow"/>
        </w:rPr>
        <w:t xml:space="preserve">Presentation from NRC on the latest research: </w:t>
      </w:r>
      <w:hyperlink r:id="rId10" w:tgtFrame="_blank" w:history="1">
        <w:r w:rsidRPr="0069682D">
          <w:rPr>
            <w:rFonts w:ascii="Arial Narrow" w:hAnsi="Arial Narrow"/>
            <w:color w:val="0070C0"/>
          </w:rPr>
          <w:t xml:space="preserve">The Nexus in practice: The long journey to impact </w:t>
        </w:r>
        <w:r w:rsidRPr="007E370A">
          <w:rPr>
            <w:rFonts w:ascii="Arial Narrow" w:hAnsi="Arial Narrow"/>
          </w:rPr>
          <w:t>| NRC</w:t>
        </w:r>
      </w:hyperlink>
    </w:p>
    <w:p w14:paraId="35BAF55C" w14:textId="3DE51B18" w:rsidR="007E370A" w:rsidRPr="007E370A" w:rsidRDefault="007E370A">
      <w:pPr>
        <w:pStyle w:val="ListParagraph"/>
        <w:numPr>
          <w:ilvl w:val="0"/>
          <w:numId w:val="4"/>
        </w:numPr>
        <w:jc w:val="both"/>
        <w:rPr>
          <w:rFonts w:ascii="Arial Narrow" w:eastAsia="Times New Roman" w:hAnsi="Arial Narrow"/>
        </w:rPr>
      </w:pPr>
      <w:r w:rsidRPr="007E370A">
        <w:rPr>
          <w:rFonts w:ascii="Arial Narrow" w:eastAsia="Times New Roman" w:hAnsi="Arial Narrow"/>
        </w:rPr>
        <w:t>Sector specific guidance</w:t>
      </w:r>
    </w:p>
    <w:p w14:paraId="6063AB3A" w14:textId="194D3F2A" w:rsidR="007E370A" w:rsidRPr="007E370A" w:rsidRDefault="007E370A">
      <w:pPr>
        <w:pStyle w:val="ListParagraph"/>
        <w:numPr>
          <w:ilvl w:val="0"/>
          <w:numId w:val="4"/>
        </w:numPr>
        <w:jc w:val="both"/>
        <w:rPr>
          <w:rFonts w:ascii="Arial Narrow" w:eastAsia="Times New Roman" w:hAnsi="Arial Narrow"/>
        </w:rPr>
      </w:pPr>
      <w:r w:rsidRPr="007E370A">
        <w:rPr>
          <w:rFonts w:ascii="Arial Narrow" w:eastAsia="Times New Roman" w:hAnsi="Arial Narrow"/>
        </w:rPr>
        <w:t xml:space="preserve">Update on reframing and finalizing the workstream on basic </w:t>
      </w:r>
      <w:proofErr w:type="gramStart"/>
      <w:r w:rsidRPr="007E370A">
        <w:rPr>
          <w:rFonts w:ascii="Arial Narrow" w:eastAsia="Times New Roman" w:hAnsi="Arial Narrow"/>
        </w:rPr>
        <w:t>services</w:t>
      </w:r>
      <w:proofErr w:type="gramEnd"/>
    </w:p>
    <w:p w14:paraId="6AACC3FB" w14:textId="437CE0C2" w:rsidR="007E370A" w:rsidRPr="007E370A" w:rsidRDefault="007E370A">
      <w:pPr>
        <w:pStyle w:val="ListParagraph"/>
        <w:numPr>
          <w:ilvl w:val="0"/>
          <w:numId w:val="4"/>
        </w:numPr>
        <w:jc w:val="both"/>
        <w:rPr>
          <w:rFonts w:ascii="Arial Narrow" w:eastAsia="Times New Roman" w:hAnsi="Arial Narrow"/>
        </w:rPr>
      </w:pPr>
      <w:r w:rsidRPr="007E370A">
        <w:rPr>
          <w:rFonts w:ascii="Arial Narrow" w:eastAsia="Times New Roman" w:hAnsi="Arial Narrow"/>
        </w:rPr>
        <w:t>Mapping of good practice</w:t>
      </w:r>
    </w:p>
    <w:p w14:paraId="00E77451" w14:textId="28C75CA7" w:rsidR="007E370A" w:rsidRPr="007E370A" w:rsidRDefault="007E370A">
      <w:pPr>
        <w:pStyle w:val="ListParagraph"/>
        <w:numPr>
          <w:ilvl w:val="0"/>
          <w:numId w:val="4"/>
        </w:numPr>
        <w:jc w:val="both"/>
        <w:rPr>
          <w:rFonts w:ascii="Arial Narrow" w:eastAsia="Times New Roman" w:hAnsi="Arial Narrow"/>
        </w:rPr>
      </w:pPr>
      <w:r w:rsidRPr="007E370A">
        <w:rPr>
          <w:rFonts w:ascii="Arial Narrow" w:eastAsia="Times New Roman" w:hAnsi="Arial Narrow"/>
        </w:rPr>
        <w:t xml:space="preserve">Peace dialogue </w:t>
      </w:r>
      <w:proofErr w:type="gramStart"/>
      <w:r w:rsidRPr="007E370A">
        <w:rPr>
          <w:rFonts w:ascii="Arial Narrow" w:eastAsia="Times New Roman" w:hAnsi="Arial Narrow"/>
        </w:rPr>
        <w:t>sessions</w:t>
      </w:r>
      <w:proofErr w:type="gramEnd"/>
    </w:p>
    <w:p w14:paraId="7CC33624" w14:textId="1EF99241" w:rsidR="00F06B09" w:rsidRPr="00FF4534" w:rsidRDefault="007E370A">
      <w:pPr>
        <w:pStyle w:val="ListParagraph"/>
        <w:numPr>
          <w:ilvl w:val="0"/>
          <w:numId w:val="4"/>
        </w:numPr>
        <w:jc w:val="both"/>
        <w:rPr>
          <w:rFonts w:ascii="Arial Narrow" w:eastAsia="Times New Roman" w:hAnsi="Arial Narrow"/>
        </w:rPr>
      </w:pPr>
      <w:r w:rsidRPr="007E370A">
        <w:rPr>
          <w:rFonts w:ascii="Arial Narrow" w:eastAsia="Times New Roman" w:hAnsi="Arial Narrow"/>
        </w:rPr>
        <w:t>Information sharing on critical meetings and events (</w:t>
      </w:r>
      <w:proofErr w:type="gramStart"/>
      <w:r w:rsidRPr="007E370A">
        <w:rPr>
          <w:rFonts w:ascii="Arial Narrow" w:eastAsia="Times New Roman" w:hAnsi="Arial Narrow"/>
        </w:rPr>
        <w:t>e.g.</w:t>
      </w:r>
      <w:proofErr w:type="gramEnd"/>
      <w:r w:rsidRPr="007E370A">
        <w:rPr>
          <w:rFonts w:ascii="Arial Narrow" w:eastAsia="Times New Roman" w:hAnsi="Arial Narrow"/>
        </w:rPr>
        <w:t xml:space="preserve"> meeting with the GB).</w:t>
      </w:r>
    </w:p>
    <w:p w14:paraId="688B1D35" w14:textId="0FAAA999" w:rsidR="0069682D" w:rsidRPr="00DF20A7" w:rsidRDefault="00A03195" w:rsidP="00DF20A7">
      <w:pPr>
        <w:jc w:val="both"/>
        <w:rPr>
          <w:rFonts w:ascii="Arial Narrow" w:hAnsi="Arial Narrow"/>
          <w:color w:val="4B55A6"/>
          <w:shd w:val="clear" w:color="auto" w:fill="FFFFFF"/>
        </w:rPr>
      </w:pPr>
      <w:r w:rsidRPr="00AA2D2A">
        <w:rPr>
          <w:rStyle w:val="normaltextrun"/>
          <w:rFonts w:ascii="Arial Narrow" w:hAnsi="Arial Narrow"/>
          <w:b/>
          <w:bCs/>
          <w:caps/>
          <w:color w:val="4B55A6"/>
          <w:shd w:val="clear" w:color="auto" w:fill="FFFFFF"/>
        </w:rPr>
        <w:t>KEY POINTS:</w:t>
      </w:r>
      <w:r w:rsidRPr="00AA2D2A">
        <w:rPr>
          <w:rStyle w:val="eop"/>
          <w:rFonts w:ascii="Arial Narrow" w:hAnsi="Arial Narrow"/>
          <w:color w:val="4B55A6"/>
          <w:shd w:val="clear" w:color="auto" w:fill="FFFFFF"/>
        </w:rPr>
        <w:t> </w:t>
      </w:r>
    </w:p>
    <w:p w14:paraId="3BEC7C1B" w14:textId="216F1BD7" w:rsidR="0069682D" w:rsidRDefault="0069682D">
      <w:pPr>
        <w:pStyle w:val="ListParagraph"/>
        <w:numPr>
          <w:ilvl w:val="0"/>
          <w:numId w:val="5"/>
        </w:numPr>
        <w:spacing w:after="0"/>
        <w:jc w:val="both"/>
        <w:rPr>
          <w:rStyle w:val="eop"/>
          <w:b/>
          <w:bCs/>
          <w:shd w:val="clear" w:color="auto" w:fill="FFFFFF"/>
        </w:rPr>
      </w:pPr>
      <w:r w:rsidRPr="00247C25">
        <w:rPr>
          <w:rStyle w:val="eop"/>
          <w:b/>
          <w:bCs/>
          <w:shd w:val="clear" w:color="auto" w:fill="FFFFFF"/>
        </w:rPr>
        <w:t>Presentation from NRC on the latest research</w:t>
      </w:r>
      <w:r w:rsidRPr="00247C25">
        <w:rPr>
          <w:rStyle w:val="eop"/>
          <w:b/>
          <w:bCs/>
          <w:shd w:val="clear" w:color="auto" w:fill="FFFFFF"/>
        </w:rPr>
        <w:t xml:space="preserve"> - </w:t>
      </w:r>
      <w:r w:rsidRPr="00247C25">
        <w:rPr>
          <w:rStyle w:val="eop"/>
          <w:b/>
          <w:bCs/>
          <w:shd w:val="clear" w:color="auto" w:fill="FFFFFF"/>
        </w:rPr>
        <w:t xml:space="preserve">The Nexus in practice: The long journey to impact </w:t>
      </w:r>
    </w:p>
    <w:p w14:paraId="3E8BBEED" w14:textId="77777777" w:rsidR="00247C25" w:rsidRPr="00247C25" w:rsidRDefault="00247C25" w:rsidP="00247C25">
      <w:pPr>
        <w:pStyle w:val="ListParagraph"/>
        <w:spacing w:after="0"/>
        <w:ind w:left="360"/>
        <w:jc w:val="both"/>
        <w:rPr>
          <w:rStyle w:val="eop"/>
          <w:b/>
          <w:bCs/>
          <w:shd w:val="clear" w:color="auto" w:fill="FFFFFF"/>
        </w:rPr>
      </w:pPr>
    </w:p>
    <w:p w14:paraId="4343BE7A" w14:textId="64258733" w:rsidR="0069682D" w:rsidRPr="005A35C1" w:rsidRDefault="005B67EF">
      <w:pPr>
        <w:pStyle w:val="ListParagraph"/>
        <w:numPr>
          <w:ilvl w:val="0"/>
          <w:numId w:val="3"/>
        </w:numPr>
        <w:spacing w:before="240"/>
        <w:jc w:val="both"/>
        <w:rPr>
          <w:b/>
          <w:bCs/>
          <w:shd w:val="clear" w:color="auto" w:fill="FFFFFF"/>
        </w:rPr>
      </w:pPr>
      <w:r>
        <w:rPr>
          <w:rFonts w:ascii="Arial Narrow" w:eastAsia="Times New Roman" w:hAnsi="Arial Narrow" w:cs="Calibri"/>
          <w:lang w:eastAsia="zh-CN"/>
        </w:rPr>
        <w:t>The research was conducted between January and June 2023, looking at the country cases of Libya and Iraq, that recently transitioned from humanitarian response to nexus and durable solutions models, Cameroon, that showcases localized bottom-up approach to the nexus implemented in two areas, and lastly Afghanistan and Somalia, where the nexus has not gained sufficient footing, providing opportunities to examine the consequences of overreliance on short-term humanitarian assistance.</w:t>
      </w:r>
    </w:p>
    <w:p w14:paraId="3C5CAB4F" w14:textId="4B25CECA" w:rsidR="005A35C1" w:rsidRPr="005A35C1" w:rsidRDefault="005A35C1">
      <w:pPr>
        <w:pStyle w:val="ListParagraph"/>
        <w:numPr>
          <w:ilvl w:val="0"/>
          <w:numId w:val="3"/>
        </w:numPr>
        <w:spacing w:before="240"/>
        <w:jc w:val="both"/>
        <w:rPr>
          <w:b/>
          <w:bCs/>
          <w:shd w:val="clear" w:color="auto" w:fill="FFFFFF"/>
        </w:rPr>
      </w:pPr>
      <w:r>
        <w:rPr>
          <w:rFonts w:ascii="Arial Narrow" w:eastAsia="Times New Roman" w:hAnsi="Arial Narrow" w:cs="Calibri"/>
          <w:lang w:eastAsia="zh-CN"/>
        </w:rPr>
        <w:t>Key findings highlight that:</w:t>
      </w:r>
    </w:p>
    <w:p w14:paraId="38EF2B21" w14:textId="093692A4" w:rsidR="005B67EF" w:rsidRPr="005A35C1" w:rsidRDefault="005B67EF">
      <w:pPr>
        <w:pStyle w:val="ListParagraph"/>
        <w:numPr>
          <w:ilvl w:val="1"/>
          <w:numId w:val="3"/>
        </w:numPr>
        <w:jc w:val="both"/>
        <w:rPr>
          <w:b/>
          <w:bCs/>
          <w:shd w:val="clear" w:color="auto" w:fill="FFFFFF"/>
        </w:rPr>
      </w:pPr>
      <w:r>
        <w:rPr>
          <w:rFonts w:ascii="Arial Narrow" w:eastAsia="Times New Roman" w:hAnsi="Arial Narrow" w:cs="Calibri"/>
          <w:lang w:eastAsia="zh-CN"/>
        </w:rPr>
        <w:t>Financing remains the main barrier for implementing nexus approaches</w:t>
      </w:r>
      <w:r w:rsidR="005A35C1">
        <w:rPr>
          <w:rFonts w:ascii="Arial Narrow" w:eastAsia="Times New Roman" w:hAnsi="Arial Narrow" w:cs="Calibri"/>
          <w:lang w:eastAsia="zh-CN"/>
        </w:rPr>
        <w:t xml:space="preserve"> with an absence of</w:t>
      </w:r>
      <w:r w:rsidRPr="005A35C1">
        <w:rPr>
          <w:rFonts w:ascii="Arial Narrow" w:eastAsia="Times New Roman" w:hAnsi="Arial Narrow" w:cs="Calibri"/>
          <w:lang w:eastAsia="zh-CN"/>
        </w:rPr>
        <w:t xml:space="preserve"> systemic coordination between dev</w:t>
      </w:r>
      <w:r w:rsidR="005A35C1">
        <w:rPr>
          <w:rFonts w:ascii="Arial Narrow" w:eastAsia="Times New Roman" w:hAnsi="Arial Narrow" w:cs="Calibri"/>
          <w:lang w:eastAsia="zh-CN"/>
        </w:rPr>
        <w:t>elopment and</w:t>
      </w:r>
      <w:r w:rsidRPr="005A35C1">
        <w:rPr>
          <w:rFonts w:ascii="Arial Narrow" w:eastAsia="Times New Roman" w:hAnsi="Arial Narrow" w:cs="Calibri"/>
          <w:lang w:eastAsia="zh-CN"/>
        </w:rPr>
        <w:t xml:space="preserve"> hum</w:t>
      </w:r>
      <w:r w:rsidR="005A35C1">
        <w:rPr>
          <w:rFonts w:ascii="Arial Narrow" w:eastAsia="Times New Roman" w:hAnsi="Arial Narrow" w:cs="Calibri"/>
          <w:lang w:eastAsia="zh-CN"/>
        </w:rPr>
        <w:t xml:space="preserve">anitarian and no simultaneous availability of development and humanitarian funding in the country contexts. </w:t>
      </w:r>
      <w:r w:rsidRPr="005A35C1">
        <w:rPr>
          <w:rFonts w:ascii="Arial Narrow" w:eastAsia="Times New Roman" w:hAnsi="Arial Narrow" w:cs="Calibri"/>
          <w:lang w:eastAsia="zh-CN"/>
        </w:rPr>
        <w:t xml:space="preserve"> </w:t>
      </w:r>
      <w:r w:rsidR="005A35C1">
        <w:rPr>
          <w:rFonts w:ascii="Arial Narrow" w:eastAsia="Times New Roman" w:hAnsi="Arial Narrow" w:cs="Calibri"/>
          <w:lang w:eastAsia="zh-CN"/>
        </w:rPr>
        <w:t xml:space="preserve">When </w:t>
      </w:r>
      <w:r w:rsidRPr="005A35C1">
        <w:rPr>
          <w:rFonts w:ascii="Arial Narrow" w:eastAsia="Times New Roman" w:hAnsi="Arial Narrow" w:cs="Calibri"/>
          <w:lang w:eastAsia="zh-CN"/>
        </w:rPr>
        <w:t xml:space="preserve">ad-hoc </w:t>
      </w:r>
      <w:proofErr w:type="gramStart"/>
      <w:r w:rsidR="005A35C1">
        <w:rPr>
          <w:rFonts w:ascii="Arial Narrow" w:eastAsia="Times New Roman" w:hAnsi="Arial Narrow" w:cs="Calibri"/>
          <w:lang w:eastAsia="zh-CN"/>
        </w:rPr>
        <w:t>donors</w:t>
      </w:r>
      <w:proofErr w:type="gramEnd"/>
      <w:r w:rsidR="005A35C1">
        <w:rPr>
          <w:rFonts w:ascii="Arial Narrow" w:eastAsia="Times New Roman" w:hAnsi="Arial Narrow" w:cs="Calibri"/>
          <w:lang w:eastAsia="zh-CN"/>
        </w:rPr>
        <w:t xml:space="preserve"> coordination was observed, </w:t>
      </w:r>
      <w:r w:rsidRPr="005A35C1">
        <w:rPr>
          <w:rFonts w:ascii="Arial Narrow" w:eastAsia="Times New Roman" w:hAnsi="Arial Narrow" w:cs="Calibri"/>
          <w:lang w:eastAsia="zh-CN"/>
        </w:rPr>
        <w:t>adjusting preset priorities to make synergies come to life</w:t>
      </w:r>
      <w:r w:rsidR="005A35C1">
        <w:rPr>
          <w:rFonts w:ascii="Arial Narrow" w:eastAsia="Times New Roman" w:hAnsi="Arial Narrow" w:cs="Calibri"/>
          <w:lang w:eastAsia="zh-CN"/>
        </w:rPr>
        <w:t xml:space="preserve"> was nevertheless nearly unfeasible.</w:t>
      </w:r>
    </w:p>
    <w:p w14:paraId="66883580" w14:textId="5DE3F5A6" w:rsidR="005A35C1" w:rsidRPr="005A35C1" w:rsidRDefault="005A35C1">
      <w:pPr>
        <w:pStyle w:val="ListParagraph"/>
        <w:numPr>
          <w:ilvl w:val="1"/>
          <w:numId w:val="3"/>
        </w:numPr>
        <w:jc w:val="both"/>
        <w:rPr>
          <w:b/>
          <w:bCs/>
          <w:shd w:val="clear" w:color="auto" w:fill="FFFFFF"/>
        </w:rPr>
      </w:pPr>
      <w:r>
        <w:rPr>
          <w:rFonts w:ascii="Arial Narrow" w:eastAsia="Times New Roman" w:hAnsi="Arial Narrow" w:cs="Calibri"/>
          <w:lang w:eastAsia="zh-CN"/>
        </w:rPr>
        <w:t xml:space="preserve">In terms of programming, nexus interventions were unevenly spread, leaving out territories and population groups. </w:t>
      </w:r>
    </w:p>
    <w:p w14:paraId="0AD48BCC" w14:textId="54EBE19E" w:rsidR="005A35C1" w:rsidRPr="005A35C1" w:rsidRDefault="005A35C1">
      <w:pPr>
        <w:pStyle w:val="ListParagraph"/>
        <w:numPr>
          <w:ilvl w:val="1"/>
          <w:numId w:val="3"/>
        </w:numPr>
        <w:jc w:val="both"/>
        <w:rPr>
          <w:b/>
          <w:bCs/>
          <w:shd w:val="clear" w:color="auto" w:fill="FFFFFF"/>
        </w:rPr>
      </w:pPr>
      <w:r>
        <w:rPr>
          <w:rFonts w:ascii="Arial Narrow" w:eastAsia="Times New Roman" w:hAnsi="Arial Narrow" w:cs="Calibri"/>
          <w:lang w:eastAsia="zh-CN"/>
        </w:rPr>
        <w:t xml:space="preserve">Protracted crisis </w:t>
      </w:r>
      <w:proofErr w:type="gramStart"/>
      <w:r>
        <w:rPr>
          <w:rFonts w:ascii="Arial Narrow" w:eastAsia="Times New Roman" w:hAnsi="Arial Narrow" w:cs="Calibri"/>
          <w:lang w:eastAsia="zh-CN"/>
        </w:rPr>
        <w:t>were</w:t>
      </w:r>
      <w:proofErr w:type="gramEnd"/>
      <w:r>
        <w:rPr>
          <w:rFonts w:ascii="Arial Narrow" w:eastAsia="Times New Roman" w:hAnsi="Arial Narrow" w:cs="Calibri"/>
          <w:lang w:eastAsia="zh-CN"/>
        </w:rPr>
        <w:t xml:space="preserve"> seen as leading to the emergence of grey zones, where siloed humanitarian-development action is not fit for purpose and where humanitarian actors resort to resilience and livelihoods types of interventions - which indicates the lack of development action in those spaces. The study questions whether the humanitarian architecture and the cluster system are suited to deal with grey zones, especially considering the need to hand-over assistance to local actors and governments.</w:t>
      </w:r>
    </w:p>
    <w:p w14:paraId="0D53BB72" w14:textId="4FA411F3" w:rsidR="005A35C1" w:rsidRPr="005A35C1" w:rsidRDefault="005A35C1">
      <w:pPr>
        <w:pStyle w:val="ListParagraph"/>
        <w:numPr>
          <w:ilvl w:val="1"/>
          <w:numId w:val="3"/>
        </w:numPr>
        <w:jc w:val="both"/>
        <w:rPr>
          <w:b/>
          <w:bCs/>
          <w:shd w:val="clear" w:color="auto" w:fill="FFFFFF"/>
        </w:rPr>
      </w:pPr>
      <w:r>
        <w:rPr>
          <w:rFonts w:ascii="Arial Narrow" w:eastAsia="Times New Roman" w:hAnsi="Arial Narrow" w:cs="Calibri"/>
          <w:lang w:eastAsia="zh-CN"/>
        </w:rPr>
        <w:t xml:space="preserve">Top-down rushed transitions and deactivation of cluster systems in Libya and Iraq were seen as lacking the strengthening of necessary national capacities to ensure continuity </w:t>
      </w:r>
      <w:proofErr w:type="gramStart"/>
      <w:r>
        <w:rPr>
          <w:rFonts w:ascii="Arial Narrow" w:eastAsia="Times New Roman" w:hAnsi="Arial Narrow" w:cs="Calibri"/>
          <w:lang w:eastAsia="zh-CN"/>
        </w:rPr>
        <w:t>in tending</w:t>
      </w:r>
      <w:proofErr w:type="gramEnd"/>
      <w:r>
        <w:rPr>
          <w:rFonts w:ascii="Arial Narrow" w:eastAsia="Times New Roman" w:hAnsi="Arial Narrow" w:cs="Calibri"/>
          <w:lang w:eastAsia="zh-CN"/>
        </w:rPr>
        <w:t xml:space="preserve"> to vulnerable people. Covering protection needs and handing-over the protection cluster functionalities were observed as the most sensitive issues.</w:t>
      </w:r>
    </w:p>
    <w:p w14:paraId="357F4309" w14:textId="77777777" w:rsidR="005A35C1" w:rsidRPr="005A35C1" w:rsidRDefault="005A35C1">
      <w:pPr>
        <w:pStyle w:val="ListParagraph"/>
        <w:numPr>
          <w:ilvl w:val="0"/>
          <w:numId w:val="3"/>
        </w:numPr>
        <w:jc w:val="both"/>
        <w:rPr>
          <w:b/>
          <w:bCs/>
          <w:shd w:val="clear" w:color="auto" w:fill="FFFFFF"/>
        </w:rPr>
      </w:pPr>
      <w:r>
        <w:rPr>
          <w:rFonts w:ascii="Arial Narrow" w:eastAsia="Times New Roman" w:hAnsi="Arial Narrow" w:cs="Calibri"/>
          <w:lang w:eastAsia="zh-CN"/>
        </w:rPr>
        <w:t>Key recommendations include:</w:t>
      </w:r>
    </w:p>
    <w:p w14:paraId="3459C693" w14:textId="5AB5AE76" w:rsidR="005A35C1" w:rsidRPr="005A35C1" w:rsidRDefault="005A35C1">
      <w:pPr>
        <w:pStyle w:val="ListParagraph"/>
        <w:numPr>
          <w:ilvl w:val="1"/>
          <w:numId w:val="3"/>
        </w:numPr>
        <w:jc w:val="both"/>
        <w:rPr>
          <w:b/>
          <w:bCs/>
          <w:shd w:val="clear" w:color="auto" w:fill="FFFFFF"/>
        </w:rPr>
      </w:pPr>
      <w:r>
        <w:rPr>
          <w:rFonts w:ascii="Arial Narrow" w:eastAsia="Times New Roman" w:hAnsi="Arial Narrow" w:cs="Calibri"/>
          <w:lang w:eastAsia="zh-CN"/>
        </w:rPr>
        <w:t>Strengthen s</w:t>
      </w:r>
      <w:r w:rsidR="001A6430">
        <w:rPr>
          <w:rFonts w:ascii="Arial Narrow" w:eastAsia="Times New Roman" w:hAnsi="Arial Narrow" w:cs="Calibri"/>
          <w:lang w:eastAsia="zh-CN"/>
        </w:rPr>
        <w:t xml:space="preserve">hared targeting and increase </w:t>
      </w:r>
      <w:r>
        <w:rPr>
          <w:rFonts w:ascii="Arial Narrow" w:eastAsia="Times New Roman" w:hAnsi="Arial Narrow" w:cs="Calibri"/>
          <w:lang w:eastAsia="zh-CN"/>
        </w:rPr>
        <w:t xml:space="preserve">donors’ </w:t>
      </w:r>
      <w:r w:rsidR="001A6430">
        <w:rPr>
          <w:rFonts w:ascii="Arial Narrow" w:eastAsia="Times New Roman" w:hAnsi="Arial Narrow" w:cs="Calibri"/>
          <w:lang w:eastAsia="zh-CN"/>
        </w:rPr>
        <w:t>risk-tolerance</w:t>
      </w:r>
      <w:r>
        <w:rPr>
          <w:rFonts w:ascii="Arial Narrow" w:eastAsia="Times New Roman" w:hAnsi="Arial Narrow" w:cs="Calibri"/>
          <w:lang w:eastAsia="zh-CN"/>
        </w:rPr>
        <w:t xml:space="preserve"> (building implementing consortia and fund-pooling have been observed as effective instruments in this regard)</w:t>
      </w:r>
    </w:p>
    <w:p w14:paraId="6059EFD1" w14:textId="77777777" w:rsidR="005A35C1" w:rsidRPr="005A35C1" w:rsidRDefault="005A35C1">
      <w:pPr>
        <w:pStyle w:val="ListParagraph"/>
        <w:numPr>
          <w:ilvl w:val="1"/>
          <w:numId w:val="3"/>
        </w:numPr>
        <w:jc w:val="both"/>
        <w:rPr>
          <w:b/>
          <w:bCs/>
          <w:shd w:val="clear" w:color="auto" w:fill="FFFFFF"/>
        </w:rPr>
      </w:pPr>
      <w:r>
        <w:rPr>
          <w:rFonts w:ascii="Arial Narrow" w:eastAsia="Times New Roman" w:hAnsi="Arial Narrow" w:cs="Calibri"/>
          <w:lang w:eastAsia="zh-CN"/>
        </w:rPr>
        <w:t xml:space="preserve">Boost </w:t>
      </w:r>
      <w:r w:rsidR="001A6430">
        <w:rPr>
          <w:rFonts w:ascii="Arial Narrow" w:eastAsia="Times New Roman" w:hAnsi="Arial Narrow" w:cs="Calibri"/>
          <w:lang w:eastAsia="zh-CN"/>
        </w:rPr>
        <w:t>alternative investment avenues</w:t>
      </w:r>
      <w:r>
        <w:rPr>
          <w:rFonts w:ascii="Arial Narrow" w:eastAsia="Times New Roman" w:hAnsi="Arial Narrow" w:cs="Calibri"/>
          <w:lang w:eastAsia="zh-CN"/>
        </w:rPr>
        <w:t>,</w:t>
      </w:r>
      <w:r w:rsidR="001A6430">
        <w:rPr>
          <w:rFonts w:ascii="Arial Narrow" w:eastAsia="Times New Roman" w:hAnsi="Arial Narrow" w:cs="Calibri"/>
          <w:lang w:eastAsia="zh-CN"/>
        </w:rPr>
        <w:t xml:space="preserve"> mov</w:t>
      </w:r>
      <w:r>
        <w:rPr>
          <w:rFonts w:ascii="Arial Narrow" w:eastAsia="Times New Roman" w:hAnsi="Arial Narrow" w:cs="Calibri"/>
          <w:lang w:eastAsia="zh-CN"/>
        </w:rPr>
        <w:t>ing</w:t>
      </w:r>
      <w:r w:rsidR="001A6430">
        <w:rPr>
          <w:rFonts w:ascii="Arial Narrow" w:eastAsia="Times New Roman" w:hAnsi="Arial Narrow" w:cs="Calibri"/>
          <w:lang w:eastAsia="zh-CN"/>
        </w:rPr>
        <w:t xml:space="preserve"> away from state-building dev</w:t>
      </w:r>
      <w:r>
        <w:rPr>
          <w:rFonts w:ascii="Arial Narrow" w:eastAsia="Times New Roman" w:hAnsi="Arial Narrow" w:cs="Calibri"/>
          <w:lang w:eastAsia="zh-CN"/>
        </w:rPr>
        <w:t>elopment</w:t>
      </w:r>
      <w:r w:rsidR="001A6430">
        <w:rPr>
          <w:rFonts w:ascii="Arial Narrow" w:eastAsia="Times New Roman" w:hAnsi="Arial Narrow" w:cs="Calibri"/>
          <w:lang w:eastAsia="zh-CN"/>
        </w:rPr>
        <w:t xml:space="preserve"> invest</w:t>
      </w:r>
      <w:r>
        <w:rPr>
          <w:rFonts w:ascii="Arial Narrow" w:eastAsia="Times New Roman" w:hAnsi="Arial Narrow" w:cs="Calibri"/>
          <w:lang w:eastAsia="zh-CN"/>
        </w:rPr>
        <w:t>ments that require</w:t>
      </w:r>
      <w:r w:rsidR="001A6430">
        <w:rPr>
          <w:rFonts w:ascii="Arial Narrow" w:eastAsia="Times New Roman" w:hAnsi="Arial Narrow" w:cs="Calibri"/>
          <w:lang w:eastAsia="zh-CN"/>
        </w:rPr>
        <w:t xml:space="preserve"> strong </w:t>
      </w:r>
      <w:r>
        <w:rPr>
          <w:rFonts w:ascii="Arial Narrow" w:eastAsia="Times New Roman" w:hAnsi="Arial Narrow" w:cs="Calibri"/>
          <w:lang w:eastAsia="zh-CN"/>
        </w:rPr>
        <w:t xml:space="preserve">government </w:t>
      </w:r>
      <w:r w:rsidR="001A6430">
        <w:rPr>
          <w:rFonts w:ascii="Arial Narrow" w:eastAsia="Times New Roman" w:hAnsi="Arial Narrow" w:cs="Calibri"/>
          <w:lang w:eastAsia="zh-CN"/>
        </w:rPr>
        <w:t>counterpart</w:t>
      </w:r>
      <w:r>
        <w:rPr>
          <w:rFonts w:ascii="Arial Narrow" w:eastAsia="Times New Roman" w:hAnsi="Arial Narrow" w:cs="Calibri"/>
          <w:lang w:eastAsia="zh-CN"/>
        </w:rPr>
        <w:t>s</w:t>
      </w:r>
      <w:r w:rsidR="001A6430">
        <w:rPr>
          <w:rFonts w:ascii="Arial Narrow" w:eastAsia="Times New Roman" w:hAnsi="Arial Narrow" w:cs="Calibri"/>
          <w:lang w:eastAsia="zh-CN"/>
        </w:rPr>
        <w:t xml:space="preserve"> to </w:t>
      </w:r>
      <w:r>
        <w:rPr>
          <w:rFonts w:ascii="Arial Narrow" w:eastAsia="Times New Roman" w:hAnsi="Arial Narrow" w:cs="Calibri"/>
          <w:lang w:eastAsia="zh-CN"/>
        </w:rPr>
        <w:t xml:space="preserve">more </w:t>
      </w:r>
      <w:r w:rsidR="001A6430">
        <w:rPr>
          <w:rFonts w:ascii="Arial Narrow" w:eastAsia="Times New Roman" w:hAnsi="Arial Narrow" w:cs="Calibri"/>
          <w:lang w:eastAsia="zh-CN"/>
        </w:rPr>
        <w:t xml:space="preserve">people-centered </w:t>
      </w:r>
      <w:proofErr w:type="gramStart"/>
      <w:r w:rsidR="001A6430">
        <w:rPr>
          <w:rFonts w:ascii="Arial Narrow" w:eastAsia="Times New Roman" w:hAnsi="Arial Narrow" w:cs="Calibri"/>
          <w:lang w:eastAsia="zh-CN"/>
        </w:rPr>
        <w:t>approach</w:t>
      </w:r>
      <w:r>
        <w:rPr>
          <w:rFonts w:ascii="Arial Narrow" w:eastAsia="Times New Roman" w:hAnsi="Arial Narrow" w:cs="Calibri"/>
          <w:lang w:eastAsia="zh-CN"/>
        </w:rPr>
        <w:t>es</w:t>
      </w:r>
      <w:proofErr w:type="gramEnd"/>
    </w:p>
    <w:p w14:paraId="12350FB9" w14:textId="43552194" w:rsidR="005A35C1" w:rsidRPr="005A35C1" w:rsidRDefault="005A35C1">
      <w:pPr>
        <w:pStyle w:val="ListParagraph"/>
        <w:numPr>
          <w:ilvl w:val="1"/>
          <w:numId w:val="3"/>
        </w:numPr>
        <w:jc w:val="both"/>
        <w:rPr>
          <w:b/>
          <w:bCs/>
          <w:shd w:val="clear" w:color="auto" w:fill="FFFFFF"/>
        </w:rPr>
      </w:pPr>
      <w:r>
        <w:rPr>
          <w:rFonts w:ascii="Arial Narrow" w:eastAsia="Times New Roman" w:hAnsi="Arial Narrow" w:cs="Calibri"/>
          <w:lang w:eastAsia="zh-CN"/>
        </w:rPr>
        <w:lastRenderedPageBreak/>
        <w:t xml:space="preserve">Operational </w:t>
      </w:r>
      <w:r w:rsidR="001A6430">
        <w:rPr>
          <w:rFonts w:ascii="Arial Narrow" w:eastAsia="Times New Roman" w:hAnsi="Arial Narrow" w:cs="Calibri"/>
          <w:lang w:eastAsia="zh-CN"/>
        </w:rPr>
        <w:t xml:space="preserve">actors </w:t>
      </w:r>
      <w:r>
        <w:rPr>
          <w:rFonts w:ascii="Arial Narrow" w:eastAsia="Times New Roman" w:hAnsi="Arial Narrow" w:cs="Calibri"/>
          <w:lang w:eastAsia="zh-CN"/>
        </w:rPr>
        <w:t xml:space="preserve">to refrain from </w:t>
      </w:r>
      <w:r w:rsidR="001A6430">
        <w:rPr>
          <w:rFonts w:ascii="Arial Narrow" w:eastAsia="Times New Roman" w:hAnsi="Arial Narrow" w:cs="Calibri"/>
          <w:lang w:eastAsia="zh-CN"/>
        </w:rPr>
        <w:t xml:space="preserve">using </w:t>
      </w:r>
      <w:r>
        <w:rPr>
          <w:rFonts w:ascii="Arial Narrow" w:eastAsia="Times New Roman" w:hAnsi="Arial Narrow" w:cs="Calibri"/>
          <w:lang w:eastAsia="zh-CN"/>
        </w:rPr>
        <w:t>the HDP-</w:t>
      </w:r>
      <w:r w:rsidR="001A6430">
        <w:rPr>
          <w:rFonts w:ascii="Arial Narrow" w:eastAsia="Times New Roman" w:hAnsi="Arial Narrow" w:cs="Calibri"/>
          <w:lang w:eastAsia="zh-CN"/>
        </w:rPr>
        <w:t>nexus to fundraise and expand their roles</w:t>
      </w:r>
      <w:r>
        <w:rPr>
          <w:rFonts w:ascii="Arial Narrow" w:eastAsia="Times New Roman" w:hAnsi="Arial Narrow" w:cs="Calibri"/>
          <w:lang w:eastAsia="zh-CN"/>
        </w:rPr>
        <w:t xml:space="preserve">, and rather shift towards </w:t>
      </w:r>
      <w:proofErr w:type="spellStart"/>
      <w:r>
        <w:rPr>
          <w:rFonts w:ascii="Arial Narrow" w:eastAsia="Times New Roman" w:hAnsi="Arial Narrow" w:cs="Calibri"/>
          <w:lang w:eastAsia="zh-CN"/>
        </w:rPr>
        <w:t>carful</w:t>
      </w:r>
      <w:proofErr w:type="spellEnd"/>
      <w:r>
        <w:rPr>
          <w:rFonts w:ascii="Arial Narrow" w:eastAsia="Times New Roman" w:hAnsi="Arial Narrow" w:cs="Calibri"/>
          <w:lang w:eastAsia="zh-CN"/>
        </w:rPr>
        <w:t xml:space="preserve"> consideration of </w:t>
      </w:r>
      <w:r w:rsidR="001A6430">
        <w:rPr>
          <w:rFonts w:ascii="Arial Narrow" w:eastAsia="Times New Roman" w:hAnsi="Arial Narrow" w:cs="Calibri"/>
          <w:lang w:eastAsia="zh-CN"/>
        </w:rPr>
        <w:t>who</w:t>
      </w:r>
      <w:r>
        <w:rPr>
          <w:rFonts w:ascii="Arial Narrow" w:eastAsia="Times New Roman" w:hAnsi="Arial Narrow" w:cs="Calibri"/>
          <w:lang w:eastAsia="zh-CN"/>
        </w:rPr>
        <w:t xml:space="preserve"> is</w:t>
      </w:r>
      <w:r w:rsidR="001A6430">
        <w:rPr>
          <w:rFonts w:ascii="Arial Narrow" w:eastAsia="Times New Roman" w:hAnsi="Arial Narrow" w:cs="Calibri"/>
          <w:lang w:eastAsia="zh-CN"/>
        </w:rPr>
        <w:t xml:space="preserve"> best placed to respond. </w:t>
      </w:r>
    </w:p>
    <w:p w14:paraId="7BA7F980" w14:textId="77777777" w:rsidR="005A35C1" w:rsidRPr="005A35C1" w:rsidRDefault="005A35C1">
      <w:pPr>
        <w:pStyle w:val="ListParagraph"/>
        <w:numPr>
          <w:ilvl w:val="1"/>
          <w:numId w:val="3"/>
        </w:numPr>
        <w:jc w:val="both"/>
        <w:rPr>
          <w:b/>
          <w:bCs/>
          <w:shd w:val="clear" w:color="auto" w:fill="FFFFFF"/>
        </w:rPr>
      </w:pPr>
      <w:r>
        <w:rPr>
          <w:rFonts w:ascii="Arial Narrow" w:eastAsia="Times New Roman" w:hAnsi="Arial Narrow" w:cs="Calibri"/>
          <w:lang w:eastAsia="zh-CN"/>
        </w:rPr>
        <w:t xml:space="preserve">Clarify HDP-nexus definition, diminish polysemy of the </w:t>
      </w:r>
      <w:proofErr w:type="gramStart"/>
      <w:r>
        <w:rPr>
          <w:rFonts w:ascii="Arial Narrow" w:eastAsia="Times New Roman" w:hAnsi="Arial Narrow" w:cs="Calibri"/>
          <w:lang w:eastAsia="zh-CN"/>
        </w:rPr>
        <w:t>term</w:t>
      </w:r>
      <w:proofErr w:type="gramEnd"/>
    </w:p>
    <w:p w14:paraId="252E02D5" w14:textId="60DBC33C" w:rsidR="00153DE6" w:rsidRPr="001A6430" w:rsidRDefault="001A6430">
      <w:pPr>
        <w:pStyle w:val="ListParagraph"/>
        <w:numPr>
          <w:ilvl w:val="1"/>
          <w:numId w:val="3"/>
        </w:numPr>
        <w:jc w:val="both"/>
        <w:rPr>
          <w:b/>
          <w:bCs/>
          <w:shd w:val="clear" w:color="auto" w:fill="FFFFFF"/>
        </w:rPr>
      </w:pPr>
      <w:r>
        <w:rPr>
          <w:rFonts w:ascii="Arial Narrow" w:eastAsia="Times New Roman" w:hAnsi="Arial Narrow" w:cs="Calibri"/>
          <w:lang w:eastAsia="zh-CN"/>
        </w:rPr>
        <w:t xml:space="preserve"> </w:t>
      </w:r>
      <w:r w:rsidR="005A35C1">
        <w:rPr>
          <w:rFonts w:ascii="Arial Narrow" w:eastAsia="Times New Roman" w:hAnsi="Arial Narrow" w:cs="Calibri"/>
          <w:lang w:eastAsia="zh-CN"/>
        </w:rPr>
        <w:t xml:space="preserve">Establish preset criteria and protocols for clusters deactivation and phasing out of the humanitarian response </w:t>
      </w:r>
      <w:proofErr w:type="gramStart"/>
      <w:r w:rsidR="005A35C1">
        <w:rPr>
          <w:rFonts w:ascii="Arial Narrow" w:eastAsia="Times New Roman" w:hAnsi="Arial Narrow" w:cs="Calibri"/>
          <w:lang w:eastAsia="zh-CN"/>
        </w:rPr>
        <w:t>architecture</w:t>
      </w:r>
      <w:proofErr w:type="gramEnd"/>
    </w:p>
    <w:p w14:paraId="7CCA6A3D" w14:textId="4724C798" w:rsidR="001A6430" w:rsidRPr="006A1BBC" w:rsidRDefault="006A1BBC">
      <w:pPr>
        <w:pStyle w:val="ListParagraph"/>
        <w:numPr>
          <w:ilvl w:val="0"/>
          <w:numId w:val="3"/>
        </w:numPr>
        <w:jc w:val="both"/>
        <w:rPr>
          <w:b/>
          <w:bCs/>
          <w:shd w:val="clear" w:color="auto" w:fill="FFFFFF"/>
        </w:rPr>
      </w:pPr>
      <w:r>
        <w:rPr>
          <w:rFonts w:ascii="Arial Narrow" w:eastAsia="Times New Roman" w:hAnsi="Arial Narrow" w:cs="Calibri"/>
          <w:lang w:eastAsia="zh-CN"/>
        </w:rPr>
        <w:t xml:space="preserve">The findings and recommendations of this study are expected to be taken forward through a series of roundtable discussions and a new study on the </w:t>
      </w:r>
      <w:r w:rsidRPr="006A1BBC">
        <w:rPr>
          <w:rFonts w:ascii="Arial Narrow" w:eastAsia="Times New Roman" w:hAnsi="Arial Narrow" w:cs="Calibri"/>
          <w:b/>
          <w:bCs/>
          <w:lang w:eastAsia="zh-CN"/>
        </w:rPr>
        <w:t>humanitarian consequences of development aid suspension will commence in February 2024</w:t>
      </w:r>
    </w:p>
    <w:p w14:paraId="6909F725" w14:textId="77777777" w:rsidR="006A1BBC" w:rsidRPr="006A1BBC" w:rsidRDefault="006A1BBC" w:rsidP="006A1BBC">
      <w:pPr>
        <w:pStyle w:val="ListParagraph"/>
        <w:jc w:val="both"/>
        <w:rPr>
          <w:b/>
          <w:bCs/>
          <w:shd w:val="clear" w:color="auto" w:fill="FFFFFF"/>
        </w:rPr>
      </w:pPr>
    </w:p>
    <w:p w14:paraId="78FEF270" w14:textId="77777777" w:rsidR="00247C25" w:rsidRPr="00552750" w:rsidRDefault="00247C25">
      <w:pPr>
        <w:pStyle w:val="ListParagraph"/>
        <w:numPr>
          <w:ilvl w:val="0"/>
          <w:numId w:val="5"/>
        </w:numPr>
        <w:jc w:val="both"/>
        <w:rPr>
          <w:rStyle w:val="eop"/>
          <w:rFonts w:ascii="Arial Narrow" w:hAnsi="Arial Narrow"/>
          <w:b/>
          <w:bCs/>
          <w:shd w:val="clear" w:color="auto" w:fill="FFFFFF"/>
        </w:rPr>
      </w:pPr>
      <w:r w:rsidRPr="00552750">
        <w:rPr>
          <w:rStyle w:val="eop"/>
          <w:rFonts w:ascii="Arial Narrow" w:hAnsi="Arial Narrow"/>
          <w:b/>
          <w:bCs/>
          <w:shd w:val="clear" w:color="auto" w:fill="FFFFFF"/>
        </w:rPr>
        <w:t>Sector specific guidance</w:t>
      </w:r>
    </w:p>
    <w:p w14:paraId="41F08386" w14:textId="77777777" w:rsidR="00247C25" w:rsidRDefault="00247C25">
      <w:pPr>
        <w:pStyle w:val="paragraph"/>
        <w:numPr>
          <w:ilvl w:val="0"/>
          <w:numId w:val="2"/>
        </w:numPr>
        <w:spacing w:before="0" w:beforeAutospacing="0" w:after="0" w:afterAutospacing="0"/>
        <w:ind w:left="993" w:hanging="284"/>
        <w:jc w:val="both"/>
        <w:rPr>
          <w:rFonts w:ascii="Arial Narrow" w:hAnsi="Arial Narrow" w:cs="Calibri"/>
          <w:sz w:val="22"/>
          <w:szCs w:val="22"/>
        </w:rPr>
      </w:pPr>
      <w:r>
        <w:rPr>
          <w:rFonts w:ascii="Arial Narrow" w:hAnsi="Arial Narrow" w:cs="Calibri"/>
          <w:sz w:val="22"/>
          <w:szCs w:val="22"/>
        </w:rPr>
        <w:t xml:space="preserve">The Advisory Note to Global Clusters </w:t>
      </w:r>
      <w:r>
        <w:rPr>
          <w:rFonts w:ascii="Arial Narrow" w:hAnsi="Arial Narrow" w:cs="Calibri"/>
          <w:sz w:val="22"/>
          <w:szCs w:val="22"/>
        </w:rPr>
        <w:t>has been r</w:t>
      </w:r>
      <w:r>
        <w:rPr>
          <w:rFonts w:ascii="Arial Narrow" w:hAnsi="Arial Narrow" w:cs="Calibri"/>
          <w:sz w:val="22"/>
          <w:szCs w:val="22"/>
        </w:rPr>
        <w:t xml:space="preserve">evised </w:t>
      </w:r>
      <w:r>
        <w:rPr>
          <w:rFonts w:ascii="Arial Narrow" w:hAnsi="Arial Narrow" w:cs="Calibri"/>
          <w:sz w:val="22"/>
          <w:szCs w:val="22"/>
        </w:rPr>
        <w:t>to reflect</w:t>
      </w:r>
      <w:r>
        <w:rPr>
          <w:rFonts w:ascii="Arial Narrow" w:hAnsi="Arial Narrow" w:cs="Calibri"/>
          <w:sz w:val="22"/>
          <w:szCs w:val="22"/>
        </w:rPr>
        <w:t xml:space="preserve"> final feedback from IOM, WFP, GSC and OPAG. </w:t>
      </w:r>
      <w:r>
        <w:rPr>
          <w:rFonts w:ascii="Arial Narrow" w:hAnsi="Arial Narrow" w:cs="Calibri"/>
          <w:sz w:val="22"/>
          <w:szCs w:val="22"/>
        </w:rPr>
        <w:t>It is currently being edited</w:t>
      </w:r>
      <w:r>
        <w:rPr>
          <w:rFonts w:ascii="Arial Narrow" w:hAnsi="Arial Narrow" w:cs="Calibri"/>
          <w:sz w:val="22"/>
          <w:szCs w:val="22"/>
        </w:rPr>
        <w:t xml:space="preserve"> by the IASC Secretariat. </w:t>
      </w:r>
    </w:p>
    <w:p w14:paraId="21016750" w14:textId="0F29E109" w:rsidR="00552750" w:rsidRPr="00552750" w:rsidRDefault="00247C25">
      <w:pPr>
        <w:pStyle w:val="paragraph"/>
        <w:numPr>
          <w:ilvl w:val="0"/>
          <w:numId w:val="2"/>
        </w:numPr>
        <w:spacing w:before="0" w:beforeAutospacing="0" w:after="0" w:afterAutospacing="0"/>
        <w:ind w:left="993" w:hanging="284"/>
        <w:jc w:val="both"/>
      </w:pPr>
      <w:r>
        <w:rPr>
          <w:rFonts w:ascii="Arial Narrow" w:hAnsi="Arial Narrow" w:cs="Calibri"/>
          <w:sz w:val="22"/>
          <w:szCs w:val="22"/>
        </w:rPr>
        <w:t xml:space="preserve">The SWG will meet on </w:t>
      </w:r>
      <w:r w:rsidRPr="00552750">
        <w:rPr>
          <w:rFonts w:ascii="Arial Narrow" w:hAnsi="Arial Narrow" w:cs="Calibri"/>
          <w:sz w:val="22"/>
          <w:szCs w:val="22"/>
        </w:rPr>
        <w:t>10 January</w:t>
      </w:r>
      <w:r>
        <w:rPr>
          <w:rFonts w:ascii="Arial Narrow" w:hAnsi="Arial Narrow" w:cs="Calibri"/>
          <w:sz w:val="22"/>
          <w:szCs w:val="22"/>
        </w:rPr>
        <w:t xml:space="preserve"> to discuss dissemination options and strategy.</w:t>
      </w:r>
    </w:p>
    <w:p w14:paraId="54AABD15" w14:textId="77777777" w:rsidR="00552750" w:rsidRPr="00552750" w:rsidRDefault="00552750" w:rsidP="00552750">
      <w:pPr>
        <w:pStyle w:val="paragraph"/>
        <w:spacing w:before="0" w:beforeAutospacing="0" w:after="0" w:afterAutospacing="0"/>
        <w:ind w:left="993"/>
        <w:jc w:val="both"/>
      </w:pPr>
    </w:p>
    <w:p w14:paraId="60946912" w14:textId="263D0B4B" w:rsidR="007E370A" w:rsidRPr="00552750" w:rsidRDefault="007E370A">
      <w:pPr>
        <w:pStyle w:val="ListParagraph"/>
        <w:numPr>
          <w:ilvl w:val="0"/>
          <w:numId w:val="5"/>
        </w:numPr>
        <w:spacing w:after="0"/>
        <w:jc w:val="both"/>
        <w:rPr>
          <w:rStyle w:val="eop"/>
          <w:rFonts w:ascii="Arial Narrow" w:hAnsi="Arial Narrow"/>
          <w:b/>
          <w:bCs/>
          <w:shd w:val="clear" w:color="auto" w:fill="FFFFFF"/>
        </w:rPr>
      </w:pPr>
      <w:r w:rsidRPr="00552750">
        <w:rPr>
          <w:rStyle w:val="eop"/>
          <w:rFonts w:ascii="Arial Narrow" w:hAnsi="Arial Narrow"/>
          <w:b/>
          <w:bCs/>
          <w:shd w:val="clear" w:color="auto" w:fill="FFFFFF"/>
        </w:rPr>
        <w:t xml:space="preserve">Update on reframing and finalizing the workstream on basic </w:t>
      </w:r>
      <w:proofErr w:type="gramStart"/>
      <w:r w:rsidRPr="00552750">
        <w:rPr>
          <w:rStyle w:val="eop"/>
          <w:rFonts w:ascii="Arial Narrow" w:hAnsi="Arial Narrow"/>
          <w:b/>
          <w:bCs/>
          <w:shd w:val="clear" w:color="auto" w:fill="FFFFFF"/>
        </w:rPr>
        <w:t>services</w:t>
      </w:r>
      <w:proofErr w:type="gramEnd"/>
    </w:p>
    <w:p w14:paraId="79E6F77D" w14:textId="40C4DD7D" w:rsidR="007E370A" w:rsidRDefault="007E370A">
      <w:pPr>
        <w:pStyle w:val="paragraph"/>
        <w:numPr>
          <w:ilvl w:val="0"/>
          <w:numId w:val="2"/>
        </w:numPr>
        <w:spacing w:before="240" w:beforeAutospacing="0" w:after="0" w:afterAutospacing="0"/>
        <w:ind w:left="993" w:hanging="284"/>
        <w:jc w:val="both"/>
        <w:rPr>
          <w:rFonts w:ascii="Arial Narrow" w:hAnsi="Arial Narrow" w:cs="Calibri"/>
          <w:sz w:val="22"/>
          <w:szCs w:val="22"/>
        </w:rPr>
      </w:pPr>
      <w:r w:rsidRPr="003054C3">
        <w:rPr>
          <w:rFonts w:ascii="Arial Narrow" w:hAnsi="Arial Narrow" w:cs="Calibri"/>
          <w:sz w:val="22"/>
          <w:szCs w:val="22"/>
        </w:rPr>
        <w:t xml:space="preserve">To complement and deepen the initial data collected with the survey conducted in phase I of the work, the BSS SWG proposes to have a small team deploying to Afghanistan, </w:t>
      </w:r>
      <w:proofErr w:type="gramStart"/>
      <w:r w:rsidRPr="003054C3">
        <w:rPr>
          <w:rFonts w:ascii="Arial Narrow" w:hAnsi="Arial Narrow" w:cs="Calibri"/>
          <w:sz w:val="22"/>
          <w:szCs w:val="22"/>
        </w:rPr>
        <w:t>Yemen</w:t>
      </w:r>
      <w:proofErr w:type="gramEnd"/>
      <w:r w:rsidRPr="003054C3">
        <w:rPr>
          <w:rFonts w:ascii="Arial Narrow" w:hAnsi="Arial Narrow" w:cs="Calibri"/>
          <w:sz w:val="22"/>
          <w:szCs w:val="22"/>
        </w:rPr>
        <w:t xml:space="preserve"> and an additional country to be defined. The team would engage through structured interviews with various country stakeholders. The field missions would be expected to be </w:t>
      </w:r>
      <w:r w:rsidRPr="00552750">
        <w:rPr>
          <w:rFonts w:ascii="Arial Narrow" w:hAnsi="Arial Narrow" w:cs="Calibri"/>
          <w:b/>
          <w:bCs/>
          <w:sz w:val="22"/>
          <w:szCs w:val="22"/>
        </w:rPr>
        <w:t>completed by April 2024</w:t>
      </w:r>
      <w:r w:rsidRPr="003054C3">
        <w:rPr>
          <w:rFonts w:ascii="Arial Narrow" w:hAnsi="Arial Narrow" w:cs="Calibri"/>
          <w:sz w:val="22"/>
          <w:szCs w:val="22"/>
        </w:rPr>
        <w:t>. The analysis would</w:t>
      </w:r>
      <w:r w:rsidR="003054C3" w:rsidRPr="003054C3">
        <w:rPr>
          <w:rFonts w:ascii="Arial Narrow" w:hAnsi="Arial Narrow" w:cs="Calibri"/>
          <w:sz w:val="22"/>
          <w:szCs w:val="22"/>
        </w:rPr>
        <w:t xml:space="preserve"> be finalized in </w:t>
      </w:r>
      <w:r w:rsidR="003054C3" w:rsidRPr="00552750">
        <w:rPr>
          <w:rFonts w:ascii="Arial Narrow" w:hAnsi="Arial Narrow" w:cs="Calibri"/>
          <w:b/>
          <w:bCs/>
          <w:sz w:val="22"/>
          <w:szCs w:val="22"/>
        </w:rPr>
        <w:t>May</w:t>
      </w:r>
      <w:r w:rsidR="003054C3" w:rsidRPr="003054C3">
        <w:rPr>
          <w:rFonts w:ascii="Arial Narrow" w:hAnsi="Arial Narrow" w:cs="Calibri"/>
          <w:sz w:val="22"/>
          <w:szCs w:val="22"/>
        </w:rPr>
        <w:t>.</w:t>
      </w:r>
    </w:p>
    <w:p w14:paraId="75DB903A" w14:textId="49417705" w:rsidR="003054C3" w:rsidRDefault="003054C3">
      <w:pPr>
        <w:pStyle w:val="paragraph"/>
        <w:numPr>
          <w:ilvl w:val="0"/>
          <w:numId w:val="2"/>
        </w:numPr>
        <w:spacing w:before="0" w:beforeAutospacing="0" w:after="0" w:afterAutospacing="0"/>
        <w:ind w:left="993" w:hanging="284"/>
        <w:jc w:val="both"/>
        <w:rPr>
          <w:rFonts w:ascii="Arial Narrow" w:hAnsi="Arial Narrow" w:cs="Calibri"/>
          <w:sz w:val="22"/>
          <w:szCs w:val="22"/>
        </w:rPr>
      </w:pPr>
      <w:r>
        <w:rPr>
          <w:rFonts w:ascii="Arial Narrow" w:hAnsi="Arial Narrow" w:cs="Calibri"/>
          <w:sz w:val="22"/>
          <w:szCs w:val="22"/>
        </w:rPr>
        <w:t>TF4 members agreed that different options are available to glean information through other means than the envisaged physical field missions</w:t>
      </w:r>
      <w:r w:rsidR="008579BC">
        <w:rPr>
          <w:rFonts w:ascii="Arial Narrow" w:hAnsi="Arial Narrow" w:cs="Calibri"/>
          <w:sz w:val="22"/>
          <w:szCs w:val="22"/>
        </w:rPr>
        <w:t xml:space="preserve"> and that valuable contributions could be included through different </w:t>
      </w:r>
      <w:proofErr w:type="gramStart"/>
      <w:r w:rsidR="008579BC">
        <w:rPr>
          <w:rFonts w:ascii="Arial Narrow" w:hAnsi="Arial Narrow" w:cs="Calibri"/>
          <w:sz w:val="22"/>
          <w:szCs w:val="22"/>
        </w:rPr>
        <w:t>modalities</w:t>
      </w:r>
      <w:proofErr w:type="gramEnd"/>
    </w:p>
    <w:p w14:paraId="6F7FC66B" w14:textId="29FB55F5" w:rsidR="008579BC" w:rsidRDefault="008579BC">
      <w:pPr>
        <w:pStyle w:val="paragraph"/>
        <w:numPr>
          <w:ilvl w:val="0"/>
          <w:numId w:val="2"/>
        </w:numPr>
        <w:spacing w:before="0" w:beforeAutospacing="0" w:after="0" w:afterAutospacing="0"/>
        <w:ind w:left="993" w:hanging="284"/>
        <w:jc w:val="both"/>
        <w:rPr>
          <w:rFonts w:ascii="Arial Narrow" w:hAnsi="Arial Narrow" w:cs="Calibri"/>
          <w:sz w:val="22"/>
          <w:szCs w:val="22"/>
        </w:rPr>
      </w:pPr>
      <w:r>
        <w:rPr>
          <w:rFonts w:ascii="Arial Narrow" w:hAnsi="Arial Narrow" w:cs="Calibri"/>
          <w:sz w:val="22"/>
          <w:szCs w:val="22"/>
        </w:rPr>
        <w:t>The methodology needs to be further shaped and firmed-</w:t>
      </w:r>
      <w:proofErr w:type="gramStart"/>
      <w:r>
        <w:rPr>
          <w:rFonts w:ascii="Arial Narrow" w:hAnsi="Arial Narrow" w:cs="Calibri"/>
          <w:sz w:val="22"/>
          <w:szCs w:val="22"/>
        </w:rPr>
        <w:t>up</w:t>
      </w:r>
      <w:proofErr w:type="gramEnd"/>
    </w:p>
    <w:p w14:paraId="57769B78" w14:textId="77777777" w:rsidR="00552750" w:rsidRDefault="00552750" w:rsidP="00552750">
      <w:pPr>
        <w:pStyle w:val="paragraph"/>
        <w:spacing w:before="0" w:beforeAutospacing="0" w:after="0" w:afterAutospacing="0"/>
        <w:ind w:left="993"/>
        <w:jc w:val="both"/>
        <w:rPr>
          <w:rFonts w:ascii="Arial Narrow" w:hAnsi="Arial Narrow" w:cs="Calibri"/>
          <w:sz w:val="22"/>
          <w:szCs w:val="22"/>
        </w:rPr>
      </w:pPr>
    </w:p>
    <w:p w14:paraId="33F43B98" w14:textId="5E139FE7" w:rsidR="003B38C9" w:rsidRPr="00552750" w:rsidRDefault="001A78E9">
      <w:pPr>
        <w:pStyle w:val="ListParagraph"/>
        <w:numPr>
          <w:ilvl w:val="0"/>
          <w:numId w:val="5"/>
        </w:numPr>
        <w:jc w:val="both"/>
        <w:rPr>
          <w:rFonts w:ascii="Arial Narrow" w:hAnsi="Arial Narrow"/>
          <w:b/>
          <w:bCs/>
          <w:shd w:val="clear" w:color="auto" w:fill="FFFFFF"/>
        </w:rPr>
      </w:pPr>
      <w:r w:rsidRPr="00247C25">
        <w:rPr>
          <w:rStyle w:val="eop"/>
          <w:rFonts w:ascii="Arial Narrow" w:hAnsi="Arial Narrow"/>
          <w:b/>
          <w:bCs/>
          <w:shd w:val="clear" w:color="auto" w:fill="FFFFFF"/>
        </w:rPr>
        <w:t>Update on the ongoing Mapping of Good Practices</w:t>
      </w:r>
    </w:p>
    <w:p w14:paraId="0F156D42" w14:textId="2A7B994C" w:rsidR="005B784F" w:rsidRDefault="005B784F">
      <w:pPr>
        <w:pStyle w:val="paragraph"/>
        <w:numPr>
          <w:ilvl w:val="0"/>
          <w:numId w:val="2"/>
        </w:numPr>
        <w:spacing w:before="0" w:beforeAutospacing="0" w:after="0" w:afterAutospacing="0"/>
        <w:ind w:left="993" w:hanging="284"/>
        <w:jc w:val="both"/>
        <w:rPr>
          <w:rFonts w:ascii="Arial Narrow" w:hAnsi="Arial Narrow" w:cs="Calibri"/>
          <w:sz w:val="22"/>
          <w:szCs w:val="22"/>
        </w:rPr>
      </w:pPr>
      <w:r w:rsidRPr="00552750">
        <w:rPr>
          <w:rFonts w:ascii="Arial Narrow" w:hAnsi="Arial Narrow" w:cs="Calibri"/>
          <w:b/>
          <w:bCs/>
          <w:sz w:val="22"/>
          <w:szCs w:val="22"/>
        </w:rPr>
        <w:t>11 out of 28 countries</w:t>
      </w:r>
      <w:r>
        <w:rPr>
          <w:rFonts w:ascii="Arial Narrow" w:hAnsi="Arial Narrow" w:cs="Calibri"/>
          <w:sz w:val="22"/>
          <w:szCs w:val="22"/>
        </w:rPr>
        <w:t xml:space="preserve"> targeted provided answers on the HCT survey – more responses were collected on the survey addressed to local actors</w:t>
      </w:r>
      <w:r w:rsidR="00EB4D89">
        <w:rPr>
          <w:rFonts w:ascii="Arial Narrow" w:hAnsi="Arial Narrow" w:cs="Calibri"/>
          <w:sz w:val="22"/>
          <w:szCs w:val="22"/>
        </w:rPr>
        <w:t xml:space="preserve"> (128 responses collected)</w:t>
      </w:r>
      <w:r>
        <w:rPr>
          <w:rFonts w:ascii="Arial Narrow" w:hAnsi="Arial Narrow" w:cs="Calibri"/>
          <w:sz w:val="22"/>
          <w:szCs w:val="22"/>
        </w:rPr>
        <w:t>. Data from 6 countries was collected through both HCT and local actors survey.</w:t>
      </w:r>
    </w:p>
    <w:p w14:paraId="2E87ABC2" w14:textId="4C10D87E" w:rsidR="005B784F" w:rsidRDefault="005B784F">
      <w:pPr>
        <w:pStyle w:val="paragraph"/>
        <w:numPr>
          <w:ilvl w:val="0"/>
          <w:numId w:val="2"/>
        </w:numPr>
        <w:spacing w:before="0" w:beforeAutospacing="0" w:after="0" w:afterAutospacing="0"/>
        <w:ind w:left="993" w:hanging="284"/>
        <w:jc w:val="both"/>
        <w:rPr>
          <w:rFonts w:ascii="Arial Narrow" w:hAnsi="Arial Narrow" w:cs="Calibri"/>
          <w:sz w:val="22"/>
          <w:szCs w:val="22"/>
        </w:rPr>
      </w:pPr>
      <w:r>
        <w:rPr>
          <w:rFonts w:ascii="Arial Narrow" w:hAnsi="Arial Narrow" w:cs="Calibri"/>
          <w:sz w:val="22"/>
          <w:szCs w:val="22"/>
        </w:rPr>
        <w:t>The first country brief drafts are expected to be received by this Friday 15 December. ALNAP and UNICEF will start working on</w:t>
      </w:r>
      <w:r w:rsidR="00A70C09">
        <w:rPr>
          <w:rFonts w:ascii="Arial Narrow" w:hAnsi="Arial Narrow" w:cs="Calibri"/>
          <w:sz w:val="22"/>
          <w:szCs w:val="22"/>
        </w:rPr>
        <w:t xml:space="preserve"> the Synthesis Report, working towards a finalized first draft to be shared by </w:t>
      </w:r>
      <w:r w:rsidR="00A70C09" w:rsidRPr="00552750">
        <w:rPr>
          <w:rFonts w:ascii="Arial Narrow" w:hAnsi="Arial Narrow" w:cs="Calibri"/>
          <w:b/>
          <w:bCs/>
          <w:sz w:val="22"/>
          <w:szCs w:val="22"/>
        </w:rPr>
        <w:t>end January 2024</w:t>
      </w:r>
      <w:r w:rsidR="00A70C09">
        <w:rPr>
          <w:rFonts w:ascii="Arial Narrow" w:hAnsi="Arial Narrow" w:cs="Calibri"/>
          <w:sz w:val="22"/>
          <w:szCs w:val="22"/>
        </w:rPr>
        <w:t>.</w:t>
      </w:r>
      <w:r>
        <w:rPr>
          <w:rFonts w:ascii="Arial Narrow" w:hAnsi="Arial Narrow" w:cs="Calibri"/>
          <w:sz w:val="22"/>
          <w:szCs w:val="22"/>
        </w:rPr>
        <w:t xml:space="preserve"> </w:t>
      </w:r>
    </w:p>
    <w:p w14:paraId="58530B95" w14:textId="77777777" w:rsidR="001A78E9" w:rsidRPr="00AA2D2A" w:rsidRDefault="001A78E9" w:rsidP="001337CE">
      <w:pPr>
        <w:pStyle w:val="paragraph"/>
        <w:spacing w:before="0" w:beforeAutospacing="0" w:after="0" w:afterAutospacing="0"/>
        <w:jc w:val="both"/>
        <w:rPr>
          <w:rFonts w:ascii="Arial Narrow" w:hAnsi="Arial Narrow" w:cs="Calibri"/>
          <w:sz w:val="22"/>
          <w:szCs w:val="22"/>
        </w:rPr>
      </w:pPr>
    </w:p>
    <w:p w14:paraId="0DF26EBC" w14:textId="36B47C25" w:rsidR="00FA1232" w:rsidRDefault="001337CE">
      <w:pPr>
        <w:pStyle w:val="ListParagraph"/>
        <w:numPr>
          <w:ilvl w:val="0"/>
          <w:numId w:val="5"/>
        </w:numPr>
        <w:jc w:val="both"/>
        <w:rPr>
          <w:rStyle w:val="eop"/>
          <w:rFonts w:ascii="Arial Narrow" w:hAnsi="Arial Narrow"/>
          <w:b/>
          <w:bCs/>
          <w:shd w:val="clear" w:color="auto" w:fill="FFFFFF"/>
        </w:rPr>
      </w:pPr>
      <w:r w:rsidRPr="001337CE">
        <w:rPr>
          <w:rStyle w:val="eop"/>
          <w:rFonts w:ascii="Arial Narrow" w:hAnsi="Arial Narrow"/>
          <w:b/>
          <w:bCs/>
          <w:shd w:val="clear" w:color="auto" w:fill="FFFFFF"/>
        </w:rPr>
        <w:t xml:space="preserve">Peace Dialogues </w:t>
      </w:r>
      <w:proofErr w:type="gramStart"/>
      <w:r w:rsidRPr="001337CE">
        <w:rPr>
          <w:rStyle w:val="eop"/>
          <w:rFonts w:ascii="Arial Narrow" w:hAnsi="Arial Narrow"/>
          <w:b/>
          <w:bCs/>
          <w:shd w:val="clear" w:color="auto" w:fill="FFFFFF"/>
        </w:rPr>
        <w:t>sessions</w:t>
      </w:r>
      <w:proofErr w:type="gramEnd"/>
    </w:p>
    <w:p w14:paraId="615C3BF7" w14:textId="18C331AB" w:rsidR="001337CE" w:rsidRPr="001337CE" w:rsidRDefault="001337CE">
      <w:pPr>
        <w:pStyle w:val="paragraph"/>
        <w:numPr>
          <w:ilvl w:val="0"/>
          <w:numId w:val="2"/>
        </w:numPr>
        <w:spacing w:before="0" w:beforeAutospacing="0" w:after="0" w:afterAutospacing="0"/>
        <w:ind w:left="993" w:hanging="284"/>
        <w:jc w:val="both"/>
        <w:rPr>
          <w:rFonts w:ascii="Arial Narrow" w:hAnsi="Arial Narrow" w:cs="Calibri"/>
          <w:sz w:val="22"/>
          <w:szCs w:val="22"/>
        </w:rPr>
      </w:pPr>
      <w:r>
        <w:rPr>
          <w:rFonts w:ascii="Arial Narrow" w:hAnsi="Arial Narrow" w:cs="Calibri"/>
          <w:sz w:val="22"/>
          <w:szCs w:val="22"/>
        </w:rPr>
        <w:t>The sessions will take place in the first quarter of 2024, with an emphasis on January and February</w:t>
      </w:r>
    </w:p>
    <w:p w14:paraId="1BFFE77B" w14:textId="7591D932" w:rsidR="001337CE" w:rsidRPr="001337CE" w:rsidRDefault="001337CE">
      <w:pPr>
        <w:pStyle w:val="paragraph"/>
        <w:numPr>
          <w:ilvl w:val="0"/>
          <w:numId w:val="2"/>
        </w:numPr>
        <w:spacing w:before="0" w:beforeAutospacing="0" w:after="0" w:afterAutospacing="0"/>
        <w:ind w:left="993" w:hanging="284"/>
        <w:jc w:val="both"/>
        <w:rPr>
          <w:rFonts w:ascii="Arial Narrow" w:hAnsi="Arial Narrow" w:cs="Calibri"/>
          <w:sz w:val="22"/>
          <w:szCs w:val="22"/>
        </w:rPr>
      </w:pPr>
      <w:r>
        <w:rPr>
          <w:rFonts w:ascii="Arial Narrow" w:hAnsi="Arial Narrow" w:cs="Calibri"/>
          <w:sz w:val="22"/>
          <w:szCs w:val="22"/>
        </w:rPr>
        <w:t xml:space="preserve">The first session proposed will be led by </w:t>
      </w:r>
      <w:r w:rsidRPr="001337CE">
        <w:rPr>
          <w:rFonts w:ascii="Arial Narrow" w:hAnsi="Arial Narrow" w:cs="Calibri"/>
          <w:sz w:val="22"/>
          <w:szCs w:val="22"/>
        </w:rPr>
        <w:t xml:space="preserve">PBSO-UNDP </w:t>
      </w:r>
      <w:r>
        <w:rPr>
          <w:rFonts w:ascii="Arial Narrow" w:hAnsi="Arial Narrow" w:cs="Calibri"/>
          <w:sz w:val="22"/>
          <w:szCs w:val="22"/>
        </w:rPr>
        <w:t xml:space="preserve">on monitoring peace engagement and conflict </w:t>
      </w:r>
      <w:proofErr w:type="gramStart"/>
      <w:r>
        <w:rPr>
          <w:rFonts w:ascii="Arial Narrow" w:hAnsi="Arial Narrow" w:cs="Calibri"/>
          <w:sz w:val="22"/>
          <w:szCs w:val="22"/>
        </w:rPr>
        <w:t>sensitivity</w:t>
      </w:r>
      <w:proofErr w:type="gramEnd"/>
    </w:p>
    <w:p w14:paraId="28261B4D" w14:textId="7A299F2B" w:rsidR="001337CE" w:rsidRPr="001337CE" w:rsidRDefault="001337CE">
      <w:pPr>
        <w:pStyle w:val="paragraph"/>
        <w:numPr>
          <w:ilvl w:val="0"/>
          <w:numId w:val="2"/>
        </w:numPr>
        <w:spacing w:before="0" w:beforeAutospacing="0" w:after="0" w:afterAutospacing="0"/>
        <w:ind w:left="993" w:hanging="284"/>
        <w:jc w:val="both"/>
        <w:rPr>
          <w:rFonts w:ascii="Arial Narrow" w:hAnsi="Arial Narrow" w:cs="Calibri"/>
          <w:sz w:val="22"/>
          <w:szCs w:val="22"/>
        </w:rPr>
      </w:pPr>
      <w:r w:rsidRPr="001337CE">
        <w:rPr>
          <w:rFonts w:ascii="Arial Narrow" w:hAnsi="Arial Narrow" w:cs="Calibri"/>
          <w:sz w:val="22"/>
          <w:szCs w:val="22"/>
        </w:rPr>
        <w:t>It would be valuable to get concept notes</w:t>
      </w:r>
      <w:r>
        <w:rPr>
          <w:rFonts w:ascii="Arial Narrow" w:hAnsi="Arial Narrow" w:cs="Calibri"/>
          <w:sz w:val="22"/>
          <w:szCs w:val="22"/>
        </w:rPr>
        <w:t>/one-pagers</w:t>
      </w:r>
      <w:r w:rsidRPr="001337CE">
        <w:rPr>
          <w:rFonts w:ascii="Arial Narrow" w:hAnsi="Arial Narrow" w:cs="Calibri"/>
          <w:sz w:val="22"/>
          <w:szCs w:val="22"/>
        </w:rPr>
        <w:t xml:space="preserve"> (including panel members) from colleagues interested in leading on specific </w:t>
      </w:r>
      <w:proofErr w:type="gramStart"/>
      <w:r w:rsidRPr="001337CE">
        <w:rPr>
          <w:rFonts w:ascii="Arial Narrow" w:hAnsi="Arial Narrow" w:cs="Calibri"/>
          <w:sz w:val="22"/>
          <w:szCs w:val="22"/>
        </w:rPr>
        <w:t>sessions</w:t>
      </w:r>
      <w:proofErr w:type="gramEnd"/>
    </w:p>
    <w:p w14:paraId="450B6631" w14:textId="4B3A94B0" w:rsidR="001337CE" w:rsidRPr="008579BC" w:rsidRDefault="001337CE">
      <w:pPr>
        <w:pStyle w:val="paragraph"/>
        <w:numPr>
          <w:ilvl w:val="0"/>
          <w:numId w:val="2"/>
        </w:numPr>
        <w:spacing w:before="0" w:beforeAutospacing="0" w:after="0" w:afterAutospacing="0"/>
        <w:ind w:left="993" w:hanging="284"/>
        <w:jc w:val="both"/>
        <w:rPr>
          <w:rStyle w:val="eop"/>
          <w:rFonts w:ascii="Arial Narrow" w:hAnsi="Arial Narrow" w:cs="Calibri"/>
          <w:sz w:val="22"/>
          <w:szCs w:val="22"/>
        </w:rPr>
      </w:pPr>
      <w:r w:rsidRPr="001337CE">
        <w:rPr>
          <w:rFonts w:ascii="Arial Narrow" w:hAnsi="Arial Narrow" w:cs="Calibri"/>
          <w:sz w:val="22"/>
          <w:szCs w:val="22"/>
        </w:rPr>
        <w:t xml:space="preserve">TF4 </w:t>
      </w:r>
      <w:proofErr w:type="spellStart"/>
      <w:r w:rsidRPr="001337CE">
        <w:rPr>
          <w:rFonts w:ascii="Arial Narrow" w:hAnsi="Arial Narrow" w:cs="Calibri"/>
          <w:sz w:val="22"/>
          <w:szCs w:val="22"/>
        </w:rPr>
        <w:t>co-Chairs</w:t>
      </w:r>
      <w:proofErr w:type="spellEnd"/>
      <w:r w:rsidRPr="001337CE">
        <w:rPr>
          <w:rFonts w:ascii="Arial Narrow" w:hAnsi="Arial Narrow" w:cs="Calibri"/>
          <w:sz w:val="22"/>
          <w:szCs w:val="22"/>
        </w:rPr>
        <w:t xml:space="preserve"> propose to bring OPAG members as facilitators to these </w:t>
      </w:r>
      <w:proofErr w:type="gramStart"/>
      <w:r w:rsidRPr="001337CE">
        <w:rPr>
          <w:rFonts w:ascii="Arial Narrow" w:hAnsi="Arial Narrow" w:cs="Calibri"/>
          <w:sz w:val="22"/>
          <w:szCs w:val="22"/>
        </w:rPr>
        <w:t>sessions</w:t>
      </w:r>
      <w:proofErr w:type="gramEnd"/>
      <w:r w:rsidRPr="001337CE">
        <w:rPr>
          <w:rFonts w:ascii="Arial Narrow" w:hAnsi="Arial Narrow" w:cs="Calibri"/>
          <w:sz w:val="22"/>
          <w:szCs w:val="22"/>
        </w:rPr>
        <w:t xml:space="preserve"> </w:t>
      </w:r>
    </w:p>
    <w:p w14:paraId="40E78BFE" w14:textId="77777777" w:rsidR="00FA1232" w:rsidRPr="001337CE" w:rsidRDefault="00FA1232" w:rsidP="002D4F38">
      <w:pPr>
        <w:pStyle w:val="paragraph"/>
        <w:spacing w:before="0" w:beforeAutospacing="0" w:after="0" w:afterAutospacing="0"/>
        <w:ind w:left="993" w:hanging="709"/>
        <w:jc w:val="both"/>
        <w:rPr>
          <w:rFonts w:ascii="Arial Narrow" w:hAnsi="Arial Narrow" w:cs="Calibri"/>
          <w:i/>
          <w:iCs/>
          <w:sz w:val="22"/>
          <w:szCs w:val="22"/>
          <w:u w:val="single"/>
        </w:rPr>
      </w:pPr>
    </w:p>
    <w:p w14:paraId="09E337B6" w14:textId="4263A53F" w:rsidR="008579BC" w:rsidRDefault="001337CE">
      <w:pPr>
        <w:pStyle w:val="ListParagraph"/>
        <w:numPr>
          <w:ilvl w:val="0"/>
          <w:numId w:val="5"/>
        </w:numPr>
        <w:jc w:val="both"/>
        <w:rPr>
          <w:rStyle w:val="eop"/>
          <w:rFonts w:ascii="Arial Narrow" w:hAnsi="Arial Narrow"/>
          <w:b/>
          <w:bCs/>
          <w:shd w:val="clear" w:color="auto" w:fill="FFFFFF"/>
        </w:rPr>
      </w:pPr>
      <w:r w:rsidRPr="001337CE">
        <w:rPr>
          <w:rStyle w:val="eop"/>
          <w:rFonts w:ascii="Arial Narrow" w:hAnsi="Arial Narrow"/>
          <w:b/>
          <w:bCs/>
          <w:shd w:val="clear" w:color="auto" w:fill="FFFFFF"/>
        </w:rPr>
        <w:t>Information sharing on critical meetings and events (</w:t>
      </w:r>
      <w:proofErr w:type="gramStart"/>
      <w:r w:rsidRPr="001337CE">
        <w:rPr>
          <w:rStyle w:val="eop"/>
          <w:rFonts w:ascii="Arial Narrow" w:hAnsi="Arial Narrow"/>
          <w:b/>
          <w:bCs/>
          <w:shd w:val="clear" w:color="auto" w:fill="FFFFFF"/>
        </w:rPr>
        <w:t>e.g.</w:t>
      </w:r>
      <w:proofErr w:type="gramEnd"/>
      <w:r w:rsidRPr="001337CE">
        <w:rPr>
          <w:rStyle w:val="eop"/>
          <w:rFonts w:ascii="Arial Narrow" w:hAnsi="Arial Narrow"/>
          <w:b/>
          <w:bCs/>
          <w:shd w:val="clear" w:color="auto" w:fill="FFFFFF"/>
        </w:rPr>
        <w:t xml:space="preserve"> meeting with the GB)</w:t>
      </w:r>
    </w:p>
    <w:p w14:paraId="03C745D8" w14:textId="756AA296" w:rsidR="008579BC" w:rsidRPr="008579BC" w:rsidRDefault="008579BC">
      <w:pPr>
        <w:pStyle w:val="paragraph"/>
        <w:numPr>
          <w:ilvl w:val="0"/>
          <w:numId w:val="2"/>
        </w:numPr>
        <w:spacing w:before="0" w:beforeAutospacing="0" w:after="0" w:afterAutospacing="0"/>
        <w:ind w:left="993" w:hanging="284"/>
        <w:jc w:val="both"/>
        <w:rPr>
          <w:rFonts w:ascii="Arial Narrow" w:hAnsi="Arial Narrow" w:cs="Calibri"/>
          <w:sz w:val="22"/>
          <w:szCs w:val="22"/>
        </w:rPr>
      </w:pPr>
      <w:r w:rsidRPr="008579BC">
        <w:rPr>
          <w:rFonts w:ascii="Arial Narrow" w:hAnsi="Arial Narrow" w:cs="Calibri"/>
          <w:sz w:val="22"/>
          <w:szCs w:val="22"/>
        </w:rPr>
        <w:t xml:space="preserve">A written update will be shared with TF4 </w:t>
      </w:r>
      <w:proofErr w:type="gramStart"/>
      <w:r w:rsidRPr="008579BC">
        <w:rPr>
          <w:rFonts w:ascii="Arial Narrow" w:hAnsi="Arial Narrow" w:cs="Calibri"/>
          <w:sz w:val="22"/>
          <w:szCs w:val="22"/>
        </w:rPr>
        <w:t>members</w:t>
      </w:r>
      <w:proofErr w:type="gramEnd"/>
    </w:p>
    <w:p w14:paraId="7D7FEAF4" w14:textId="77777777" w:rsidR="00EB4D89" w:rsidRPr="00EB4D89" w:rsidRDefault="00EB4D89" w:rsidP="00EB4D89">
      <w:pPr>
        <w:pStyle w:val="ListParagraph"/>
        <w:spacing w:after="0"/>
        <w:ind w:left="360"/>
        <w:jc w:val="both"/>
        <w:rPr>
          <w:rFonts w:ascii="Calibri" w:hAnsi="Calibri" w:cs="Calibri"/>
        </w:rPr>
      </w:pPr>
    </w:p>
    <w:p w14:paraId="7904F198" w14:textId="25F90FB8" w:rsidR="00A03195" w:rsidRDefault="00A03195" w:rsidP="002D4F38">
      <w:pPr>
        <w:jc w:val="both"/>
        <w:rPr>
          <w:rStyle w:val="eop"/>
          <w:rFonts w:ascii="Arial Narrow" w:hAnsi="Arial Narrow"/>
          <w:color w:val="4B55A6"/>
          <w:shd w:val="clear" w:color="auto" w:fill="FFFFFF"/>
        </w:rPr>
      </w:pPr>
      <w:r>
        <w:rPr>
          <w:rStyle w:val="normaltextrun"/>
          <w:rFonts w:ascii="Arial Narrow" w:hAnsi="Arial Narrow"/>
          <w:b/>
          <w:bCs/>
          <w:caps/>
          <w:color w:val="4B55A6"/>
          <w:shd w:val="clear" w:color="auto" w:fill="FFFFFF"/>
        </w:rPr>
        <w:t>ACTION POINTS:</w:t>
      </w:r>
      <w:r>
        <w:rPr>
          <w:rStyle w:val="eop"/>
          <w:rFonts w:ascii="Arial Narrow" w:hAnsi="Arial Narrow"/>
          <w:color w:val="4B55A6"/>
          <w:shd w:val="clear" w:color="auto" w:fill="FFFFFF"/>
        </w:rPr>
        <w:t> </w:t>
      </w:r>
    </w:p>
    <w:p w14:paraId="07FCA7DA" w14:textId="5ECDE2AE" w:rsidR="003054C3" w:rsidRPr="009C6876" w:rsidRDefault="003054C3">
      <w:pPr>
        <w:pStyle w:val="ListParagraph"/>
        <w:numPr>
          <w:ilvl w:val="0"/>
          <w:numId w:val="1"/>
        </w:numPr>
        <w:jc w:val="both"/>
        <w:rPr>
          <w:rStyle w:val="eop"/>
          <w:rFonts w:ascii="Arial Narrow" w:hAnsi="Arial Narrow"/>
          <w:color w:val="000000" w:themeColor="text1"/>
          <w:shd w:val="clear" w:color="auto" w:fill="FFFFFF"/>
        </w:rPr>
      </w:pPr>
      <w:r w:rsidRPr="009C6876">
        <w:rPr>
          <w:rStyle w:val="eop"/>
          <w:rFonts w:ascii="Arial Narrow" w:hAnsi="Arial Narrow"/>
          <w:color w:val="000000" w:themeColor="text1"/>
          <w:shd w:val="clear" w:color="auto" w:fill="FFFFFF"/>
        </w:rPr>
        <w:t>Share the BSS</w:t>
      </w:r>
      <w:r w:rsidR="009C6876" w:rsidRPr="009C6876">
        <w:rPr>
          <w:rStyle w:val="eop"/>
          <w:rFonts w:ascii="Arial Narrow" w:hAnsi="Arial Narrow"/>
          <w:color w:val="000000" w:themeColor="text1"/>
          <w:shd w:val="clear" w:color="auto" w:fill="FFFFFF"/>
        </w:rPr>
        <w:t xml:space="preserve"> SWG</w:t>
      </w:r>
      <w:r w:rsidRPr="009C6876">
        <w:rPr>
          <w:rStyle w:val="eop"/>
          <w:rFonts w:ascii="Arial Narrow" w:hAnsi="Arial Narrow"/>
          <w:color w:val="000000" w:themeColor="text1"/>
          <w:shd w:val="clear" w:color="auto" w:fill="FFFFFF"/>
        </w:rPr>
        <w:t xml:space="preserve"> concept note</w:t>
      </w:r>
      <w:r w:rsidR="009C6876" w:rsidRPr="009C6876">
        <w:rPr>
          <w:rStyle w:val="eop"/>
          <w:rFonts w:ascii="Arial Narrow" w:hAnsi="Arial Narrow"/>
          <w:color w:val="000000" w:themeColor="text1"/>
          <w:shd w:val="clear" w:color="auto" w:fill="FFFFFF"/>
        </w:rPr>
        <w:t xml:space="preserve"> with TF4 members</w:t>
      </w:r>
      <w:r w:rsidRPr="009C6876">
        <w:rPr>
          <w:rStyle w:val="eop"/>
          <w:rFonts w:ascii="Arial Narrow" w:hAnsi="Arial Narrow"/>
          <w:color w:val="000000" w:themeColor="text1"/>
          <w:shd w:val="clear" w:color="auto" w:fill="FFFFFF"/>
        </w:rPr>
        <w:t xml:space="preserve"> (</w:t>
      </w:r>
      <w:r w:rsidRPr="009C6876">
        <w:rPr>
          <w:rStyle w:val="eop"/>
          <w:rFonts w:ascii="Arial Narrow" w:hAnsi="Arial Narrow"/>
          <w:b/>
          <w:bCs/>
          <w:color w:val="000000" w:themeColor="text1"/>
          <w:shd w:val="clear" w:color="auto" w:fill="FFFFFF"/>
        </w:rPr>
        <w:t>BSS SWG, IASC Secretariat</w:t>
      </w:r>
      <w:r w:rsidRPr="009C6876">
        <w:rPr>
          <w:rStyle w:val="eop"/>
          <w:rFonts w:ascii="Arial Narrow" w:hAnsi="Arial Narrow"/>
          <w:color w:val="000000" w:themeColor="text1"/>
          <w:shd w:val="clear" w:color="auto" w:fill="FFFFFF"/>
        </w:rPr>
        <w:t>)</w:t>
      </w:r>
    </w:p>
    <w:p w14:paraId="3E642BA8" w14:textId="40EC97F8" w:rsidR="003054C3" w:rsidRPr="009C6876" w:rsidRDefault="009C6876">
      <w:pPr>
        <w:pStyle w:val="ListParagraph"/>
        <w:numPr>
          <w:ilvl w:val="0"/>
          <w:numId w:val="1"/>
        </w:numPr>
        <w:jc w:val="both"/>
        <w:rPr>
          <w:rStyle w:val="eop"/>
          <w:rFonts w:ascii="Arial Narrow" w:hAnsi="Arial Narrow"/>
          <w:color w:val="000000" w:themeColor="text1"/>
          <w:shd w:val="clear" w:color="auto" w:fill="FFFFFF"/>
        </w:rPr>
      </w:pPr>
      <w:r>
        <w:rPr>
          <w:rStyle w:val="eop"/>
          <w:rFonts w:ascii="Arial Narrow" w:hAnsi="Arial Narrow"/>
          <w:color w:val="000000" w:themeColor="text1"/>
          <w:shd w:val="clear" w:color="auto" w:fill="FFFFFF"/>
        </w:rPr>
        <w:lastRenderedPageBreak/>
        <w:t>Provide</w:t>
      </w:r>
      <w:r w:rsidR="0069682D" w:rsidRPr="009C6876">
        <w:rPr>
          <w:rStyle w:val="eop"/>
          <w:rFonts w:ascii="Arial Narrow" w:hAnsi="Arial Narrow"/>
          <w:color w:val="000000" w:themeColor="text1"/>
          <w:shd w:val="clear" w:color="auto" w:fill="FFFFFF"/>
        </w:rPr>
        <w:t xml:space="preserve"> suggestions</w:t>
      </w:r>
      <w:r w:rsidRPr="009C6876">
        <w:rPr>
          <w:rStyle w:val="eop"/>
          <w:rFonts w:ascii="Arial Narrow" w:hAnsi="Arial Narrow"/>
          <w:color w:val="000000" w:themeColor="text1"/>
          <w:shd w:val="clear" w:color="auto" w:fill="FFFFFF"/>
        </w:rPr>
        <w:t xml:space="preserve"> </w:t>
      </w:r>
      <w:r>
        <w:rPr>
          <w:rStyle w:val="eop"/>
          <w:rFonts w:ascii="Arial Narrow" w:hAnsi="Arial Narrow"/>
          <w:color w:val="000000" w:themeColor="text1"/>
          <w:shd w:val="clear" w:color="auto" w:fill="FFFFFF"/>
        </w:rPr>
        <w:t>to</w:t>
      </w:r>
      <w:r w:rsidRPr="009C6876">
        <w:rPr>
          <w:rStyle w:val="eop"/>
          <w:rFonts w:ascii="Arial Narrow" w:hAnsi="Arial Narrow"/>
          <w:color w:val="000000" w:themeColor="text1"/>
          <w:shd w:val="clear" w:color="auto" w:fill="FFFFFF"/>
        </w:rPr>
        <w:t xml:space="preserve"> the BSS SWG</w:t>
      </w:r>
      <w:r w:rsidR="0069682D" w:rsidRPr="009C6876">
        <w:rPr>
          <w:rStyle w:val="eop"/>
          <w:rFonts w:ascii="Arial Narrow" w:hAnsi="Arial Narrow"/>
          <w:color w:val="000000" w:themeColor="text1"/>
          <w:shd w:val="clear" w:color="auto" w:fill="FFFFFF"/>
        </w:rPr>
        <w:t xml:space="preserve"> </w:t>
      </w:r>
      <w:r w:rsidRPr="009C6876">
        <w:rPr>
          <w:rStyle w:val="eop"/>
          <w:rFonts w:ascii="Arial Narrow" w:hAnsi="Arial Narrow"/>
          <w:color w:val="000000" w:themeColor="text1"/>
          <w:shd w:val="clear" w:color="auto" w:fill="FFFFFF"/>
        </w:rPr>
        <w:t xml:space="preserve">on an additional country to be included, but also on relevant </w:t>
      </w:r>
      <w:r w:rsidR="0069682D" w:rsidRPr="009C6876">
        <w:rPr>
          <w:rStyle w:val="eop"/>
          <w:rFonts w:ascii="Arial Narrow" w:hAnsi="Arial Narrow"/>
          <w:color w:val="000000" w:themeColor="text1"/>
          <w:shd w:val="clear" w:color="auto" w:fill="FFFFFF"/>
        </w:rPr>
        <w:t>studies</w:t>
      </w:r>
      <w:r w:rsidRPr="009C6876">
        <w:rPr>
          <w:rStyle w:val="eop"/>
          <w:rFonts w:ascii="Arial Narrow" w:hAnsi="Arial Narrow"/>
          <w:color w:val="000000" w:themeColor="text1"/>
          <w:shd w:val="clear" w:color="auto" w:fill="FFFFFF"/>
        </w:rPr>
        <w:t xml:space="preserve"> and </w:t>
      </w:r>
      <w:r w:rsidR="0069682D" w:rsidRPr="009C6876">
        <w:rPr>
          <w:rStyle w:val="eop"/>
          <w:rFonts w:ascii="Arial Narrow" w:hAnsi="Arial Narrow"/>
          <w:color w:val="000000" w:themeColor="text1"/>
          <w:shd w:val="clear" w:color="auto" w:fill="FFFFFF"/>
        </w:rPr>
        <w:t>experience</w:t>
      </w:r>
      <w:r w:rsidRPr="009C6876">
        <w:rPr>
          <w:rStyle w:val="eop"/>
          <w:rFonts w:ascii="Arial Narrow" w:hAnsi="Arial Narrow"/>
          <w:color w:val="000000" w:themeColor="text1"/>
          <w:shd w:val="clear" w:color="auto" w:fill="FFFFFF"/>
        </w:rPr>
        <w:t>s</w:t>
      </w:r>
      <w:r w:rsidR="0069682D" w:rsidRPr="009C6876">
        <w:rPr>
          <w:rStyle w:val="eop"/>
          <w:rFonts w:ascii="Arial Narrow" w:hAnsi="Arial Narrow"/>
          <w:color w:val="000000" w:themeColor="text1"/>
          <w:shd w:val="clear" w:color="auto" w:fill="FFFFFF"/>
        </w:rPr>
        <w:t xml:space="preserve"> </w:t>
      </w:r>
      <w:r w:rsidRPr="009C6876">
        <w:rPr>
          <w:rStyle w:val="eop"/>
          <w:rFonts w:ascii="Arial Narrow" w:hAnsi="Arial Narrow"/>
          <w:color w:val="000000" w:themeColor="text1"/>
          <w:shd w:val="clear" w:color="auto" w:fill="FFFFFF"/>
        </w:rPr>
        <w:t>(</w:t>
      </w:r>
      <w:r w:rsidRPr="009C6876">
        <w:rPr>
          <w:rStyle w:val="eop"/>
          <w:rFonts w:ascii="Arial Narrow" w:hAnsi="Arial Narrow"/>
          <w:b/>
          <w:bCs/>
          <w:color w:val="000000" w:themeColor="text1"/>
          <w:shd w:val="clear" w:color="auto" w:fill="FFFFFF"/>
        </w:rPr>
        <w:t>TF4 members</w:t>
      </w:r>
      <w:r w:rsidRPr="009C6876">
        <w:rPr>
          <w:rStyle w:val="eop"/>
          <w:rFonts w:ascii="Arial Narrow" w:hAnsi="Arial Narrow"/>
          <w:color w:val="000000" w:themeColor="text1"/>
          <w:shd w:val="clear" w:color="auto" w:fill="FFFFFF"/>
        </w:rPr>
        <w:t>)</w:t>
      </w:r>
    </w:p>
    <w:p w14:paraId="02D52FD9" w14:textId="79CEEDA2" w:rsidR="00BB7CBA" w:rsidRPr="009C6876" w:rsidRDefault="00BB7CBA">
      <w:pPr>
        <w:pStyle w:val="ListParagraph"/>
        <w:numPr>
          <w:ilvl w:val="0"/>
          <w:numId w:val="1"/>
        </w:numPr>
        <w:jc w:val="both"/>
        <w:rPr>
          <w:rStyle w:val="eop"/>
          <w:rFonts w:ascii="Arial Narrow" w:hAnsi="Arial Narrow"/>
          <w:color w:val="000000" w:themeColor="text1"/>
          <w:shd w:val="clear" w:color="auto" w:fill="FFFFFF"/>
        </w:rPr>
      </w:pPr>
      <w:r w:rsidRPr="009C6876">
        <w:rPr>
          <w:rStyle w:val="eop"/>
          <w:rFonts w:ascii="Arial Narrow" w:hAnsi="Arial Narrow"/>
          <w:color w:val="000000" w:themeColor="text1"/>
          <w:shd w:val="clear" w:color="auto" w:fill="FFFFFF"/>
        </w:rPr>
        <w:t>Share joint</w:t>
      </w:r>
      <w:r w:rsidR="004F6499" w:rsidRPr="009C6876">
        <w:rPr>
          <w:rStyle w:val="eop"/>
          <w:rFonts w:ascii="Arial Narrow" w:hAnsi="Arial Narrow"/>
          <w:color w:val="000000" w:themeColor="text1"/>
          <w:shd w:val="clear" w:color="auto" w:fill="FFFFFF"/>
        </w:rPr>
        <w:t xml:space="preserve"> OECD-UNHCR</w:t>
      </w:r>
      <w:r w:rsidRPr="009C6876">
        <w:rPr>
          <w:rStyle w:val="eop"/>
          <w:rFonts w:ascii="Arial Narrow" w:hAnsi="Arial Narrow"/>
          <w:color w:val="000000" w:themeColor="text1"/>
          <w:shd w:val="clear" w:color="auto" w:fill="FFFFFF"/>
        </w:rPr>
        <w:t xml:space="preserve"> policy paper on nexus in displacement contexts (</w:t>
      </w:r>
      <w:r w:rsidRPr="009C6876">
        <w:rPr>
          <w:rStyle w:val="eop"/>
          <w:rFonts w:ascii="Arial Narrow" w:hAnsi="Arial Narrow"/>
          <w:b/>
          <w:bCs/>
          <w:color w:val="000000" w:themeColor="text1"/>
          <w:shd w:val="clear" w:color="auto" w:fill="FFFFFF"/>
        </w:rPr>
        <w:t>UNHCR</w:t>
      </w:r>
      <w:r w:rsidRPr="009C6876">
        <w:rPr>
          <w:rStyle w:val="eop"/>
          <w:rFonts w:ascii="Arial Narrow" w:hAnsi="Arial Narrow"/>
          <w:color w:val="000000" w:themeColor="text1"/>
          <w:shd w:val="clear" w:color="auto" w:fill="FFFFFF"/>
        </w:rPr>
        <w:t>)</w:t>
      </w:r>
    </w:p>
    <w:p w14:paraId="11A91361" w14:textId="5E5AA4E5" w:rsidR="00431E42" w:rsidRPr="009C6876" w:rsidRDefault="00431E42">
      <w:pPr>
        <w:pStyle w:val="ListParagraph"/>
        <w:numPr>
          <w:ilvl w:val="0"/>
          <w:numId w:val="1"/>
        </w:numPr>
        <w:jc w:val="both"/>
        <w:rPr>
          <w:rStyle w:val="eop"/>
          <w:rFonts w:ascii="Arial Narrow" w:hAnsi="Arial Narrow"/>
          <w:color w:val="000000" w:themeColor="text1"/>
          <w:shd w:val="clear" w:color="auto" w:fill="FFFFFF"/>
        </w:rPr>
      </w:pPr>
      <w:r w:rsidRPr="009C6876">
        <w:rPr>
          <w:rStyle w:val="eop"/>
          <w:rFonts w:ascii="Arial Narrow" w:hAnsi="Arial Narrow"/>
          <w:color w:val="000000" w:themeColor="text1"/>
          <w:shd w:val="clear" w:color="auto" w:fill="FFFFFF"/>
        </w:rPr>
        <w:t xml:space="preserve">Proactively share the </w:t>
      </w:r>
      <w:r w:rsidR="00247C25" w:rsidRPr="009C6876">
        <w:rPr>
          <w:rStyle w:val="eop"/>
          <w:rFonts w:ascii="Arial Narrow" w:hAnsi="Arial Narrow"/>
          <w:color w:val="000000" w:themeColor="text1"/>
          <w:shd w:val="clear" w:color="auto" w:fill="FFFFFF"/>
        </w:rPr>
        <w:t>Sector G</w:t>
      </w:r>
      <w:r w:rsidRPr="009C6876">
        <w:rPr>
          <w:rStyle w:val="eop"/>
          <w:rFonts w:ascii="Arial Narrow" w:hAnsi="Arial Narrow"/>
          <w:color w:val="000000" w:themeColor="text1"/>
          <w:shd w:val="clear" w:color="auto" w:fill="FFFFFF"/>
        </w:rPr>
        <w:t>uidance (</w:t>
      </w:r>
      <w:r w:rsidRPr="009C6876">
        <w:rPr>
          <w:rStyle w:val="eop"/>
          <w:rFonts w:ascii="Arial Narrow" w:hAnsi="Arial Narrow"/>
          <w:b/>
          <w:bCs/>
          <w:color w:val="000000" w:themeColor="text1"/>
          <w:shd w:val="clear" w:color="auto" w:fill="FFFFFF"/>
        </w:rPr>
        <w:t>IASC Secretariat</w:t>
      </w:r>
      <w:r w:rsidRPr="009C6876">
        <w:rPr>
          <w:rStyle w:val="eop"/>
          <w:rFonts w:ascii="Arial Narrow" w:hAnsi="Arial Narrow"/>
          <w:color w:val="000000" w:themeColor="text1"/>
          <w:shd w:val="clear" w:color="auto" w:fill="FFFFFF"/>
        </w:rPr>
        <w:t>)</w:t>
      </w:r>
    </w:p>
    <w:p w14:paraId="0C3D3C5E" w14:textId="157E1E69" w:rsidR="002756BA" w:rsidRPr="009C6876" w:rsidRDefault="00247C25">
      <w:pPr>
        <w:pStyle w:val="ListParagraph"/>
        <w:numPr>
          <w:ilvl w:val="0"/>
          <w:numId w:val="1"/>
        </w:numPr>
        <w:jc w:val="both"/>
        <w:rPr>
          <w:rStyle w:val="eop"/>
          <w:rFonts w:ascii="Arial Narrow" w:hAnsi="Arial Narrow"/>
          <w:color w:val="000000" w:themeColor="text1"/>
          <w:shd w:val="clear" w:color="auto" w:fill="FFFFFF"/>
        </w:rPr>
      </w:pPr>
      <w:r w:rsidRPr="009C6876">
        <w:rPr>
          <w:rStyle w:val="eop"/>
          <w:rFonts w:ascii="Arial Narrow" w:hAnsi="Arial Narrow"/>
          <w:color w:val="000000" w:themeColor="text1"/>
          <w:shd w:val="clear" w:color="auto" w:fill="FFFFFF"/>
        </w:rPr>
        <w:t>S</w:t>
      </w:r>
      <w:r w:rsidR="008579BC" w:rsidRPr="009C6876">
        <w:rPr>
          <w:rStyle w:val="eop"/>
          <w:rFonts w:ascii="Arial Narrow" w:hAnsi="Arial Narrow"/>
          <w:color w:val="000000" w:themeColor="text1"/>
          <w:shd w:val="clear" w:color="auto" w:fill="FFFFFF"/>
        </w:rPr>
        <w:t>ubmit</w:t>
      </w:r>
      <w:r w:rsidRPr="009C6876">
        <w:rPr>
          <w:rStyle w:val="eop"/>
          <w:rFonts w:ascii="Arial Narrow" w:hAnsi="Arial Narrow"/>
          <w:color w:val="000000" w:themeColor="text1"/>
          <w:shd w:val="clear" w:color="auto" w:fill="FFFFFF"/>
        </w:rPr>
        <w:t xml:space="preserve"> </w:t>
      </w:r>
      <w:r w:rsidR="002756BA" w:rsidRPr="009C6876">
        <w:rPr>
          <w:rStyle w:val="eop"/>
          <w:rFonts w:ascii="Arial Narrow" w:hAnsi="Arial Narrow"/>
          <w:color w:val="000000" w:themeColor="text1"/>
          <w:shd w:val="clear" w:color="auto" w:fill="FFFFFF"/>
        </w:rPr>
        <w:t xml:space="preserve">Peace Dialogues </w:t>
      </w:r>
      <w:r w:rsidRPr="009C6876">
        <w:rPr>
          <w:rStyle w:val="eop"/>
          <w:rFonts w:ascii="Arial Narrow" w:hAnsi="Arial Narrow"/>
          <w:color w:val="000000" w:themeColor="text1"/>
          <w:shd w:val="clear" w:color="auto" w:fill="FFFFFF"/>
        </w:rPr>
        <w:t xml:space="preserve">sessions’ </w:t>
      </w:r>
      <w:r w:rsidR="002756BA" w:rsidRPr="009C6876">
        <w:rPr>
          <w:rStyle w:val="eop"/>
          <w:rFonts w:ascii="Arial Narrow" w:hAnsi="Arial Narrow"/>
          <w:color w:val="000000" w:themeColor="text1"/>
          <w:shd w:val="clear" w:color="auto" w:fill="FFFFFF"/>
        </w:rPr>
        <w:t xml:space="preserve">concept notes with TF4 </w:t>
      </w:r>
      <w:proofErr w:type="spellStart"/>
      <w:r w:rsidR="002756BA" w:rsidRPr="009C6876">
        <w:rPr>
          <w:rStyle w:val="eop"/>
          <w:rFonts w:ascii="Arial Narrow" w:hAnsi="Arial Narrow"/>
          <w:color w:val="000000" w:themeColor="text1"/>
          <w:shd w:val="clear" w:color="auto" w:fill="FFFFFF"/>
        </w:rPr>
        <w:t>co-Chairs</w:t>
      </w:r>
      <w:proofErr w:type="spellEnd"/>
      <w:r w:rsidR="002756BA" w:rsidRPr="009C6876">
        <w:rPr>
          <w:rStyle w:val="eop"/>
          <w:rFonts w:ascii="Arial Narrow" w:hAnsi="Arial Narrow"/>
          <w:color w:val="000000" w:themeColor="text1"/>
          <w:shd w:val="clear" w:color="auto" w:fill="FFFFFF"/>
        </w:rPr>
        <w:t xml:space="preserve"> and IASC Secretariat (</w:t>
      </w:r>
      <w:r w:rsidR="002756BA" w:rsidRPr="009C6876">
        <w:rPr>
          <w:rStyle w:val="eop"/>
          <w:rFonts w:ascii="Arial Narrow" w:hAnsi="Arial Narrow"/>
          <w:b/>
          <w:bCs/>
          <w:color w:val="000000" w:themeColor="text1"/>
          <w:shd w:val="clear" w:color="auto" w:fill="FFFFFF"/>
        </w:rPr>
        <w:t>TF4</w:t>
      </w:r>
      <w:r w:rsidR="002756BA" w:rsidRPr="009C6876">
        <w:rPr>
          <w:rStyle w:val="eop"/>
          <w:rFonts w:ascii="Arial Narrow" w:hAnsi="Arial Narrow"/>
          <w:color w:val="000000" w:themeColor="text1"/>
          <w:shd w:val="clear" w:color="auto" w:fill="FFFFFF"/>
        </w:rPr>
        <w:t xml:space="preserve"> </w:t>
      </w:r>
      <w:r w:rsidR="002756BA" w:rsidRPr="009C6876">
        <w:rPr>
          <w:rStyle w:val="eop"/>
          <w:rFonts w:ascii="Arial Narrow" w:hAnsi="Arial Narrow"/>
          <w:b/>
          <w:bCs/>
          <w:color w:val="000000" w:themeColor="text1"/>
          <w:shd w:val="clear" w:color="auto" w:fill="FFFFFF"/>
        </w:rPr>
        <w:t>members</w:t>
      </w:r>
      <w:r w:rsidR="002756BA" w:rsidRPr="009C6876">
        <w:rPr>
          <w:rStyle w:val="eop"/>
          <w:rFonts w:ascii="Arial Narrow" w:hAnsi="Arial Narrow"/>
          <w:color w:val="000000" w:themeColor="text1"/>
          <w:shd w:val="clear" w:color="auto" w:fill="FFFFFF"/>
        </w:rPr>
        <w:t>)</w:t>
      </w:r>
    </w:p>
    <w:p w14:paraId="574A4DA8" w14:textId="033A34E9" w:rsidR="00247C25" w:rsidRPr="009C6876" w:rsidRDefault="00247C25">
      <w:pPr>
        <w:pStyle w:val="ListParagraph"/>
        <w:numPr>
          <w:ilvl w:val="0"/>
          <w:numId w:val="1"/>
        </w:numPr>
        <w:jc w:val="both"/>
        <w:rPr>
          <w:rStyle w:val="eop"/>
          <w:rFonts w:ascii="Arial Narrow" w:hAnsi="Arial Narrow"/>
          <w:color w:val="000000" w:themeColor="text1"/>
          <w:shd w:val="clear" w:color="auto" w:fill="FFFFFF"/>
        </w:rPr>
      </w:pPr>
      <w:r w:rsidRPr="009C6876">
        <w:rPr>
          <w:rStyle w:val="eop"/>
          <w:rFonts w:ascii="Arial Narrow" w:hAnsi="Arial Narrow"/>
          <w:color w:val="000000" w:themeColor="text1"/>
          <w:shd w:val="clear" w:color="auto" w:fill="FFFFFF"/>
        </w:rPr>
        <w:t>Reach out to the CoP to arrange a presentation of the Sector Guidance in January 2024 (</w:t>
      </w:r>
      <w:r w:rsidRPr="009C6876">
        <w:rPr>
          <w:rStyle w:val="eop"/>
          <w:rFonts w:ascii="Arial Narrow" w:hAnsi="Arial Narrow"/>
          <w:b/>
          <w:bCs/>
          <w:color w:val="000000" w:themeColor="text1"/>
          <w:shd w:val="clear" w:color="auto" w:fill="FFFFFF"/>
        </w:rPr>
        <w:t xml:space="preserve">TF4 </w:t>
      </w:r>
      <w:proofErr w:type="spellStart"/>
      <w:r w:rsidRPr="009C6876">
        <w:rPr>
          <w:rStyle w:val="eop"/>
          <w:rFonts w:ascii="Arial Narrow" w:hAnsi="Arial Narrow"/>
          <w:b/>
          <w:bCs/>
          <w:color w:val="000000" w:themeColor="text1"/>
          <w:shd w:val="clear" w:color="auto" w:fill="FFFFFF"/>
        </w:rPr>
        <w:t>co-Chairs</w:t>
      </w:r>
      <w:proofErr w:type="spellEnd"/>
      <w:r w:rsidRPr="009C6876">
        <w:rPr>
          <w:rStyle w:val="eop"/>
          <w:rFonts w:ascii="Arial Narrow" w:hAnsi="Arial Narrow"/>
          <w:b/>
          <w:bCs/>
          <w:color w:val="000000" w:themeColor="text1"/>
          <w:shd w:val="clear" w:color="auto" w:fill="FFFFFF"/>
        </w:rPr>
        <w:t>, IASC Secretariat</w:t>
      </w:r>
      <w:r w:rsidRPr="009C6876">
        <w:rPr>
          <w:rStyle w:val="eop"/>
          <w:rFonts w:ascii="Arial Narrow" w:hAnsi="Arial Narrow"/>
          <w:color w:val="000000" w:themeColor="text1"/>
          <w:shd w:val="clear" w:color="auto" w:fill="FFFFFF"/>
        </w:rPr>
        <w:t>)</w:t>
      </w:r>
    </w:p>
    <w:p w14:paraId="6B0C71A2" w14:textId="06CE7602" w:rsidR="00552750" w:rsidRPr="009C6876" w:rsidRDefault="00552750">
      <w:pPr>
        <w:pStyle w:val="ListParagraph"/>
        <w:numPr>
          <w:ilvl w:val="0"/>
          <w:numId w:val="1"/>
        </w:numPr>
        <w:jc w:val="both"/>
        <w:rPr>
          <w:rStyle w:val="eop"/>
          <w:rFonts w:ascii="Arial Narrow" w:hAnsi="Arial Narrow"/>
          <w:color w:val="000000" w:themeColor="text1"/>
          <w:shd w:val="clear" w:color="auto" w:fill="FFFFFF"/>
        </w:rPr>
      </w:pPr>
      <w:r w:rsidRPr="009C6876">
        <w:rPr>
          <w:rStyle w:val="eop"/>
          <w:rFonts w:ascii="Arial Narrow" w:hAnsi="Arial Narrow"/>
          <w:color w:val="000000" w:themeColor="text1"/>
          <w:shd w:val="clear" w:color="auto" w:fill="FFFFFF"/>
        </w:rPr>
        <w:t xml:space="preserve">Arrange a call between the Mapping of Good Practices SWG leads and TF4 </w:t>
      </w:r>
      <w:proofErr w:type="spellStart"/>
      <w:r w:rsidRPr="009C6876">
        <w:rPr>
          <w:rStyle w:val="eop"/>
          <w:rFonts w:ascii="Arial Narrow" w:hAnsi="Arial Narrow"/>
          <w:color w:val="000000" w:themeColor="text1"/>
          <w:shd w:val="clear" w:color="auto" w:fill="FFFFFF"/>
        </w:rPr>
        <w:t>co-Chairs</w:t>
      </w:r>
      <w:proofErr w:type="spellEnd"/>
      <w:r w:rsidRPr="009C6876">
        <w:rPr>
          <w:rStyle w:val="eop"/>
          <w:rFonts w:ascii="Arial Narrow" w:hAnsi="Arial Narrow"/>
          <w:color w:val="000000" w:themeColor="text1"/>
          <w:shd w:val="clear" w:color="auto" w:fill="FFFFFF"/>
        </w:rPr>
        <w:t xml:space="preserve"> in January to discuss the timeline (</w:t>
      </w:r>
      <w:r w:rsidRPr="009C6876">
        <w:rPr>
          <w:rStyle w:val="eop"/>
          <w:rFonts w:ascii="Arial Narrow" w:hAnsi="Arial Narrow"/>
          <w:b/>
          <w:bCs/>
          <w:color w:val="000000" w:themeColor="text1"/>
          <w:shd w:val="clear" w:color="auto" w:fill="FFFFFF"/>
        </w:rPr>
        <w:t xml:space="preserve">UNICEF, ALNAP, TF4 </w:t>
      </w:r>
      <w:proofErr w:type="spellStart"/>
      <w:r w:rsidRPr="009C6876">
        <w:rPr>
          <w:rStyle w:val="eop"/>
          <w:rFonts w:ascii="Arial Narrow" w:hAnsi="Arial Narrow"/>
          <w:b/>
          <w:bCs/>
          <w:color w:val="000000" w:themeColor="text1"/>
          <w:shd w:val="clear" w:color="auto" w:fill="FFFFFF"/>
        </w:rPr>
        <w:t>co-Chairs</w:t>
      </w:r>
      <w:proofErr w:type="spellEnd"/>
      <w:r w:rsidRPr="009C6876">
        <w:rPr>
          <w:rStyle w:val="eop"/>
          <w:rFonts w:ascii="Arial Narrow" w:hAnsi="Arial Narrow"/>
          <w:color w:val="000000" w:themeColor="text1"/>
          <w:shd w:val="clear" w:color="auto" w:fill="FFFFFF"/>
        </w:rPr>
        <w:t>)</w:t>
      </w:r>
    </w:p>
    <w:p w14:paraId="3991E8EB" w14:textId="08D02639" w:rsidR="008579BC" w:rsidRPr="009C6876" w:rsidRDefault="008579BC">
      <w:pPr>
        <w:pStyle w:val="ListParagraph"/>
        <w:numPr>
          <w:ilvl w:val="0"/>
          <w:numId w:val="1"/>
        </w:numPr>
        <w:jc w:val="both"/>
        <w:rPr>
          <w:rStyle w:val="eop"/>
          <w:rFonts w:ascii="Arial Narrow" w:hAnsi="Arial Narrow"/>
          <w:color w:val="000000" w:themeColor="text1"/>
          <w:shd w:val="clear" w:color="auto" w:fill="FFFFFF"/>
        </w:rPr>
      </w:pPr>
      <w:r w:rsidRPr="009C6876">
        <w:rPr>
          <w:rStyle w:val="eop"/>
          <w:rFonts w:ascii="Arial Narrow" w:hAnsi="Arial Narrow"/>
          <w:color w:val="000000" w:themeColor="text1"/>
          <w:shd w:val="clear" w:color="auto" w:fill="FFFFFF"/>
        </w:rPr>
        <w:t xml:space="preserve">Share written update on TF4 </w:t>
      </w:r>
      <w:proofErr w:type="spellStart"/>
      <w:r w:rsidRPr="009C6876">
        <w:rPr>
          <w:rStyle w:val="eop"/>
          <w:rFonts w:ascii="Arial Narrow" w:hAnsi="Arial Narrow"/>
          <w:color w:val="000000" w:themeColor="text1"/>
          <w:shd w:val="clear" w:color="auto" w:fill="FFFFFF"/>
        </w:rPr>
        <w:t>co-Chairs</w:t>
      </w:r>
      <w:proofErr w:type="spellEnd"/>
      <w:r w:rsidRPr="009C6876">
        <w:rPr>
          <w:rStyle w:val="eop"/>
          <w:rFonts w:ascii="Arial Narrow" w:hAnsi="Arial Narrow"/>
          <w:color w:val="000000" w:themeColor="text1"/>
          <w:shd w:val="clear" w:color="auto" w:fill="FFFFFF"/>
        </w:rPr>
        <w:t xml:space="preserve"> meeting with the Grand Bargain</w:t>
      </w:r>
      <w:r w:rsidR="009C6876" w:rsidRPr="009C6876">
        <w:rPr>
          <w:rStyle w:val="eop"/>
          <w:rFonts w:ascii="Arial Narrow" w:hAnsi="Arial Narrow"/>
          <w:color w:val="000000" w:themeColor="text1"/>
          <w:shd w:val="clear" w:color="auto" w:fill="FFFFFF"/>
        </w:rPr>
        <w:t xml:space="preserve"> (</w:t>
      </w:r>
      <w:r w:rsidR="009C6876" w:rsidRPr="009C6876">
        <w:rPr>
          <w:rStyle w:val="eop"/>
          <w:rFonts w:ascii="Arial Narrow" w:hAnsi="Arial Narrow"/>
          <w:b/>
          <w:bCs/>
          <w:color w:val="000000" w:themeColor="text1"/>
          <w:shd w:val="clear" w:color="auto" w:fill="FFFFFF"/>
        </w:rPr>
        <w:t xml:space="preserve">TF4 </w:t>
      </w:r>
      <w:proofErr w:type="spellStart"/>
      <w:r w:rsidR="009C6876" w:rsidRPr="009C6876">
        <w:rPr>
          <w:rStyle w:val="eop"/>
          <w:rFonts w:ascii="Arial Narrow" w:hAnsi="Arial Narrow"/>
          <w:b/>
          <w:bCs/>
          <w:color w:val="000000" w:themeColor="text1"/>
          <w:shd w:val="clear" w:color="auto" w:fill="FFFFFF"/>
        </w:rPr>
        <w:t>co-Chairs</w:t>
      </w:r>
      <w:proofErr w:type="spellEnd"/>
      <w:r w:rsidR="009C6876" w:rsidRPr="009C6876">
        <w:rPr>
          <w:rStyle w:val="eop"/>
          <w:rFonts w:ascii="Arial Narrow" w:hAnsi="Arial Narrow"/>
          <w:b/>
          <w:bCs/>
          <w:color w:val="000000" w:themeColor="text1"/>
          <w:shd w:val="clear" w:color="auto" w:fill="FFFFFF"/>
        </w:rPr>
        <w:t>, IASC Secretariat</w:t>
      </w:r>
      <w:r w:rsidR="009C6876" w:rsidRPr="009C6876">
        <w:rPr>
          <w:rStyle w:val="eop"/>
          <w:rFonts w:ascii="Arial Narrow" w:hAnsi="Arial Narrow"/>
          <w:color w:val="000000" w:themeColor="text1"/>
          <w:shd w:val="clear" w:color="auto" w:fill="FFFFFF"/>
        </w:rPr>
        <w:t>)</w:t>
      </w:r>
    </w:p>
    <w:p w14:paraId="4C8FD0EC" w14:textId="77777777" w:rsidR="003837F9" w:rsidRPr="00EA50DF" w:rsidRDefault="003837F9" w:rsidP="003837F9">
      <w:pPr>
        <w:rPr>
          <w:color w:val="000000" w:themeColor="text1"/>
        </w:rPr>
      </w:pPr>
    </w:p>
    <w:sectPr w:rsidR="003837F9" w:rsidRPr="00EA50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EFA8" w14:textId="77777777" w:rsidR="00E87390" w:rsidRDefault="00E87390" w:rsidP="00EC2868">
      <w:pPr>
        <w:spacing w:after="0" w:line="240" w:lineRule="auto"/>
      </w:pPr>
      <w:r>
        <w:separator/>
      </w:r>
    </w:p>
  </w:endnote>
  <w:endnote w:type="continuationSeparator" w:id="0">
    <w:p w14:paraId="0D6A14AE" w14:textId="77777777" w:rsidR="00E87390" w:rsidRDefault="00E87390" w:rsidP="00EC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AB97" w14:textId="77777777" w:rsidR="00E87390" w:rsidRDefault="00E87390" w:rsidP="00EC2868">
      <w:pPr>
        <w:spacing w:after="0" w:line="240" w:lineRule="auto"/>
      </w:pPr>
      <w:r>
        <w:separator/>
      </w:r>
    </w:p>
  </w:footnote>
  <w:footnote w:type="continuationSeparator" w:id="0">
    <w:p w14:paraId="4B3B79E0" w14:textId="77777777" w:rsidR="00E87390" w:rsidRDefault="00E87390" w:rsidP="00EC2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D13"/>
    <w:multiLevelType w:val="hybridMultilevel"/>
    <w:tmpl w:val="5316E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74690"/>
    <w:multiLevelType w:val="hybridMultilevel"/>
    <w:tmpl w:val="84C2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CA16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46222C"/>
    <w:multiLevelType w:val="hybridMultilevel"/>
    <w:tmpl w:val="AAC6F75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834D19"/>
    <w:multiLevelType w:val="hybridMultilevel"/>
    <w:tmpl w:val="1A12A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544885">
    <w:abstractNumId w:val="1"/>
  </w:num>
  <w:num w:numId="2" w16cid:durableId="77335775">
    <w:abstractNumId w:val="0"/>
  </w:num>
  <w:num w:numId="3" w16cid:durableId="682122820">
    <w:abstractNumId w:val="4"/>
  </w:num>
  <w:num w:numId="4" w16cid:durableId="477723611">
    <w:abstractNumId w:val="3"/>
  </w:num>
  <w:num w:numId="5" w16cid:durableId="17087529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056BCE5"/>
    <w:rsid w:val="000042C5"/>
    <w:rsid w:val="00010040"/>
    <w:rsid w:val="00031077"/>
    <w:rsid w:val="00031A9C"/>
    <w:rsid w:val="00041194"/>
    <w:rsid w:val="00045574"/>
    <w:rsid w:val="000518EA"/>
    <w:rsid w:val="00064053"/>
    <w:rsid w:val="00067ABB"/>
    <w:rsid w:val="00071710"/>
    <w:rsid w:val="00072FCA"/>
    <w:rsid w:val="000734B7"/>
    <w:rsid w:val="0008067E"/>
    <w:rsid w:val="00084C5A"/>
    <w:rsid w:val="000B2A0F"/>
    <w:rsid w:val="000B5704"/>
    <w:rsid w:val="000C3EA1"/>
    <w:rsid w:val="000D5C6C"/>
    <w:rsid w:val="000E2693"/>
    <w:rsid w:val="0010039B"/>
    <w:rsid w:val="00105C4E"/>
    <w:rsid w:val="001073CD"/>
    <w:rsid w:val="001137E3"/>
    <w:rsid w:val="00115ED7"/>
    <w:rsid w:val="00132944"/>
    <w:rsid w:val="001337CE"/>
    <w:rsid w:val="00137605"/>
    <w:rsid w:val="00151E6C"/>
    <w:rsid w:val="00153DE6"/>
    <w:rsid w:val="00171998"/>
    <w:rsid w:val="00180A5E"/>
    <w:rsid w:val="001A42C6"/>
    <w:rsid w:val="001A6430"/>
    <w:rsid w:val="001A78E9"/>
    <w:rsid w:val="001B2562"/>
    <w:rsid w:val="001C47AD"/>
    <w:rsid w:val="001C7EEF"/>
    <w:rsid w:val="001E107A"/>
    <w:rsid w:val="001F3C70"/>
    <w:rsid w:val="00200124"/>
    <w:rsid w:val="00215264"/>
    <w:rsid w:val="00223B8F"/>
    <w:rsid w:val="0022594C"/>
    <w:rsid w:val="00232D3E"/>
    <w:rsid w:val="0023577D"/>
    <w:rsid w:val="00247307"/>
    <w:rsid w:val="00247C25"/>
    <w:rsid w:val="002756BA"/>
    <w:rsid w:val="00283549"/>
    <w:rsid w:val="00285B17"/>
    <w:rsid w:val="00285F5C"/>
    <w:rsid w:val="002A452D"/>
    <w:rsid w:val="002D2F59"/>
    <w:rsid w:val="002D4F38"/>
    <w:rsid w:val="002E5CFA"/>
    <w:rsid w:val="002F1698"/>
    <w:rsid w:val="002F534E"/>
    <w:rsid w:val="003054C3"/>
    <w:rsid w:val="00312BFD"/>
    <w:rsid w:val="00325633"/>
    <w:rsid w:val="00332797"/>
    <w:rsid w:val="00333970"/>
    <w:rsid w:val="00365B59"/>
    <w:rsid w:val="0036741C"/>
    <w:rsid w:val="003837F9"/>
    <w:rsid w:val="00387823"/>
    <w:rsid w:val="0039406E"/>
    <w:rsid w:val="00394C5B"/>
    <w:rsid w:val="0039509B"/>
    <w:rsid w:val="003A0ACC"/>
    <w:rsid w:val="003A31DB"/>
    <w:rsid w:val="003B38C9"/>
    <w:rsid w:val="003D0ED3"/>
    <w:rsid w:val="004106FD"/>
    <w:rsid w:val="004156C8"/>
    <w:rsid w:val="004165B9"/>
    <w:rsid w:val="004167A6"/>
    <w:rsid w:val="004273A4"/>
    <w:rsid w:val="00431E42"/>
    <w:rsid w:val="00437B65"/>
    <w:rsid w:val="004719B6"/>
    <w:rsid w:val="00485DCE"/>
    <w:rsid w:val="00487096"/>
    <w:rsid w:val="004950B2"/>
    <w:rsid w:val="004B7DB6"/>
    <w:rsid w:val="004C086A"/>
    <w:rsid w:val="004C3E77"/>
    <w:rsid w:val="004D3219"/>
    <w:rsid w:val="004E09D0"/>
    <w:rsid w:val="004F6499"/>
    <w:rsid w:val="005045BF"/>
    <w:rsid w:val="00506A3A"/>
    <w:rsid w:val="00507E88"/>
    <w:rsid w:val="005140B5"/>
    <w:rsid w:val="00526EB2"/>
    <w:rsid w:val="0053493F"/>
    <w:rsid w:val="00535B27"/>
    <w:rsid w:val="0054705F"/>
    <w:rsid w:val="005506AC"/>
    <w:rsid w:val="00552750"/>
    <w:rsid w:val="00562D89"/>
    <w:rsid w:val="005862B2"/>
    <w:rsid w:val="005A0AFB"/>
    <w:rsid w:val="005A35C1"/>
    <w:rsid w:val="005A7D7E"/>
    <w:rsid w:val="005B3AC5"/>
    <w:rsid w:val="005B3E7A"/>
    <w:rsid w:val="005B6468"/>
    <w:rsid w:val="005B6746"/>
    <w:rsid w:val="005B67EF"/>
    <w:rsid w:val="005B784F"/>
    <w:rsid w:val="005D4B2F"/>
    <w:rsid w:val="005E08BB"/>
    <w:rsid w:val="005E7404"/>
    <w:rsid w:val="005F3ABD"/>
    <w:rsid w:val="005F6D2F"/>
    <w:rsid w:val="00607458"/>
    <w:rsid w:val="00613670"/>
    <w:rsid w:val="00621B7B"/>
    <w:rsid w:val="00640D0B"/>
    <w:rsid w:val="006630EB"/>
    <w:rsid w:val="0066415B"/>
    <w:rsid w:val="00664BF4"/>
    <w:rsid w:val="006668C6"/>
    <w:rsid w:val="006856A6"/>
    <w:rsid w:val="00692FEE"/>
    <w:rsid w:val="0069682D"/>
    <w:rsid w:val="006A1BBC"/>
    <w:rsid w:val="006C4071"/>
    <w:rsid w:val="006C4D2A"/>
    <w:rsid w:val="006D79E8"/>
    <w:rsid w:val="00701AF3"/>
    <w:rsid w:val="00717FF5"/>
    <w:rsid w:val="00723D59"/>
    <w:rsid w:val="00725AEF"/>
    <w:rsid w:val="00743A9C"/>
    <w:rsid w:val="00743CDB"/>
    <w:rsid w:val="00753AA8"/>
    <w:rsid w:val="00761301"/>
    <w:rsid w:val="00784792"/>
    <w:rsid w:val="007B0228"/>
    <w:rsid w:val="007B7030"/>
    <w:rsid w:val="007D11C3"/>
    <w:rsid w:val="007D79D5"/>
    <w:rsid w:val="007E370A"/>
    <w:rsid w:val="007F543B"/>
    <w:rsid w:val="007F683E"/>
    <w:rsid w:val="00801D8A"/>
    <w:rsid w:val="00810896"/>
    <w:rsid w:val="0082276F"/>
    <w:rsid w:val="00824A6F"/>
    <w:rsid w:val="0084136F"/>
    <w:rsid w:val="00847620"/>
    <w:rsid w:val="0085547F"/>
    <w:rsid w:val="008579BC"/>
    <w:rsid w:val="00876804"/>
    <w:rsid w:val="008837F8"/>
    <w:rsid w:val="008923BC"/>
    <w:rsid w:val="00896939"/>
    <w:rsid w:val="008A62AA"/>
    <w:rsid w:val="008C5C83"/>
    <w:rsid w:val="008C6395"/>
    <w:rsid w:val="008E43E7"/>
    <w:rsid w:val="008F008C"/>
    <w:rsid w:val="008F191A"/>
    <w:rsid w:val="009129B8"/>
    <w:rsid w:val="009177CB"/>
    <w:rsid w:val="00925E8F"/>
    <w:rsid w:val="00937610"/>
    <w:rsid w:val="00941667"/>
    <w:rsid w:val="00944416"/>
    <w:rsid w:val="00954842"/>
    <w:rsid w:val="00962D8E"/>
    <w:rsid w:val="00964CC8"/>
    <w:rsid w:val="009728C7"/>
    <w:rsid w:val="00973663"/>
    <w:rsid w:val="00996208"/>
    <w:rsid w:val="009A023A"/>
    <w:rsid w:val="009B7D2D"/>
    <w:rsid w:val="009C2936"/>
    <w:rsid w:val="009C6876"/>
    <w:rsid w:val="009D0EED"/>
    <w:rsid w:val="009D7FF3"/>
    <w:rsid w:val="009E2408"/>
    <w:rsid w:val="009E79E7"/>
    <w:rsid w:val="00A0012A"/>
    <w:rsid w:val="00A023B1"/>
    <w:rsid w:val="00A03195"/>
    <w:rsid w:val="00A1100E"/>
    <w:rsid w:val="00A25A81"/>
    <w:rsid w:val="00A41A55"/>
    <w:rsid w:val="00A603C9"/>
    <w:rsid w:val="00A70C09"/>
    <w:rsid w:val="00A77036"/>
    <w:rsid w:val="00A917A9"/>
    <w:rsid w:val="00A953AF"/>
    <w:rsid w:val="00AA2D2A"/>
    <w:rsid w:val="00AD0E0A"/>
    <w:rsid w:val="00AD2210"/>
    <w:rsid w:val="00AD297F"/>
    <w:rsid w:val="00AD7CAD"/>
    <w:rsid w:val="00AE309B"/>
    <w:rsid w:val="00AF7541"/>
    <w:rsid w:val="00B02014"/>
    <w:rsid w:val="00B1050D"/>
    <w:rsid w:val="00B12A66"/>
    <w:rsid w:val="00B1452E"/>
    <w:rsid w:val="00B25689"/>
    <w:rsid w:val="00B33072"/>
    <w:rsid w:val="00B3468F"/>
    <w:rsid w:val="00B35F4D"/>
    <w:rsid w:val="00B400D7"/>
    <w:rsid w:val="00B42767"/>
    <w:rsid w:val="00B42E61"/>
    <w:rsid w:val="00B44725"/>
    <w:rsid w:val="00B51233"/>
    <w:rsid w:val="00B523F3"/>
    <w:rsid w:val="00B6047C"/>
    <w:rsid w:val="00B76D37"/>
    <w:rsid w:val="00B842E9"/>
    <w:rsid w:val="00B97359"/>
    <w:rsid w:val="00BB26D1"/>
    <w:rsid w:val="00BB7CBA"/>
    <w:rsid w:val="00BC4C61"/>
    <w:rsid w:val="00BD497B"/>
    <w:rsid w:val="00BD606D"/>
    <w:rsid w:val="00BD763F"/>
    <w:rsid w:val="00BE4D45"/>
    <w:rsid w:val="00C03E63"/>
    <w:rsid w:val="00C145D8"/>
    <w:rsid w:val="00C1553E"/>
    <w:rsid w:val="00C22D10"/>
    <w:rsid w:val="00C345D9"/>
    <w:rsid w:val="00C44FF3"/>
    <w:rsid w:val="00C73B84"/>
    <w:rsid w:val="00C7404C"/>
    <w:rsid w:val="00C85391"/>
    <w:rsid w:val="00C96C25"/>
    <w:rsid w:val="00C972AF"/>
    <w:rsid w:val="00CA1EE1"/>
    <w:rsid w:val="00CA6594"/>
    <w:rsid w:val="00CB2C9F"/>
    <w:rsid w:val="00CC1CEF"/>
    <w:rsid w:val="00CD47D0"/>
    <w:rsid w:val="00CD4F60"/>
    <w:rsid w:val="00CD7E4A"/>
    <w:rsid w:val="00CD7E7A"/>
    <w:rsid w:val="00CE49F1"/>
    <w:rsid w:val="00D14909"/>
    <w:rsid w:val="00D1705D"/>
    <w:rsid w:val="00D262CA"/>
    <w:rsid w:val="00D325F6"/>
    <w:rsid w:val="00D54A6A"/>
    <w:rsid w:val="00D60D99"/>
    <w:rsid w:val="00D6635F"/>
    <w:rsid w:val="00D72B10"/>
    <w:rsid w:val="00D863C6"/>
    <w:rsid w:val="00D92A50"/>
    <w:rsid w:val="00D966CE"/>
    <w:rsid w:val="00D966FD"/>
    <w:rsid w:val="00D97A08"/>
    <w:rsid w:val="00DA2DC1"/>
    <w:rsid w:val="00DB2340"/>
    <w:rsid w:val="00DD344E"/>
    <w:rsid w:val="00DF20A7"/>
    <w:rsid w:val="00DF7747"/>
    <w:rsid w:val="00E01078"/>
    <w:rsid w:val="00E03B62"/>
    <w:rsid w:val="00E238A8"/>
    <w:rsid w:val="00E3439C"/>
    <w:rsid w:val="00E343AB"/>
    <w:rsid w:val="00E446BE"/>
    <w:rsid w:val="00E6610F"/>
    <w:rsid w:val="00E67470"/>
    <w:rsid w:val="00E8199E"/>
    <w:rsid w:val="00E82B55"/>
    <w:rsid w:val="00E87390"/>
    <w:rsid w:val="00EA3280"/>
    <w:rsid w:val="00EA50DF"/>
    <w:rsid w:val="00EB4D89"/>
    <w:rsid w:val="00EC2868"/>
    <w:rsid w:val="00EC7A56"/>
    <w:rsid w:val="00EE2343"/>
    <w:rsid w:val="00EE7865"/>
    <w:rsid w:val="00EF6F18"/>
    <w:rsid w:val="00F056B3"/>
    <w:rsid w:val="00F06B09"/>
    <w:rsid w:val="00F1071C"/>
    <w:rsid w:val="00F1162C"/>
    <w:rsid w:val="00F33EBF"/>
    <w:rsid w:val="00F41A8C"/>
    <w:rsid w:val="00F5203D"/>
    <w:rsid w:val="00F52FBA"/>
    <w:rsid w:val="00F657DD"/>
    <w:rsid w:val="00F66112"/>
    <w:rsid w:val="00F757C3"/>
    <w:rsid w:val="00F7680A"/>
    <w:rsid w:val="00F8286E"/>
    <w:rsid w:val="00FA1232"/>
    <w:rsid w:val="00FA4115"/>
    <w:rsid w:val="00FA7762"/>
    <w:rsid w:val="00FC381D"/>
    <w:rsid w:val="00FC6D06"/>
    <w:rsid w:val="00FD2AEB"/>
    <w:rsid w:val="00FF1C3B"/>
    <w:rsid w:val="00FF2C57"/>
    <w:rsid w:val="00FF4534"/>
    <w:rsid w:val="0120CDA9"/>
    <w:rsid w:val="0192F171"/>
    <w:rsid w:val="01BD2002"/>
    <w:rsid w:val="036214CB"/>
    <w:rsid w:val="03DBD580"/>
    <w:rsid w:val="041BD982"/>
    <w:rsid w:val="04FB57E5"/>
    <w:rsid w:val="06EA3CF4"/>
    <w:rsid w:val="07DCCB69"/>
    <w:rsid w:val="07E4681E"/>
    <w:rsid w:val="080D8C47"/>
    <w:rsid w:val="0844CF7E"/>
    <w:rsid w:val="09793342"/>
    <w:rsid w:val="0981A11A"/>
    <w:rsid w:val="0A40472F"/>
    <w:rsid w:val="0B2E8327"/>
    <w:rsid w:val="0B3F0BCD"/>
    <w:rsid w:val="0C2610B9"/>
    <w:rsid w:val="0C2D8E91"/>
    <w:rsid w:val="0C9267B5"/>
    <w:rsid w:val="0CF689A9"/>
    <w:rsid w:val="0D188026"/>
    <w:rsid w:val="0D6D10C2"/>
    <w:rsid w:val="0F8A1811"/>
    <w:rsid w:val="10C29FAB"/>
    <w:rsid w:val="1125E872"/>
    <w:rsid w:val="11D28967"/>
    <w:rsid w:val="12618C19"/>
    <w:rsid w:val="145D8934"/>
    <w:rsid w:val="149B1736"/>
    <w:rsid w:val="152F2E5F"/>
    <w:rsid w:val="1566D26C"/>
    <w:rsid w:val="15F78432"/>
    <w:rsid w:val="165CCB1E"/>
    <w:rsid w:val="16A5FA8A"/>
    <w:rsid w:val="17F89B7F"/>
    <w:rsid w:val="18DE5817"/>
    <w:rsid w:val="195AE2B9"/>
    <w:rsid w:val="19C5BE85"/>
    <w:rsid w:val="19DD9B4C"/>
    <w:rsid w:val="1A0F2E01"/>
    <w:rsid w:val="1A2E0AA6"/>
    <w:rsid w:val="1C041705"/>
    <w:rsid w:val="1C51889B"/>
    <w:rsid w:val="1E3EB2DC"/>
    <w:rsid w:val="1E7AFE5A"/>
    <w:rsid w:val="1F145033"/>
    <w:rsid w:val="1F7300F0"/>
    <w:rsid w:val="2013B94B"/>
    <w:rsid w:val="20392451"/>
    <w:rsid w:val="204CDCD0"/>
    <w:rsid w:val="2051200C"/>
    <w:rsid w:val="2056BCE5"/>
    <w:rsid w:val="207C9857"/>
    <w:rsid w:val="20FBE526"/>
    <w:rsid w:val="21881DCF"/>
    <w:rsid w:val="21A04713"/>
    <w:rsid w:val="21C43F45"/>
    <w:rsid w:val="21E8AD31"/>
    <w:rsid w:val="24A9418C"/>
    <w:rsid w:val="24B10B30"/>
    <w:rsid w:val="24C5F8E0"/>
    <w:rsid w:val="24F6B475"/>
    <w:rsid w:val="26A865D5"/>
    <w:rsid w:val="26AD36FC"/>
    <w:rsid w:val="28690BA9"/>
    <w:rsid w:val="29A76F7B"/>
    <w:rsid w:val="2A94140E"/>
    <w:rsid w:val="2AEADC08"/>
    <w:rsid w:val="2B1A73D8"/>
    <w:rsid w:val="2B482B22"/>
    <w:rsid w:val="2C344BA7"/>
    <w:rsid w:val="2C86AC69"/>
    <w:rsid w:val="2D1E4CD4"/>
    <w:rsid w:val="2D555E65"/>
    <w:rsid w:val="2DEF8EA0"/>
    <w:rsid w:val="2ECC5A43"/>
    <w:rsid w:val="30C13528"/>
    <w:rsid w:val="30C6CB37"/>
    <w:rsid w:val="31282AEE"/>
    <w:rsid w:val="32629B98"/>
    <w:rsid w:val="33254F1A"/>
    <w:rsid w:val="34562504"/>
    <w:rsid w:val="3660EDE8"/>
    <w:rsid w:val="36E43CA6"/>
    <w:rsid w:val="381BAAF2"/>
    <w:rsid w:val="39243F29"/>
    <w:rsid w:val="39509A9B"/>
    <w:rsid w:val="396264E9"/>
    <w:rsid w:val="3B534BB4"/>
    <w:rsid w:val="3C7AF2D9"/>
    <w:rsid w:val="3D4DCB5B"/>
    <w:rsid w:val="3D7EFB2E"/>
    <w:rsid w:val="3DB9C66F"/>
    <w:rsid w:val="3EA01E51"/>
    <w:rsid w:val="3EA6586C"/>
    <w:rsid w:val="3F00BB38"/>
    <w:rsid w:val="3F087AAE"/>
    <w:rsid w:val="3F288BC1"/>
    <w:rsid w:val="3F5596D0"/>
    <w:rsid w:val="408A4464"/>
    <w:rsid w:val="40AF0B8B"/>
    <w:rsid w:val="40FEAD73"/>
    <w:rsid w:val="42E1893D"/>
    <w:rsid w:val="42EE0C3F"/>
    <w:rsid w:val="4327C37C"/>
    <w:rsid w:val="440E3C9D"/>
    <w:rsid w:val="466E2045"/>
    <w:rsid w:val="46E03BF4"/>
    <w:rsid w:val="47AAF1E1"/>
    <w:rsid w:val="487C0C55"/>
    <w:rsid w:val="4893357D"/>
    <w:rsid w:val="48BA1D70"/>
    <w:rsid w:val="48BB50CA"/>
    <w:rsid w:val="48E405D2"/>
    <w:rsid w:val="49169910"/>
    <w:rsid w:val="4931F003"/>
    <w:rsid w:val="493F82EC"/>
    <w:rsid w:val="4A28B2E6"/>
    <w:rsid w:val="4A5593C2"/>
    <w:rsid w:val="4AD26263"/>
    <w:rsid w:val="4B5ED515"/>
    <w:rsid w:val="4BF7C21C"/>
    <w:rsid w:val="4C1BA694"/>
    <w:rsid w:val="4C5D1AA7"/>
    <w:rsid w:val="4C9122E7"/>
    <w:rsid w:val="4D33475A"/>
    <w:rsid w:val="4D8D3484"/>
    <w:rsid w:val="4F21E72E"/>
    <w:rsid w:val="4F2904E5"/>
    <w:rsid w:val="4F9B2094"/>
    <w:rsid w:val="50C4D546"/>
    <w:rsid w:val="512405B7"/>
    <w:rsid w:val="528244CF"/>
    <w:rsid w:val="57529F00"/>
    <w:rsid w:val="576BF62F"/>
    <w:rsid w:val="57E9B363"/>
    <w:rsid w:val="584AEEA9"/>
    <w:rsid w:val="5853A84F"/>
    <w:rsid w:val="591B53B4"/>
    <w:rsid w:val="5A85661C"/>
    <w:rsid w:val="5AE67F77"/>
    <w:rsid w:val="5BF34D26"/>
    <w:rsid w:val="5C05F61B"/>
    <w:rsid w:val="5C824FD8"/>
    <w:rsid w:val="5D27B0EA"/>
    <w:rsid w:val="5E1E2039"/>
    <w:rsid w:val="5EA83555"/>
    <w:rsid w:val="5FBAC389"/>
    <w:rsid w:val="60EAF496"/>
    <w:rsid w:val="610F929A"/>
    <w:rsid w:val="62628EAA"/>
    <w:rsid w:val="6313ACFB"/>
    <w:rsid w:val="6329F62B"/>
    <w:rsid w:val="637BA678"/>
    <w:rsid w:val="6399D1F5"/>
    <w:rsid w:val="63C5C837"/>
    <w:rsid w:val="64E30BC3"/>
    <w:rsid w:val="658252A5"/>
    <w:rsid w:val="66B3473A"/>
    <w:rsid w:val="6845880B"/>
    <w:rsid w:val="68B28C46"/>
    <w:rsid w:val="68CEE4D1"/>
    <w:rsid w:val="68D9BDB4"/>
    <w:rsid w:val="69A23568"/>
    <w:rsid w:val="6A5B3FF8"/>
    <w:rsid w:val="6A758E15"/>
    <w:rsid w:val="6B788351"/>
    <w:rsid w:val="6C115E76"/>
    <w:rsid w:val="6CF49B77"/>
    <w:rsid w:val="6EDEB9E9"/>
    <w:rsid w:val="6FD33214"/>
    <w:rsid w:val="7309FEE3"/>
    <w:rsid w:val="73702A80"/>
    <w:rsid w:val="73E7A1F9"/>
    <w:rsid w:val="741C705B"/>
    <w:rsid w:val="749F6CD2"/>
    <w:rsid w:val="750D3968"/>
    <w:rsid w:val="762C9E4E"/>
    <w:rsid w:val="773414FA"/>
    <w:rsid w:val="774B84EF"/>
    <w:rsid w:val="777FD7C7"/>
    <w:rsid w:val="78434089"/>
    <w:rsid w:val="7882E65A"/>
    <w:rsid w:val="78D804B7"/>
    <w:rsid w:val="78EFE17E"/>
    <w:rsid w:val="79DEB6DB"/>
    <w:rsid w:val="79DF10EA"/>
    <w:rsid w:val="7A4E1B96"/>
    <w:rsid w:val="7A8BB1DF"/>
    <w:rsid w:val="7ABD7FB7"/>
    <w:rsid w:val="7B6B121D"/>
    <w:rsid w:val="7CA2DC4A"/>
    <w:rsid w:val="7CBC466E"/>
    <w:rsid w:val="7D6597FC"/>
    <w:rsid w:val="7DB21B53"/>
    <w:rsid w:val="7DCD70F2"/>
    <w:rsid w:val="7DEF3DD9"/>
    <w:rsid w:val="7E5C52DB"/>
    <w:rsid w:val="7E73437E"/>
    <w:rsid w:val="7EEDC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6BCE5"/>
  <w15:docId w15:val="{E2E160A9-2C94-454B-8C81-B171D04B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A0319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A03195"/>
  </w:style>
  <w:style w:type="character" w:customStyle="1" w:styleId="eop">
    <w:name w:val="eop"/>
    <w:basedOn w:val="DefaultParagraphFont"/>
    <w:rsid w:val="00A03195"/>
  </w:style>
  <w:style w:type="paragraph" w:styleId="Date">
    <w:name w:val="Date"/>
    <w:basedOn w:val="Normal"/>
    <w:next w:val="Normal"/>
    <w:link w:val="DateChar"/>
    <w:uiPriority w:val="99"/>
    <w:semiHidden/>
    <w:unhideWhenUsed/>
    <w:rsid w:val="00A03195"/>
  </w:style>
  <w:style w:type="character" w:customStyle="1" w:styleId="DateChar">
    <w:name w:val="Date Char"/>
    <w:basedOn w:val="DefaultParagraphFont"/>
    <w:link w:val="Date"/>
    <w:uiPriority w:val="99"/>
    <w:semiHidden/>
    <w:rsid w:val="00A03195"/>
  </w:style>
  <w:style w:type="paragraph" w:styleId="ListParagraph">
    <w:name w:val="List Paragraph"/>
    <w:aliases w:val="Bullet List,FooterText,List Paragraph1,Colorful List Accent 1,numbered,Paragraphe de liste1,列 出 段 落,列 出 段 落 1,Bulletr List Paragraph,List Paragraph2,List Paragraph21,Párrafo de lista1,Parágrafo da Lista1,リ ス ト 段 落 1,Plan,Dot pt,列出段落,列出段落1"/>
    <w:basedOn w:val="Normal"/>
    <w:link w:val="ListParagraphChar"/>
    <w:uiPriority w:val="34"/>
    <w:qFormat/>
    <w:rsid w:val="00A41A55"/>
    <w:pPr>
      <w:ind w:left="720"/>
      <w:contextualSpacing/>
    </w:pPr>
  </w:style>
  <w:style w:type="paragraph" w:styleId="Revision">
    <w:name w:val="Revision"/>
    <w:hidden/>
    <w:uiPriority w:val="99"/>
    <w:semiHidden/>
    <w:rsid w:val="00072FCA"/>
    <w:pPr>
      <w:spacing w:after="0" w:line="240" w:lineRule="auto"/>
    </w:pPr>
  </w:style>
  <w:style w:type="character" w:customStyle="1" w:styleId="ListParagraphChar">
    <w:name w:val="List Paragraph Char"/>
    <w:aliases w:val="Bullet List Char,FooterText Char,List Paragraph1 Char,Colorful List Accent 1 Char,numbered Char,Paragraphe de liste1 Char,列 出 段 落 Char,列 出 段 落 1 Char,Bulletr List Paragraph Char,List Paragraph2 Char,List Paragraph21 Char,Plan Char"/>
    <w:basedOn w:val="DefaultParagraphFont"/>
    <w:link w:val="ListParagraph"/>
    <w:uiPriority w:val="34"/>
    <w:locked/>
    <w:rsid w:val="003837F9"/>
  </w:style>
  <w:style w:type="paragraph" w:styleId="Header">
    <w:name w:val="header"/>
    <w:basedOn w:val="Normal"/>
    <w:link w:val="HeaderChar"/>
    <w:uiPriority w:val="99"/>
    <w:unhideWhenUsed/>
    <w:rsid w:val="00EC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68"/>
  </w:style>
  <w:style w:type="paragraph" w:styleId="Footer">
    <w:name w:val="footer"/>
    <w:basedOn w:val="Normal"/>
    <w:link w:val="FooterChar"/>
    <w:uiPriority w:val="99"/>
    <w:unhideWhenUsed/>
    <w:rsid w:val="00EC2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68"/>
  </w:style>
  <w:style w:type="paragraph" w:styleId="NormalWeb">
    <w:name w:val="Normal (Web)"/>
    <w:basedOn w:val="Normal"/>
    <w:uiPriority w:val="99"/>
    <w:semiHidden/>
    <w:unhideWhenUsed/>
    <w:rsid w:val="00A1100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487096"/>
    <w:rPr>
      <w:b/>
      <w:bCs/>
    </w:rPr>
  </w:style>
  <w:style w:type="character" w:customStyle="1" w:styleId="CommentSubjectChar">
    <w:name w:val="Comment Subject Char"/>
    <w:basedOn w:val="CommentTextChar"/>
    <w:link w:val="CommentSubject"/>
    <w:uiPriority w:val="99"/>
    <w:semiHidden/>
    <w:rsid w:val="00487096"/>
    <w:rPr>
      <w:b/>
      <w:bCs/>
      <w:sz w:val="20"/>
      <w:szCs w:val="20"/>
    </w:rPr>
  </w:style>
  <w:style w:type="character" w:styleId="Hyperlink">
    <w:name w:val="Hyperlink"/>
    <w:basedOn w:val="DefaultParagraphFont"/>
    <w:uiPriority w:val="99"/>
    <w:semiHidden/>
    <w:unhideWhenUsed/>
    <w:rsid w:val="007E37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7582">
      <w:bodyDiv w:val="1"/>
      <w:marLeft w:val="0"/>
      <w:marRight w:val="0"/>
      <w:marTop w:val="0"/>
      <w:marBottom w:val="0"/>
      <w:divBdr>
        <w:top w:val="none" w:sz="0" w:space="0" w:color="auto"/>
        <w:left w:val="none" w:sz="0" w:space="0" w:color="auto"/>
        <w:bottom w:val="none" w:sz="0" w:space="0" w:color="auto"/>
        <w:right w:val="none" w:sz="0" w:space="0" w:color="auto"/>
      </w:divBdr>
    </w:div>
    <w:div w:id="426577590">
      <w:bodyDiv w:val="1"/>
      <w:marLeft w:val="0"/>
      <w:marRight w:val="0"/>
      <w:marTop w:val="0"/>
      <w:marBottom w:val="0"/>
      <w:divBdr>
        <w:top w:val="none" w:sz="0" w:space="0" w:color="auto"/>
        <w:left w:val="none" w:sz="0" w:space="0" w:color="auto"/>
        <w:bottom w:val="none" w:sz="0" w:space="0" w:color="auto"/>
        <w:right w:val="none" w:sz="0" w:space="0" w:color="auto"/>
      </w:divBdr>
      <w:divsChild>
        <w:div w:id="482042773">
          <w:marLeft w:val="0"/>
          <w:marRight w:val="0"/>
          <w:marTop w:val="0"/>
          <w:marBottom w:val="0"/>
          <w:divBdr>
            <w:top w:val="none" w:sz="0" w:space="0" w:color="auto"/>
            <w:left w:val="none" w:sz="0" w:space="0" w:color="auto"/>
            <w:bottom w:val="none" w:sz="0" w:space="0" w:color="auto"/>
            <w:right w:val="none" w:sz="0" w:space="0" w:color="auto"/>
          </w:divBdr>
        </w:div>
        <w:div w:id="1595942365">
          <w:marLeft w:val="0"/>
          <w:marRight w:val="0"/>
          <w:marTop w:val="0"/>
          <w:marBottom w:val="0"/>
          <w:divBdr>
            <w:top w:val="none" w:sz="0" w:space="0" w:color="auto"/>
            <w:left w:val="none" w:sz="0" w:space="0" w:color="auto"/>
            <w:bottom w:val="none" w:sz="0" w:space="0" w:color="auto"/>
            <w:right w:val="none" w:sz="0" w:space="0" w:color="auto"/>
          </w:divBdr>
        </w:div>
        <w:div w:id="1947732917">
          <w:marLeft w:val="0"/>
          <w:marRight w:val="0"/>
          <w:marTop w:val="0"/>
          <w:marBottom w:val="0"/>
          <w:divBdr>
            <w:top w:val="none" w:sz="0" w:space="0" w:color="auto"/>
            <w:left w:val="none" w:sz="0" w:space="0" w:color="auto"/>
            <w:bottom w:val="none" w:sz="0" w:space="0" w:color="auto"/>
            <w:right w:val="none" w:sz="0" w:space="0" w:color="auto"/>
          </w:divBdr>
        </w:div>
      </w:divsChild>
    </w:div>
    <w:div w:id="777219151">
      <w:bodyDiv w:val="1"/>
      <w:marLeft w:val="0"/>
      <w:marRight w:val="0"/>
      <w:marTop w:val="0"/>
      <w:marBottom w:val="0"/>
      <w:divBdr>
        <w:top w:val="none" w:sz="0" w:space="0" w:color="auto"/>
        <w:left w:val="none" w:sz="0" w:space="0" w:color="auto"/>
        <w:bottom w:val="none" w:sz="0" w:space="0" w:color="auto"/>
        <w:right w:val="none" w:sz="0" w:space="0" w:color="auto"/>
      </w:divBdr>
    </w:div>
    <w:div w:id="787941674">
      <w:bodyDiv w:val="1"/>
      <w:marLeft w:val="0"/>
      <w:marRight w:val="0"/>
      <w:marTop w:val="0"/>
      <w:marBottom w:val="0"/>
      <w:divBdr>
        <w:top w:val="none" w:sz="0" w:space="0" w:color="auto"/>
        <w:left w:val="none" w:sz="0" w:space="0" w:color="auto"/>
        <w:bottom w:val="none" w:sz="0" w:space="0" w:color="auto"/>
        <w:right w:val="none" w:sz="0" w:space="0" w:color="auto"/>
      </w:divBdr>
    </w:div>
    <w:div w:id="847795305">
      <w:bodyDiv w:val="1"/>
      <w:marLeft w:val="0"/>
      <w:marRight w:val="0"/>
      <w:marTop w:val="0"/>
      <w:marBottom w:val="0"/>
      <w:divBdr>
        <w:top w:val="none" w:sz="0" w:space="0" w:color="auto"/>
        <w:left w:val="none" w:sz="0" w:space="0" w:color="auto"/>
        <w:bottom w:val="none" w:sz="0" w:space="0" w:color="auto"/>
        <w:right w:val="none" w:sz="0" w:space="0" w:color="auto"/>
      </w:divBdr>
    </w:div>
    <w:div w:id="954603096">
      <w:bodyDiv w:val="1"/>
      <w:marLeft w:val="0"/>
      <w:marRight w:val="0"/>
      <w:marTop w:val="0"/>
      <w:marBottom w:val="0"/>
      <w:divBdr>
        <w:top w:val="none" w:sz="0" w:space="0" w:color="auto"/>
        <w:left w:val="none" w:sz="0" w:space="0" w:color="auto"/>
        <w:bottom w:val="none" w:sz="0" w:space="0" w:color="auto"/>
        <w:right w:val="none" w:sz="0" w:space="0" w:color="auto"/>
      </w:divBdr>
    </w:div>
    <w:div w:id="1179078754">
      <w:bodyDiv w:val="1"/>
      <w:marLeft w:val="0"/>
      <w:marRight w:val="0"/>
      <w:marTop w:val="0"/>
      <w:marBottom w:val="0"/>
      <w:divBdr>
        <w:top w:val="none" w:sz="0" w:space="0" w:color="auto"/>
        <w:left w:val="none" w:sz="0" w:space="0" w:color="auto"/>
        <w:bottom w:val="none" w:sz="0" w:space="0" w:color="auto"/>
        <w:right w:val="none" w:sz="0" w:space="0" w:color="auto"/>
      </w:divBdr>
    </w:div>
    <w:div w:id="1433697801">
      <w:bodyDiv w:val="1"/>
      <w:marLeft w:val="0"/>
      <w:marRight w:val="0"/>
      <w:marTop w:val="0"/>
      <w:marBottom w:val="0"/>
      <w:divBdr>
        <w:top w:val="none" w:sz="0" w:space="0" w:color="auto"/>
        <w:left w:val="none" w:sz="0" w:space="0" w:color="auto"/>
        <w:bottom w:val="none" w:sz="0" w:space="0" w:color="auto"/>
        <w:right w:val="none" w:sz="0" w:space="0" w:color="auto"/>
      </w:divBdr>
    </w:div>
    <w:div w:id="1567647996">
      <w:bodyDiv w:val="1"/>
      <w:marLeft w:val="0"/>
      <w:marRight w:val="0"/>
      <w:marTop w:val="0"/>
      <w:marBottom w:val="0"/>
      <w:divBdr>
        <w:top w:val="none" w:sz="0" w:space="0" w:color="auto"/>
        <w:left w:val="none" w:sz="0" w:space="0" w:color="auto"/>
        <w:bottom w:val="none" w:sz="0" w:space="0" w:color="auto"/>
        <w:right w:val="none" w:sz="0" w:space="0" w:color="auto"/>
      </w:divBdr>
    </w:div>
    <w:div w:id="1755203354">
      <w:bodyDiv w:val="1"/>
      <w:marLeft w:val="0"/>
      <w:marRight w:val="0"/>
      <w:marTop w:val="0"/>
      <w:marBottom w:val="0"/>
      <w:divBdr>
        <w:top w:val="none" w:sz="0" w:space="0" w:color="auto"/>
        <w:left w:val="none" w:sz="0" w:space="0" w:color="auto"/>
        <w:bottom w:val="none" w:sz="0" w:space="0" w:color="auto"/>
        <w:right w:val="none" w:sz="0" w:space="0" w:color="auto"/>
      </w:divBdr>
    </w:div>
    <w:div w:id="1817641707">
      <w:bodyDiv w:val="1"/>
      <w:marLeft w:val="0"/>
      <w:marRight w:val="0"/>
      <w:marTop w:val="0"/>
      <w:marBottom w:val="0"/>
      <w:divBdr>
        <w:top w:val="none" w:sz="0" w:space="0" w:color="auto"/>
        <w:left w:val="none" w:sz="0" w:space="0" w:color="auto"/>
        <w:bottom w:val="none" w:sz="0" w:space="0" w:color="auto"/>
        <w:right w:val="none" w:sz="0" w:space="0" w:color="auto"/>
      </w:divBdr>
    </w:div>
    <w:div w:id="1833570044">
      <w:bodyDiv w:val="1"/>
      <w:marLeft w:val="0"/>
      <w:marRight w:val="0"/>
      <w:marTop w:val="0"/>
      <w:marBottom w:val="0"/>
      <w:divBdr>
        <w:top w:val="none" w:sz="0" w:space="0" w:color="auto"/>
        <w:left w:val="none" w:sz="0" w:space="0" w:color="auto"/>
        <w:bottom w:val="none" w:sz="0" w:space="0" w:color="auto"/>
        <w:right w:val="none" w:sz="0" w:space="0" w:color="auto"/>
      </w:divBdr>
    </w:div>
    <w:div w:id="1942836262">
      <w:bodyDiv w:val="1"/>
      <w:marLeft w:val="0"/>
      <w:marRight w:val="0"/>
      <w:marTop w:val="0"/>
      <w:marBottom w:val="0"/>
      <w:divBdr>
        <w:top w:val="none" w:sz="0" w:space="0" w:color="auto"/>
        <w:left w:val="none" w:sz="0" w:space="0" w:color="auto"/>
        <w:bottom w:val="none" w:sz="0" w:space="0" w:color="auto"/>
        <w:right w:val="none" w:sz="0" w:space="0" w:color="auto"/>
      </w:divBdr>
    </w:div>
    <w:div w:id="1943225688">
      <w:bodyDiv w:val="1"/>
      <w:marLeft w:val="0"/>
      <w:marRight w:val="0"/>
      <w:marTop w:val="0"/>
      <w:marBottom w:val="0"/>
      <w:divBdr>
        <w:top w:val="none" w:sz="0" w:space="0" w:color="auto"/>
        <w:left w:val="none" w:sz="0" w:space="0" w:color="auto"/>
        <w:bottom w:val="none" w:sz="0" w:space="0" w:color="auto"/>
        <w:right w:val="none" w:sz="0" w:space="0" w:color="auto"/>
      </w:divBdr>
    </w:div>
    <w:div w:id="213378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ur02.safelinks.protection.outlook.com/?url=https%3A%2F%2Fwww.nrc.no%2Fresources%2Freports%2Fthe-nexus-in-practice-the-long-journey-to-impact%2F&amp;data=05%7C02%7Cainhoa.rubiato%40un.org%7Ccaddcf6bb5fc46d92c4f08dbf69850ac%7C0f9e35db544f4f60bdcc5ea416e6dc70%7C0%7C0%7C638374906269368455%7CUnknown%7CTWFpbGZsb3d8eyJWIjoiMC4wLjAwMDAiLCJQIjoiV2luMzIiLCJBTiI6Ik1haWwiLCJXVCI6Mn0%3D%7C3000%7C%7C%7C&amp;sdata=t8MEmYFYpw0alpizVfNsIR%2FQKiLMJiQRNixAPUJeCPA%3D&amp;reserved=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3906E6BC618E45BD993E92645C2E72" ma:contentTypeVersion="9" ma:contentTypeDescription="Create a new document." ma:contentTypeScope="" ma:versionID="bc053ed0b2db116daaaf1b7d2b8c93af">
  <xsd:schema xmlns:xsd="http://www.w3.org/2001/XMLSchema" xmlns:xs="http://www.w3.org/2001/XMLSchema" xmlns:p="http://schemas.microsoft.com/office/2006/metadata/properties" xmlns:ns2="281b9d9e-6ac3-48c7-bc67-2c7ece4a0e9c" xmlns:ns3="64d1958b-9d83-4ea3-bfa4-c8d2b5fee59c" targetNamespace="http://schemas.microsoft.com/office/2006/metadata/properties" ma:root="true" ma:fieldsID="f8b82f8157aecda239871a61d1b51531" ns2:_="" ns3:_="">
    <xsd:import namespace="281b9d9e-6ac3-48c7-bc67-2c7ece4a0e9c"/>
    <xsd:import namespace="64d1958b-9d83-4ea3-bfa4-c8d2b5fee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b9d9e-6ac3-48c7-bc67-2c7ece4a0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1958b-9d83-4ea3-bfa4-c8d2b5fee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4F8A6-20E3-4501-B3B8-0204B35CC970}">
  <ds:schemaRefs>
    <ds:schemaRef ds:uri="http://schemas.microsoft.com/sharepoint/v3/contenttype/forms"/>
  </ds:schemaRefs>
</ds:datastoreItem>
</file>

<file path=customXml/itemProps2.xml><?xml version="1.0" encoding="utf-8"?>
<ds:datastoreItem xmlns:ds="http://schemas.openxmlformats.org/officeDocument/2006/customXml" ds:itemID="{DD05CDC1-C7B8-4D64-89DD-3CA6A8282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311EFE-C79F-47A6-8944-2AB46305E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b9d9e-6ac3-48c7-bc67-2c7ece4a0e9c"/>
    <ds:schemaRef ds:uri="64d1958b-9d83-4ea3-bfa4-c8d2b5fee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2425</TotalTime>
  <Pages>3</Pages>
  <Words>939</Words>
  <Characters>5893</Characters>
  <Application>Microsoft Office Word</Application>
  <DocSecurity>0</DocSecurity>
  <Lines>89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Mentewab Mulugeta Kebede</dc:creator>
  <cp:keywords/>
  <dc:description/>
  <cp:lastModifiedBy>Ainhoa Rubiato</cp:lastModifiedBy>
  <cp:revision>17</cp:revision>
  <dcterms:created xsi:type="dcterms:W3CDTF">2023-12-14T01:53:00Z</dcterms:created>
  <dcterms:modified xsi:type="dcterms:W3CDTF">2023-12-19T12:20:00Z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0x010100EB3906E6BC618E45BD993E92645C2E72</vt:lpwstr>
  </property>
  <property fmtid="{D5CDD505-2E9C-101B-9397-08002B2CF9AE}" pid="3" name="_NewReviewCycle">
    <vt:lpwstr/>
  </property>
</Properties>
</file>