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136" w:rsidRDefault="00AE712E" w:rsidP="00E55533">
      <w:pPr>
        <w:pStyle w:val="BoxBanner"/>
        <w:spacing w:line="240" w:lineRule="auto"/>
      </w:pPr>
      <w:r>
        <w:t>Inter-Agency Standing Committee</w:t>
      </w:r>
    </w:p>
    <w:p w:rsidR="006906D4" w:rsidRDefault="006906D4" w:rsidP="00E55533">
      <w:pPr>
        <w:pStyle w:val="BoxBanner"/>
        <w:spacing w:line="240" w:lineRule="auto"/>
      </w:pPr>
    </w:p>
    <w:p w:rsidR="00FD70CC" w:rsidRPr="006906D4" w:rsidRDefault="00FD70CC" w:rsidP="00E55533">
      <w:pPr>
        <w:pStyle w:val="BoxBanner"/>
        <w:spacing w:line="240" w:lineRule="auto"/>
        <w:rPr>
          <w:b/>
        </w:rPr>
      </w:pPr>
      <w:r w:rsidRPr="006906D4">
        <w:rPr>
          <w:b/>
        </w:rPr>
        <w:t xml:space="preserve">IASC SUBSIDIARY BODies </w:t>
      </w:r>
    </w:p>
    <w:p w:rsidR="006906D4" w:rsidRDefault="00CA07A0" w:rsidP="00E55533">
      <w:pPr>
        <w:pStyle w:val="BoxTitle"/>
        <w:spacing w:after="0"/>
      </w:pPr>
      <w:r>
        <w:t>Needs Assessment Task Force (NATF)</w:t>
      </w:r>
    </w:p>
    <w:p w:rsidR="00062136" w:rsidRPr="006906D4" w:rsidRDefault="006906D4" w:rsidP="00E55533">
      <w:pPr>
        <w:pStyle w:val="BoxTitle"/>
        <w:spacing w:after="0"/>
        <w:rPr>
          <w:sz w:val="24"/>
        </w:rPr>
      </w:pPr>
      <w:r w:rsidRPr="006906D4">
        <w:rPr>
          <w:sz w:val="24"/>
        </w:rPr>
        <w:t>ANNUAL REPORT 2012</w:t>
      </w:r>
    </w:p>
    <w:p w:rsidR="00062136" w:rsidRDefault="007D5F0E" w:rsidP="00E55533">
      <w:pPr>
        <w:pStyle w:val="BoxCirculated"/>
      </w:pPr>
      <w:r>
        <w:t xml:space="preserve">Circulated: </w:t>
      </w:r>
      <w:r w:rsidR="00AE712E">
        <w:t xml:space="preserve"> </w:t>
      </w:r>
      <w:r>
        <w:t>January 2013</w:t>
      </w:r>
    </w:p>
    <w:p w:rsidR="00CA07A0" w:rsidRDefault="00CA07A0" w:rsidP="00CA07A0">
      <w:pPr>
        <w:rPr>
          <w:lang w:val="en-US"/>
        </w:rPr>
      </w:pPr>
      <w:r w:rsidRPr="0044590B">
        <w:t>The IASC Task Force on Needs Assessment</w:t>
      </w:r>
      <w:r>
        <w:t xml:space="preserve"> (NATF)</w:t>
      </w:r>
      <w:r w:rsidRPr="0044590B">
        <w:t xml:space="preserve"> was established in June 2009, to “harmonise and promote cross-sector needs assessment initiatives for consistent, reliable and timely data on humanitarian needs in complex emergencies and natural disasters to strengthen informed decision-making and improve humanitarian response”.   </w:t>
      </w:r>
      <w:r>
        <w:t xml:space="preserve">These two years have seen </w:t>
      </w:r>
      <w:r>
        <w:rPr>
          <w:lang w:val="en-US"/>
        </w:rPr>
        <w:t xml:space="preserve">a concentrated focus by the NATF on creating a vision of what </w:t>
      </w:r>
      <w:bookmarkStart w:id="0" w:name="_GoBack"/>
      <w:bookmarkEnd w:id="0"/>
      <w:r>
        <w:rPr>
          <w:lang w:val="en-US"/>
        </w:rPr>
        <w:t xml:space="preserve">constitutes a coordinated approach to assessments in humanitarian contexts, and translating this into a set of guidance and tools which are laid out in the IASC NATF </w:t>
      </w:r>
      <w:r w:rsidRPr="00A94D84">
        <w:rPr>
          <w:i/>
          <w:iCs/>
          <w:lang w:val="en-US"/>
        </w:rPr>
        <w:t>Operational Guidance for Coordinated Assessments in Humanitarian Crises</w:t>
      </w:r>
      <w:r>
        <w:rPr>
          <w:lang w:val="en-US"/>
        </w:rPr>
        <w:t xml:space="preserve"> (Provisional Version, October 2011) and </w:t>
      </w:r>
      <w:r w:rsidRPr="00BB57DA">
        <w:rPr>
          <w:i/>
          <w:lang w:val="en-US"/>
        </w:rPr>
        <w:t>Multi-Cluster/Sector Initial Rapid Assessment</w:t>
      </w:r>
      <w:r>
        <w:rPr>
          <w:lang w:val="en-US"/>
        </w:rPr>
        <w:t xml:space="preserve"> (MIRA) Manual (Provisional Version, October 2011).</w:t>
      </w:r>
    </w:p>
    <w:p w:rsidR="00FD70CC" w:rsidRPr="00FD70CC" w:rsidRDefault="00FD70CC" w:rsidP="00FD70CC">
      <w:pPr>
        <w:pStyle w:val="Heading2"/>
        <w:numPr>
          <w:ilvl w:val="0"/>
          <w:numId w:val="21"/>
        </w:numPr>
        <w:rPr>
          <w:bCs w:val="0"/>
          <w:i w:val="0"/>
          <w:iCs w:val="0"/>
          <w:color w:val="000000"/>
          <w:sz w:val="28"/>
          <w:szCs w:val="20"/>
          <w:lang w:val="en-US"/>
        </w:rPr>
      </w:pPr>
      <w:r>
        <w:rPr>
          <w:bCs w:val="0"/>
          <w:i w:val="0"/>
          <w:iCs w:val="0"/>
          <w:color w:val="000000"/>
          <w:sz w:val="28"/>
          <w:szCs w:val="20"/>
          <w:lang w:val="en-US"/>
        </w:rPr>
        <w:t xml:space="preserve">Key Achievements against Work plan Targets </w:t>
      </w:r>
    </w:p>
    <w:p w:rsidR="00CA07A0" w:rsidRDefault="00CA07A0" w:rsidP="00CA07A0">
      <w:pPr>
        <w:rPr>
          <w:lang w:val="en-US"/>
        </w:rPr>
      </w:pPr>
      <w:r>
        <w:rPr>
          <w:szCs w:val="22"/>
          <w:lang w:val="en-US"/>
        </w:rPr>
        <w:t xml:space="preserve">The 2012 NATF work plan reflected </w:t>
      </w:r>
      <w:r w:rsidRPr="00CA07A0">
        <w:rPr>
          <w:szCs w:val="22"/>
          <w:lang w:val="en-US"/>
        </w:rPr>
        <w:t>a significant shift from</w:t>
      </w:r>
      <w:r>
        <w:rPr>
          <w:szCs w:val="22"/>
          <w:lang w:val="en-US"/>
        </w:rPr>
        <w:t xml:space="preserve"> developing and obtaining agreement on concepts to applying them in field settings while aligning with </w:t>
      </w:r>
      <w:r w:rsidRPr="00CA07A0">
        <w:rPr>
          <w:szCs w:val="22"/>
          <w:lang w:val="en-US"/>
        </w:rPr>
        <w:t xml:space="preserve">the IASC Transformative Actions.   The NATF, thus, </w:t>
      </w:r>
      <w:r>
        <w:rPr>
          <w:szCs w:val="22"/>
          <w:lang w:val="en-US"/>
        </w:rPr>
        <w:t>focused</w:t>
      </w:r>
      <w:r w:rsidRPr="00CA07A0">
        <w:rPr>
          <w:szCs w:val="22"/>
          <w:lang w:val="en-US"/>
        </w:rPr>
        <w:t xml:space="preserve"> on moving beyond outputs towards</w:t>
      </w:r>
      <w:r w:rsidRPr="00CA07A0">
        <w:rPr>
          <w:lang w:val="en-US"/>
        </w:rPr>
        <w:t xml:space="preserve"> </w:t>
      </w:r>
      <w:r w:rsidRPr="00AE56A4">
        <w:rPr>
          <w:lang w:val="en-US"/>
        </w:rPr>
        <w:t>outcome</w:t>
      </w:r>
      <w:r w:rsidRPr="00CA07A0">
        <w:rPr>
          <w:lang w:val="en-US"/>
        </w:rPr>
        <w:t xml:space="preserve">s, emphasizing five key components:  creating the </w:t>
      </w:r>
      <w:r w:rsidRPr="00CA07A0">
        <w:rPr>
          <w:bCs/>
          <w:lang w:val="en-US"/>
        </w:rPr>
        <w:t>predictable capacity</w:t>
      </w:r>
      <w:r w:rsidRPr="00CA07A0">
        <w:rPr>
          <w:lang w:val="en-US"/>
        </w:rPr>
        <w:t xml:space="preserve"> in-country and through global surge mechanisms that is necessary to implement a coordinated assessment approach in both protracted and new emergency contexts (with specific at</w:t>
      </w:r>
      <w:r>
        <w:rPr>
          <w:lang w:val="en-US"/>
        </w:rPr>
        <w:t>tention paid to L3 emergencies); facilitating assessment preparedness; implementing a learning strategy to inform modifications to the MIRA and Operational Guidance, and refining the Key Humanitarian Indicators in consultation with the global clusters to improve their quality, appropriateness and measurability.</w:t>
      </w:r>
    </w:p>
    <w:p w:rsidR="00CA07A0" w:rsidRPr="00CA07A0" w:rsidRDefault="00CA07A0" w:rsidP="00CA07A0">
      <w:pPr>
        <w:rPr>
          <w:lang w:val="en-US"/>
        </w:rPr>
      </w:pPr>
      <w:r>
        <w:rPr>
          <w:lang w:val="en-US"/>
        </w:rPr>
        <w:t>Key achievements during 2012 were:</w:t>
      </w:r>
    </w:p>
    <w:p w:rsidR="00FD70CC" w:rsidRDefault="00115C5B" w:rsidP="00FD70CC">
      <w:pPr>
        <w:pStyle w:val="ListParagraph"/>
        <w:numPr>
          <w:ilvl w:val="0"/>
          <w:numId w:val="18"/>
        </w:numPr>
      </w:pPr>
      <w:r>
        <w:t xml:space="preserve">A final capacity development strategy and set of materials was developed and utilized in 2012.  At the global level, in addition to 2 trainings for cluster representatives (see below under Section 3), </w:t>
      </w:r>
      <w:r w:rsidRPr="00AE56A4">
        <w:t>3 trainings were also held for OCHA staff,</w:t>
      </w:r>
      <w:r>
        <w:t xml:space="preserve"> 4 trainings for UNDAC roster members, 1 training for stand-by partner roster members.</w:t>
      </w:r>
    </w:p>
    <w:p w:rsidR="00115C5B" w:rsidRDefault="00D672B3" w:rsidP="00FD70CC">
      <w:pPr>
        <w:pStyle w:val="ListParagraph"/>
        <w:numPr>
          <w:ilvl w:val="0"/>
          <w:numId w:val="18"/>
        </w:numPr>
      </w:pPr>
      <w:r>
        <w:t xml:space="preserve">Field support missions (some inter-agency, some single agency) were provided to nine countries which include Sudan, South Sudan, Afghanistan, Yemen and the Philippines to aid in customizing and implementing the coordinated assessment approach and MIRA in setting characterized by protracted crises.  Missions were followed by </w:t>
      </w:r>
      <w:r w:rsidR="00AE56A4">
        <w:t>on-going</w:t>
      </w:r>
      <w:r>
        <w:t xml:space="preserve"> remote technical support.  </w:t>
      </w:r>
      <w:r w:rsidR="00361711">
        <w:t>In the Philippines, a field mission in January to implement a MIRA after Tropical Storm Washi was followed by remote technical support in November/December after Tropical Storm Bopha.</w:t>
      </w:r>
    </w:p>
    <w:p w:rsidR="00D672B3" w:rsidRDefault="00D672B3" w:rsidP="00D672B3">
      <w:pPr>
        <w:numPr>
          <w:ilvl w:val="0"/>
          <w:numId w:val="18"/>
        </w:numPr>
        <w:suppressAutoHyphens w:val="0"/>
        <w:autoSpaceDN/>
        <w:textAlignment w:val="auto"/>
        <w:rPr>
          <w:szCs w:val="22"/>
        </w:rPr>
      </w:pPr>
      <w:r>
        <w:rPr>
          <w:szCs w:val="22"/>
        </w:rPr>
        <w:t>Preparedness missions were undertaken in Indonesia, Colombia, Papua New Guinea and the Pacific Islands, to undertake a mapping of existing assessment capacities and tools, fo</w:t>
      </w:r>
      <w:r>
        <w:rPr>
          <w:szCs w:val="22"/>
        </w:rPr>
        <w:t>l</w:t>
      </w:r>
      <w:r>
        <w:rPr>
          <w:szCs w:val="22"/>
        </w:rPr>
        <w:t>lowed by technical assistance in the development of assessment preparedness plans, mech</w:t>
      </w:r>
      <w:r>
        <w:rPr>
          <w:szCs w:val="22"/>
        </w:rPr>
        <w:t>a</w:t>
      </w:r>
      <w:r>
        <w:rPr>
          <w:szCs w:val="22"/>
        </w:rPr>
        <w:lastRenderedPageBreak/>
        <w:t>nisms and tools, and training/capacity building for in-country actors.  Most recently, these preparedness activities were utilized in the Pacific Islands during the N</w:t>
      </w:r>
      <w:r>
        <w:rPr>
          <w:szCs w:val="22"/>
        </w:rPr>
        <w:t>o</w:t>
      </w:r>
      <w:r>
        <w:rPr>
          <w:szCs w:val="22"/>
        </w:rPr>
        <w:t xml:space="preserve">vember storms. </w:t>
      </w:r>
    </w:p>
    <w:p w:rsidR="00D672B3" w:rsidRDefault="00361711" w:rsidP="00361711">
      <w:pPr>
        <w:pStyle w:val="ListParagraph"/>
        <w:numPr>
          <w:ilvl w:val="0"/>
          <w:numId w:val="18"/>
        </w:numPr>
      </w:pPr>
      <w:r>
        <w:t>A communications strategy was development and implemented for the NATF, which resulted in the activation of the IASC NATF website (</w:t>
      </w:r>
      <w:hyperlink r:id="rId9" w:history="1">
        <w:r w:rsidRPr="00FA70A2">
          <w:rPr>
            <w:rStyle w:val="Hyperlink"/>
          </w:rPr>
          <w:t>http://assessments.humanitarianresponse.info/</w:t>
        </w:r>
      </w:hyperlink>
      <w:r>
        <w:t xml:space="preserve">) which serves as a platform for regular updates on the work of the NATF and a central location from which to access assessment tools, guidance and reports. </w:t>
      </w:r>
    </w:p>
    <w:p w:rsidR="00361711" w:rsidRPr="00EC4FDD" w:rsidRDefault="00361711" w:rsidP="00361711">
      <w:pPr>
        <w:pStyle w:val="ListParagraph"/>
        <w:numPr>
          <w:ilvl w:val="0"/>
          <w:numId w:val="18"/>
        </w:numPr>
      </w:pPr>
      <w:r>
        <w:t>An independent lessons learned review was commissioned to take stock of and reflect upon i</w:t>
      </w:r>
      <w:r>
        <w:rPr>
          <w:lang w:val="en-US"/>
        </w:rPr>
        <w:t xml:space="preserve">formation from application and use of the Operational Guidance and MIRA in field settings from 2011 – 2013.  The consultant undertook a desk review and key informant interviews, and subsequently provided recommendations which will guide an update to the MIRA and Operational Guidance.  </w:t>
      </w:r>
    </w:p>
    <w:p w:rsidR="00FD70CC" w:rsidRPr="00FD70CC" w:rsidRDefault="00FD70CC" w:rsidP="00FD70CC">
      <w:pPr>
        <w:pStyle w:val="Heading2"/>
        <w:numPr>
          <w:ilvl w:val="0"/>
          <w:numId w:val="21"/>
        </w:numPr>
        <w:rPr>
          <w:bCs w:val="0"/>
          <w:i w:val="0"/>
          <w:iCs w:val="0"/>
          <w:color w:val="000000"/>
          <w:sz w:val="28"/>
          <w:szCs w:val="20"/>
          <w:lang w:val="en-US"/>
        </w:rPr>
      </w:pPr>
      <w:r w:rsidRPr="00FD70CC">
        <w:rPr>
          <w:bCs w:val="0"/>
          <w:i w:val="0"/>
          <w:iCs w:val="0"/>
          <w:color w:val="000000"/>
          <w:sz w:val="28"/>
          <w:szCs w:val="20"/>
          <w:lang w:val="en-US"/>
        </w:rPr>
        <w:t xml:space="preserve">Challenges faced in 2012 </w:t>
      </w:r>
    </w:p>
    <w:p w:rsidR="00FD70CC" w:rsidRDefault="00EE7C9A" w:rsidP="00FD70CC">
      <w:pPr>
        <w:pStyle w:val="ListParagraph"/>
        <w:numPr>
          <w:ilvl w:val="0"/>
          <w:numId w:val="18"/>
        </w:numPr>
      </w:pPr>
      <w:r>
        <w:t>Demand for in-country and remote technical support for application of the coordinated assessment support was overwhelming, and sometimes exceeded the supply of available staff and financial resources.  Efforts to draw upon stand by partner rosters aided in providing some of the requested assistance</w:t>
      </w:r>
      <w:r w:rsidR="00707AD1">
        <w:t xml:space="preserve"> as did country-level capacity building exercises.  </w:t>
      </w:r>
    </w:p>
    <w:p w:rsidR="00E55533" w:rsidRDefault="00E55533" w:rsidP="00E55533">
      <w:pPr>
        <w:pStyle w:val="Heading2"/>
        <w:numPr>
          <w:ilvl w:val="0"/>
          <w:numId w:val="21"/>
        </w:numPr>
        <w:rPr>
          <w:bCs w:val="0"/>
          <w:i w:val="0"/>
          <w:iCs w:val="0"/>
          <w:color w:val="000000"/>
          <w:sz w:val="28"/>
          <w:szCs w:val="28"/>
          <w:lang w:val="en-US"/>
        </w:rPr>
      </w:pPr>
      <w:r>
        <w:rPr>
          <w:bCs w:val="0"/>
          <w:i w:val="0"/>
          <w:iCs w:val="0"/>
          <w:color w:val="000000"/>
          <w:sz w:val="28"/>
          <w:szCs w:val="28"/>
          <w:lang w:val="en-US"/>
        </w:rPr>
        <w:t xml:space="preserve">Any outcomes of your Subsidiary Body in relation to the </w:t>
      </w:r>
      <w:r w:rsidR="00AE56A4">
        <w:rPr>
          <w:bCs w:val="0"/>
          <w:i w:val="0"/>
          <w:iCs w:val="0"/>
          <w:color w:val="000000"/>
          <w:sz w:val="28"/>
          <w:szCs w:val="28"/>
          <w:lang w:val="en-US"/>
        </w:rPr>
        <w:t xml:space="preserve">Transformative </w:t>
      </w:r>
      <w:r w:rsidR="00AE56A4" w:rsidRPr="00E55533">
        <w:rPr>
          <w:bCs w:val="0"/>
          <w:i w:val="0"/>
          <w:iCs w:val="0"/>
          <w:color w:val="000000"/>
          <w:sz w:val="28"/>
          <w:szCs w:val="28"/>
          <w:lang w:val="en-US"/>
        </w:rPr>
        <w:t>Agenda</w:t>
      </w:r>
      <w:r>
        <w:rPr>
          <w:bCs w:val="0"/>
          <w:i w:val="0"/>
          <w:iCs w:val="0"/>
          <w:color w:val="000000"/>
          <w:sz w:val="28"/>
          <w:szCs w:val="28"/>
          <w:lang w:val="en-US"/>
        </w:rPr>
        <w:t xml:space="preserve"> in 2012 </w:t>
      </w:r>
    </w:p>
    <w:p w:rsidR="00F0666F" w:rsidRPr="00EC4FDD" w:rsidRDefault="00CA07A0" w:rsidP="00F0666F">
      <w:pPr>
        <w:pStyle w:val="ListParagraph"/>
        <w:numPr>
          <w:ilvl w:val="0"/>
          <w:numId w:val="18"/>
        </w:numPr>
        <w:rPr>
          <w:bCs/>
          <w:iCs/>
        </w:rPr>
      </w:pPr>
      <w:r w:rsidRPr="00EC4FDD">
        <w:rPr>
          <w:bCs/>
          <w:iCs/>
        </w:rPr>
        <w:t>Standard Operating Procedures (SOPs) for activating a coordinated assessment approach, most notably a MIRA, in response to a MIRA were developed and approved.</w:t>
      </w:r>
    </w:p>
    <w:p w:rsidR="00CA07A0" w:rsidRPr="00EC4FDD" w:rsidRDefault="00115C5B" w:rsidP="00F0666F">
      <w:pPr>
        <w:pStyle w:val="ListParagraph"/>
        <w:numPr>
          <w:ilvl w:val="0"/>
          <w:numId w:val="18"/>
        </w:numPr>
        <w:rPr>
          <w:bCs/>
          <w:iCs/>
        </w:rPr>
      </w:pPr>
      <w:r w:rsidRPr="00EC4FDD">
        <w:rPr>
          <w:bCs/>
          <w:iCs/>
        </w:rPr>
        <w:t xml:space="preserve">Two trainings were held for cluster representatives to prepare them for deployment to undertake a MIRA in both L3 and non-L3 contexts.  </w:t>
      </w:r>
    </w:p>
    <w:p w:rsidR="00361711" w:rsidRPr="00EC4FDD" w:rsidRDefault="00361711" w:rsidP="00F0666F">
      <w:pPr>
        <w:pStyle w:val="ListParagraph"/>
        <w:numPr>
          <w:ilvl w:val="0"/>
          <w:numId w:val="18"/>
        </w:numPr>
        <w:rPr>
          <w:bCs/>
          <w:iCs/>
        </w:rPr>
      </w:pPr>
      <w:r w:rsidRPr="00EC4FDD">
        <w:rPr>
          <w:bCs/>
          <w:iCs/>
        </w:rPr>
        <w:t xml:space="preserve">NATF representatives participated in two of the Transformative Agenda missions, to South Sudan and the Sahel, where coordinated assessments were identified as a priority area for assistance. </w:t>
      </w:r>
    </w:p>
    <w:p w:rsidR="00FD70CC" w:rsidRDefault="00E55533" w:rsidP="00FD70CC">
      <w:pPr>
        <w:pStyle w:val="Heading2"/>
        <w:numPr>
          <w:ilvl w:val="0"/>
          <w:numId w:val="21"/>
        </w:numPr>
        <w:rPr>
          <w:bCs w:val="0"/>
          <w:i w:val="0"/>
          <w:iCs w:val="0"/>
          <w:color w:val="000000"/>
          <w:sz w:val="28"/>
          <w:szCs w:val="28"/>
          <w:lang w:val="en-US"/>
        </w:rPr>
      </w:pPr>
      <w:r>
        <w:rPr>
          <w:bCs w:val="0"/>
          <w:i w:val="0"/>
          <w:iCs w:val="0"/>
          <w:color w:val="000000"/>
          <w:sz w:val="28"/>
          <w:szCs w:val="28"/>
          <w:lang w:val="en-US"/>
        </w:rPr>
        <w:t>Outstanding work of your Subsidiary Body requiring the attention of the IASC Working Group in 2013</w:t>
      </w:r>
    </w:p>
    <w:p w:rsidR="00FD70CC" w:rsidRPr="00F32FB8" w:rsidRDefault="00F32FB8" w:rsidP="00E55533">
      <w:pPr>
        <w:rPr>
          <w:lang w:val="en-US"/>
        </w:rPr>
      </w:pPr>
      <w:r w:rsidRPr="00F32FB8">
        <w:rPr>
          <w:b/>
          <w:bCs/>
          <w:i/>
          <w:iCs/>
        </w:rPr>
        <w:t xml:space="preserve">Please list </w:t>
      </w:r>
      <w:r w:rsidR="00E55533">
        <w:rPr>
          <w:b/>
          <w:bCs/>
          <w:i/>
          <w:iCs/>
        </w:rPr>
        <w:t xml:space="preserve">issues requiring the IASC Working Group’s attention </w:t>
      </w:r>
    </w:p>
    <w:p w:rsidR="00FD70CC" w:rsidRDefault="00EE7C9A" w:rsidP="00E55533">
      <w:pPr>
        <w:pStyle w:val="ListParagraph"/>
        <w:numPr>
          <w:ilvl w:val="0"/>
          <w:numId w:val="18"/>
        </w:numPr>
        <w:rPr>
          <w:lang w:val="en-US"/>
        </w:rPr>
      </w:pPr>
      <w:r>
        <w:rPr>
          <w:lang w:val="en-US"/>
        </w:rPr>
        <w:t>The revised and updated MIRA and Operational Guidance will be completed by 31 March 2013.</w:t>
      </w:r>
    </w:p>
    <w:p w:rsidR="00CA07A0" w:rsidRDefault="00115C5B" w:rsidP="00E55533">
      <w:pPr>
        <w:pStyle w:val="ListParagraph"/>
        <w:numPr>
          <w:ilvl w:val="0"/>
          <w:numId w:val="18"/>
        </w:numPr>
        <w:rPr>
          <w:lang w:val="en-US"/>
        </w:rPr>
      </w:pPr>
      <w:r>
        <w:rPr>
          <w:lang w:val="en-US"/>
        </w:rPr>
        <w:t xml:space="preserve">Efforts to revise the Key Humanitarian Indicators are underway with the global clusters engaged in a review and consultation process.  A revised list of indicators is scheduled to be available by 31 March 2013. </w:t>
      </w:r>
    </w:p>
    <w:p w:rsidR="00AE56A4" w:rsidRPr="00E55533" w:rsidRDefault="00AE56A4" w:rsidP="00E55533">
      <w:pPr>
        <w:pStyle w:val="ListParagraph"/>
        <w:numPr>
          <w:ilvl w:val="0"/>
          <w:numId w:val="18"/>
        </w:numPr>
        <w:rPr>
          <w:lang w:val="en-US"/>
        </w:rPr>
      </w:pPr>
      <w:r>
        <w:rPr>
          <w:lang w:val="en-US"/>
        </w:rPr>
        <w:t xml:space="preserve">Through field implementation and systematic review of lessons learned, some additional activities have been identified as priorities for further strengthening coordinated assessments, most notably (a) developing guidance on modifying the MIRA for conflicts and protracted crises and (b) continued support to Global Cluster Coordinators and global cluster lead agencies in establishing and maintaining rosters of individuals </w:t>
      </w:r>
      <w:r>
        <w:rPr>
          <w:lang w:val="en-US"/>
        </w:rPr>
        <w:lastRenderedPageBreak/>
        <w:t xml:space="preserve">will the appropriate knowledge, skills and training to effectively participate and/or lead coordinated assessments.  </w:t>
      </w:r>
    </w:p>
    <w:p w:rsidR="00FD70CC" w:rsidRDefault="00FD70CC" w:rsidP="00FD70CC">
      <w:pPr>
        <w:jc w:val="right"/>
        <w:rPr>
          <w:lang w:val="en-US"/>
        </w:rPr>
      </w:pPr>
      <w:r>
        <w:rPr>
          <w:lang w:val="en-US"/>
        </w:rPr>
        <w:t>Prepared by:</w:t>
      </w:r>
      <w:r w:rsidR="007D5F0E">
        <w:rPr>
          <w:lang w:val="en-US"/>
        </w:rPr>
        <w:t xml:space="preserve"> </w:t>
      </w:r>
    </w:p>
    <w:p w:rsidR="00EE7C9A" w:rsidRPr="00FD70CC" w:rsidRDefault="007D5F0E" w:rsidP="00FD70CC">
      <w:pPr>
        <w:jc w:val="right"/>
        <w:rPr>
          <w:lang w:val="en-US"/>
        </w:rPr>
      </w:pPr>
      <w:r>
        <w:rPr>
          <w:lang w:val="en-US"/>
        </w:rPr>
        <w:t>NATF, January 2013</w:t>
      </w:r>
    </w:p>
    <w:sectPr w:rsidR="00EE7C9A" w:rsidRPr="00FD70CC">
      <w:headerReference w:type="default" r:id="rId10"/>
      <w:footerReference w:type="default" r:id="rId11"/>
      <w:pgSz w:w="11906" w:h="16838"/>
      <w:pgMar w:top="1418" w:right="1701" w:bottom="1134" w:left="170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7D8" w:rsidRDefault="001447D8">
      <w:pPr>
        <w:spacing w:before="0" w:line="240" w:lineRule="auto"/>
      </w:pPr>
      <w:r>
        <w:separator/>
      </w:r>
    </w:p>
  </w:endnote>
  <w:endnote w:type="continuationSeparator" w:id="0">
    <w:p w:rsidR="001447D8" w:rsidRDefault="001447D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640" w:rsidRDefault="00AE712E">
    <w:pPr>
      <w:pStyle w:val="Footer"/>
    </w:pPr>
    <w:r>
      <w:rPr>
        <w:noProof/>
        <w:sz w:val="20"/>
        <w:lang w:val="en-GB" w:eastAsia="en-GB"/>
      </w:rPr>
      <mc:AlternateContent>
        <mc:Choice Requires="wps">
          <w:drawing>
            <wp:anchor distT="0" distB="0" distL="114300" distR="114300" simplePos="0" relativeHeight="251661312" behindDoc="0" locked="0" layoutInCell="1" allowOverlap="1" wp14:anchorId="217755E2" wp14:editId="7A267559">
              <wp:simplePos x="0" y="0"/>
              <wp:positionH relativeFrom="margin">
                <wp:align>right</wp:align>
              </wp:positionH>
              <wp:positionV relativeFrom="page">
                <wp:align>bottom</wp:align>
              </wp:positionV>
              <wp:extent cx="311152" cy="539752"/>
              <wp:effectExtent l="0" t="0" r="0" b="0"/>
              <wp:wrapNone/>
              <wp:docPr id="2" name="Text Box 1"/>
              <wp:cNvGraphicFramePr/>
              <a:graphic xmlns:a="http://schemas.openxmlformats.org/drawingml/2006/main">
                <a:graphicData uri="http://schemas.microsoft.com/office/word/2010/wordprocessingShape">
                  <wps:wsp>
                    <wps:cNvSpPr txBox="1"/>
                    <wps:spPr>
                      <a:xfrm>
                        <a:off x="0" y="0"/>
                        <a:ext cx="311152" cy="539752"/>
                      </a:xfrm>
                      <a:prstGeom prst="rect">
                        <a:avLst/>
                      </a:prstGeom>
                      <a:solidFill>
                        <a:srgbClr val="FFFFFF"/>
                      </a:solidFill>
                      <a:ln>
                        <a:noFill/>
                        <a:prstDash/>
                      </a:ln>
                    </wps:spPr>
                    <wps:txbx>
                      <w:txbxContent>
                        <w:p w:rsidR="00744640" w:rsidRDefault="00AE712E">
                          <w:pPr>
                            <w:pStyle w:val="Footer"/>
                            <w:pBdr>
                              <w:top w:val="none" w:sz="0" w:space="0" w:color="auto"/>
                            </w:pBdr>
                            <w:spacing w:before="0"/>
                            <w:jc w:val="right"/>
                          </w:pPr>
                          <w:r>
                            <w:rPr>
                              <w:rStyle w:val="PageNumber"/>
                            </w:rPr>
                            <w:fldChar w:fldCharType="begin"/>
                          </w:r>
                          <w:r>
                            <w:rPr>
                              <w:rStyle w:val="PageNumber"/>
                            </w:rPr>
                            <w:instrText xml:space="preserve"> PAGE </w:instrText>
                          </w:r>
                          <w:r>
                            <w:rPr>
                              <w:rStyle w:val="PageNumber"/>
                            </w:rPr>
                            <w:fldChar w:fldCharType="separate"/>
                          </w:r>
                          <w:r w:rsidR="007D5F0E">
                            <w:rPr>
                              <w:rStyle w:val="PageNumber"/>
                              <w:noProof/>
                            </w:rPr>
                            <w:t>1</w:t>
                          </w:r>
                          <w:r>
                            <w:rPr>
                              <w:rStyle w:val="PageNumber"/>
                            </w:rPr>
                            <w:fldChar w:fldCharType="end"/>
                          </w:r>
                        </w:p>
                      </w:txbxContent>
                    </wps:txbx>
                    <wps:bodyPr vert="horz" wrap="square" lIns="0" tIns="0" rIns="0" bIns="0" anchor="t" anchorCtr="0" compatLnSpc="0"/>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6.7pt;margin-top:0;width:24.5pt;height:42.5pt;z-index:251661312;visibility:visible;mso-wrap-style:square;mso-wrap-distance-left:9pt;mso-wrap-distance-top:0;mso-wrap-distance-right:9pt;mso-wrap-distance-bottom:0;mso-position-horizontal:right;mso-position-horizontal-relative:margin;mso-position-vertical:bottom;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" stroked="f">
              <v:textbox inset="0,0,0,0">
                <w:txbxContent>
                  <w:p w:rsidR="00744640" w:rsidRDefault="00AE712E">
                    <w:pPr>
                      <w:pStyle w:val="Footer"/>
                      <w:pBdr>
                        <w:top w:val="none" w:sz="0" w:space="0" w:color="auto"/>
                      </w:pBdr>
                      <w:spacing w:before="0"/>
                      <w:jc w:val="right"/>
                    </w:pPr>
                    <w:r>
                      <w:rPr>
                        <w:rStyle w:val="PageNumber"/>
                      </w:rPr>
                      <w:fldChar w:fldCharType="begin"/>
                    </w:r>
                    <w:r>
                      <w:rPr>
                        <w:rStyle w:val="PageNumber"/>
                      </w:rPr>
                      <w:instrText xml:space="preserve"> PAGE </w:instrText>
                    </w:r>
                    <w:r>
                      <w:rPr>
                        <w:rStyle w:val="PageNumber"/>
                      </w:rPr>
                      <w:fldChar w:fldCharType="separate"/>
                    </w:r>
                    <w:r w:rsidR="007D5F0E">
                      <w:rPr>
                        <w:rStyle w:val="PageNumber"/>
                        <w:noProof/>
                      </w:rPr>
                      <w:t>1</w:t>
                    </w:r>
                    <w:r>
                      <w:rPr>
                        <w:rStyle w:val="PageNumber"/>
                      </w:rPr>
                      <w:fldChar w:fldCharType="end"/>
                    </w:r>
                  </w:p>
                </w:txbxContent>
              </v:textbox>
              <w10:wrap anchorx="margin" anchory="page"/>
            </v:shape>
          </w:pict>
        </mc:Fallback>
      </mc:AlternateContent>
    </w:r>
    <w:r>
      <w:t>Inter-Agency Standing Committee (IASC)</w:t>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7D8" w:rsidRDefault="001447D8">
      <w:pPr>
        <w:spacing w:before="0" w:line="240" w:lineRule="auto"/>
      </w:pPr>
      <w:r>
        <w:rPr>
          <w:color w:val="000000"/>
        </w:rPr>
        <w:separator/>
      </w:r>
    </w:p>
  </w:footnote>
  <w:footnote w:type="continuationSeparator" w:id="0">
    <w:p w:rsidR="001447D8" w:rsidRDefault="001447D8">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640" w:rsidRDefault="00CA07A0">
    <w:pPr>
      <w:pStyle w:val="Header"/>
    </w:pPr>
    <w:r>
      <w:t>Needs Assessment Task Force (NATF)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76104"/>
    <w:multiLevelType w:val="multilevel"/>
    <w:tmpl w:val="27B46AA6"/>
    <w:lvl w:ilvl="0">
      <w:start w:val="1"/>
      <w:numFmt w:val="decimal"/>
      <w:lvlText w:val="%1."/>
      <w:lvlJc w:val="left"/>
      <w:pPr>
        <w:ind w:left="284" w:hanging="28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6C545E6"/>
    <w:multiLevelType w:val="multilevel"/>
    <w:tmpl w:val="B8040BC2"/>
    <w:styleLink w:val="LFO18"/>
    <w:lvl w:ilvl="0">
      <w:numFmt w:val="bullet"/>
      <w:pStyle w:val="ListBullet2"/>
      <w:lvlText w:val=""/>
      <w:lvlJc w:val="left"/>
      <w:pPr>
        <w:ind w:left="992" w:hanging="425"/>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nsid w:val="1F2627D3"/>
    <w:multiLevelType w:val="multilevel"/>
    <w:tmpl w:val="F460B4F2"/>
    <w:styleLink w:val="LFO40"/>
    <w:lvl w:ilvl="0">
      <w:start w:val="1"/>
      <w:numFmt w:val="lowerLetter"/>
      <w:pStyle w:val="ListCharacters"/>
      <w:lvlText w:val="(%1)"/>
      <w:lvlJc w:val="left"/>
      <w:pPr>
        <w:ind w:left="567" w:hanging="425"/>
      </w:pPr>
    </w:lvl>
    <w:lvl w:ilvl="1">
      <w:start w:val="1"/>
      <w:numFmt w:val="decimal"/>
      <w:lvlText w:val="%2."/>
      <w:lvlJc w:val="left"/>
      <w:pPr>
        <w:ind w:left="1364" w:hanging="284"/>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nsid w:val="246F65D6"/>
    <w:multiLevelType w:val="multilevel"/>
    <w:tmpl w:val="306C296C"/>
    <w:styleLink w:val="LFO28"/>
    <w:lvl w:ilvl="0">
      <w:start w:val="1"/>
      <w:numFmt w:val="decimal"/>
      <w:pStyle w:val="ListCharacters2"/>
      <w:lvlText w:val="%1."/>
      <w:lvlJc w:val="left"/>
      <w:pPr>
        <w:ind w:left="992" w:hanging="425"/>
      </w:pPr>
    </w:lvl>
    <w:lvl w:ilvl="1">
      <w:start w:val="1"/>
      <w:numFmt w:val="lowerLetter"/>
      <w:lvlText w:val="(%2)"/>
      <w:lvlJc w:val="left"/>
      <w:pPr>
        <w:ind w:left="1505" w:hanging="425"/>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nsid w:val="2F534FF6"/>
    <w:multiLevelType w:val="multilevel"/>
    <w:tmpl w:val="8CAAF910"/>
    <w:styleLink w:val="WWOutlineListStyle"/>
    <w:lvl w:ilvl="0">
      <w:start w:val="1"/>
      <w:numFmt w:val="upperRoman"/>
      <w:lvlText w:val="%1"/>
      <w:lvlJc w:val="left"/>
      <w:pPr>
        <w:ind w:left="567" w:hanging="567"/>
      </w:pPr>
    </w:lvl>
    <w:lvl w:ilvl="1">
      <w:start w:val="1"/>
      <w:numFmt w:val="decimal"/>
      <w:lvlText w:val="%1.%2"/>
      <w:lvlJc w:val="left"/>
      <w:pPr>
        <w:ind w:left="567" w:hanging="567"/>
      </w:pPr>
    </w:lvl>
    <w:lvl w:ilvl="2">
      <w:start w:val="1"/>
      <w:numFmt w:val="decimal"/>
      <w:lvlText w:val="%1.%2.%3"/>
      <w:lvlJc w:val="left"/>
      <w:pPr>
        <w:ind w:left="567" w:hanging="567"/>
      </w:pPr>
    </w:lvl>
    <w:lvl w:ilvl="3">
      <w:start w:val="1"/>
      <w:numFmt w:val="decimal"/>
      <w:lvlText w:val="%1.%2.%3.%4"/>
      <w:lvlJc w:val="left"/>
      <w:pPr>
        <w:ind w:left="567" w:hanging="567"/>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2FD36713"/>
    <w:multiLevelType w:val="multilevel"/>
    <w:tmpl w:val="2FE8587C"/>
    <w:styleLink w:val="LFO42"/>
    <w:lvl w:ilvl="0">
      <w:numFmt w:val="bullet"/>
      <w:pStyle w:val="TableBullet"/>
      <w:lvlText w:val=""/>
      <w:lvlJc w:val="left"/>
      <w:pPr>
        <w:ind w:left="284" w:hanging="284"/>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nsid w:val="316A632E"/>
    <w:multiLevelType w:val="hybridMultilevel"/>
    <w:tmpl w:val="40CE7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0F0D5C"/>
    <w:multiLevelType w:val="hybridMultilevel"/>
    <w:tmpl w:val="82AA3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6DD6C96"/>
    <w:multiLevelType w:val="multilevel"/>
    <w:tmpl w:val="2182E646"/>
    <w:styleLink w:val="LFO34"/>
    <w:lvl w:ilvl="0">
      <w:start w:val="1"/>
      <w:numFmt w:val="decimal"/>
      <w:pStyle w:val="ListNumber"/>
      <w:lvlText w:val="%1."/>
      <w:lvlJc w:val="left"/>
      <w:pPr>
        <w:ind w:left="284" w:hanging="284"/>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nsid w:val="3F0F581B"/>
    <w:multiLevelType w:val="multilevel"/>
    <w:tmpl w:val="B6CA03C0"/>
    <w:styleLink w:val="LFO16"/>
    <w:lvl w:ilvl="0">
      <w:numFmt w:val="bullet"/>
      <w:pStyle w:val="ListBullet"/>
      <w:lvlText w:val=""/>
      <w:lvlJc w:val="left"/>
      <w:pPr>
        <w:ind w:left="567" w:hanging="425"/>
      </w:pPr>
      <w:rPr>
        <w:rFonts w:ascii="Wingdings" w:hAnsi="Wingdings"/>
      </w:rPr>
    </w:lvl>
    <w:lvl w:ilvl="1">
      <w:start w:val="1"/>
      <w:numFmt w:val="decimal"/>
      <w:lvlText w:val="%2."/>
      <w:lvlJc w:val="left"/>
      <w:pPr>
        <w:ind w:left="1364" w:hanging="284"/>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nsid w:val="3F1C65A4"/>
    <w:multiLevelType w:val="multilevel"/>
    <w:tmpl w:val="26B097D4"/>
    <w:styleLink w:val="LFO20"/>
    <w:lvl w:ilvl="0">
      <w:start w:val="1"/>
      <w:numFmt w:val="decimal"/>
      <w:pStyle w:val="ActionSub-Point"/>
      <w:lvlText w:val="%1."/>
      <w:lvlJc w:val="left"/>
      <w:pPr>
        <w:ind w:left="567" w:hanging="425"/>
      </w:pPr>
      <w:rPr>
        <w:rFonts w:ascii="Times New Roman" w:hAnsi="Times New Roman"/>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E3B7C44"/>
    <w:multiLevelType w:val="hybridMultilevel"/>
    <w:tmpl w:val="3EC452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53E7125"/>
    <w:multiLevelType w:val="hybridMultilevel"/>
    <w:tmpl w:val="C2FE0E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B8E3111"/>
    <w:multiLevelType w:val="multilevel"/>
    <w:tmpl w:val="3176E290"/>
    <w:styleLink w:val="WWOutlineListStyle1"/>
    <w:lvl w:ilvl="0">
      <w:start w:val="1"/>
      <w:numFmt w:val="upperRoman"/>
      <w:lvlText w:val="%1"/>
      <w:lvlJc w:val="left"/>
      <w:pPr>
        <w:ind w:left="567" w:hanging="567"/>
      </w:pPr>
    </w:lvl>
    <w:lvl w:ilvl="1">
      <w:start w:val="1"/>
      <w:numFmt w:val="decimal"/>
      <w:lvlText w:val="%1.%2"/>
      <w:lvlJc w:val="left"/>
      <w:pPr>
        <w:ind w:left="567" w:hanging="567"/>
      </w:pPr>
    </w:lvl>
    <w:lvl w:ilvl="2">
      <w:start w:val="1"/>
      <w:numFmt w:val="decimal"/>
      <w:lvlText w:val="%1.%2.%3"/>
      <w:lvlJc w:val="left"/>
      <w:pPr>
        <w:ind w:left="567" w:hanging="567"/>
      </w:pPr>
    </w:lvl>
    <w:lvl w:ilvl="3">
      <w:start w:val="1"/>
      <w:numFmt w:val="decimal"/>
      <w:lvlText w:val="%1.%2.%3.%4"/>
      <w:lvlJc w:val="left"/>
      <w:pPr>
        <w:ind w:left="567" w:hanging="567"/>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65BE04A2"/>
    <w:multiLevelType w:val="multilevel"/>
    <w:tmpl w:val="E5906654"/>
    <w:styleLink w:val="LFO39"/>
    <w:lvl w:ilvl="0">
      <w:start w:val="1"/>
      <w:numFmt w:val="decimal"/>
      <w:pStyle w:val="TableNumbered"/>
      <w:lvlText w:val="%1."/>
      <w:lvlJc w:val="left"/>
      <w:pPr>
        <w:ind w:left="284" w:hanging="284"/>
      </w:pPr>
    </w:lvl>
    <w:lvl w:ilvl="1">
      <w:start w:val="1"/>
      <w:numFmt w:val="decimal"/>
      <w:lvlText w:val="%2."/>
      <w:lvlJc w:val="left"/>
      <w:pPr>
        <w:ind w:left="1364" w:hanging="284"/>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nsid w:val="6F764E56"/>
    <w:multiLevelType w:val="multilevel"/>
    <w:tmpl w:val="00A07862"/>
    <w:styleLink w:val="WWOutlineListStyle2"/>
    <w:lvl w:ilvl="0">
      <w:start w:val="1"/>
      <w:numFmt w:val="upperRoman"/>
      <w:lvlText w:val="%1"/>
      <w:lvlJc w:val="left"/>
      <w:pPr>
        <w:ind w:left="567" w:hanging="567"/>
      </w:pPr>
    </w:lvl>
    <w:lvl w:ilvl="1">
      <w:start w:val="1"/>
      <w:numFmt w:val="decimal"/>
      <w:lvlText w:val="%1.%2"/>
      <w:lvlJc w:val="left"/>
      <w:pPr>
        <w:ind w:left="567" w:hanging="567"/>
      </w:pPr>
    </w:lvl>
    <w:lvl w:ilvl="2">
      <w:start w:val="1"/>
      <w:numFmt w:val="decimal"/>
      <w:lvlText w:val="%1.%2.%3"/>
      <w:lvlJc w:val="left"/>
      <w:pPr>
        <w:ind w:left="567" w:hanging="567"/>
      </w:pPr>
    </w:lvl>
    <w:lvl w:ilvl="3">
      <w:start w:val="1"/>
      <w:numFmt w:val="decimal"/>
      <w:lvlText w:val="%1.%2.%3.%4"/>
      <w:lvlJc w:val="left"/>
      <w:pPr>
        <w:ind w:left="567" w:hanging="567"/>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71341C77"/>
    <w:multiLevelType w:val="hybridMultilevel"/>
    <w:tmpl w:val="3C60B83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72D23F45"/>
    <w:multiLevelType w:val="multilevel"/>
    <w:tmpl w:val="13E46F36"/>
    <w:styleLink w:val="LFO43"/>
    <w:lvl w:ilvl="0">
      <w:start w:val="1"/>
      <w:numFmt w:val="decimal"/>
      <w:pStyle w:val="ListNumbered"/>
      <w:lvlText w:val="%1."/>
      <w:lvlJc w:val="left"/>
      <w:pPr>
        <w:ind w:left="567" w:hanging="42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8314D85"/>
    <w:multiLevelType w:val="multilevel"/>
    <w:tmpl w:val="6CF6A268"/>
    <w:styleLink w:val="WWOutlineListStyle3"/>
    <w:lvl w:ilvl="0">
      <w:start w:val="1"/>
      <w:numFmt w:val="upperRoman"/>
      <w:pStyle w:val="Heading1"/>
      <w:lvlText w:val="%1"/>
      <w:lvlJc w:val="left"/>
      <w:pPr>
        <w:ind w:left="567" w:hanging="567"/>
      </w:pPr>
    </w:lvl>
    <w:lvl w:ilvl="1">
      <w:start w:val="1"/>
      <w:numFmt w:val="decimal"/>
      <w:pStyle w:val="Heading2"/>
      <w:lvlText w:val="%1.%2"/>
      <w:lvlJc w:val="left"/>
      <w:pPr>
        <w:ind w:left="567" w:hanging="567"/>
      </w:pPr>
    </w:lvl>
    <w:lvl w:ilvl="2">
      <w:start w:val="1"/>
      <w:numFmt w:val="decimal"/>
      <w:pStyle w:val="Heading3"/>
      <w:lvlText w:val="%1.%2.%3"/>
      <w:lvlJc w:val="left"/>
      <w:pPr>
        <w:ind w:left="567" w:hanging="567"/>
      </w:pPr>
    </w:lvl>
    <w:lvl w:ilvl="3">
      <w:start w:val="1"/>
      <w:numFmt w:val="decimal"/>
      <w:pStyle w:val="Heading4"/>
      <w:lvlText w:val="%1.%2.%3.%4"/>
      <w:lvlJc w:val="left"/>
      <w:pPr>
        <w:ind w:left="567" w:hanging="567"/>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nsid w:val="7B427147"/>
    <w:multiLevelType w:val="multilevel"/>
    <w:tmpl w:val="F43EB7F0"/>
    <w:styleLink w:val="LFO47"/>
    <w:lvl w:ilvl="0">
      <w:start w:val="1"/>
      <w:numFmt w:val="lowerLetter"/>
      <w:pStyle w:val="ActionCharacter"/>
      <w:lvlText w:val="(%1)"/>
      <w:lvlJc w:val="left"/>
      <w:pPr>
        <w:ind w:left="425"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8"/>
  </w:num>
  <w:num w:numId="2">
    <w:abstractNumId w:val="15"/>
  </w:num>
  <w:num w:numId="3">
    <w:abstractNumId w:val="13"/>
  </w:num>
  <w:num w:numId="4">
    <w:abstractNumId w:val="4"/>
  </w:num>
  <w:num w:numId="5">
    <w:abstractNumId w:val="9"/>
  </w:num>
  <w:num w:numId="6">
    <w:abstractNumId w:val="1"/>
  </w:num>
  <w:num w:numId="7">
    <w:abstractNumId w:val="10"/>
  </w:num>
  <w:num w:numId="8">
    <w:abstractNumId w:val="3"/>
  </w:num>
  <w:num w:numId="9">
    <w:abstractNumId w:val="8"/>
  </w:num>
  <w:num w:numId="10">
    <w:abstractNumId w:val="14"/>
  </w:num>
  <w:num w:numId="11">
    <w:abstractNumId w:val="2"/>
  </w:num>
  <w:num w:numId="12">
    <w:abstractNumId w:val="5"/>
  </w:num>
  <w:num w:numId="13">
    <w:abstractNumId w:val="17"/>
  </w:num>
  <w:num w:numId="14">
    <w:abstractNumId w:val="19"/>
  </w:num>
  <w:num w:numId="15">
    <w:abstractNumId w:val="0"/>
  </w:num>
  <w:num w:numId="16">
    <w:abstractNumId w:val="7"/>
  </w:num>
  <w:num w:numId="17">
    <w:abstractNumId w:val="6"/>
  </w:num>
  <w:num w:numId="18">
    <w:abstractNumId w:val="12"/>
  </w:num>
  <w:num w:numId="19">
    <w:abstractNumId w:val="18"/>
  </w:num>
  <w:num w:numId="20">
    <w:abstractNumId w:val="18"/>
  </w:num>
  <w:num w:numId="21">
    <w:abstractNumId w:val="16"/>
  </w:num>
  <w:num w:numId="22">
    <w:abstractNumId w:val="18"/>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
  <w:rsids>
    <w:rsidRoot w:val="00CA07A0"/>
    <w:rsid w:val="00062136"/>
    <w:rsid w:val="000F43FC"/>
    <w:rsid w:val="00115C5B"/>
    <w:rsid w:val="001447D8"/>
    <w:rsid w:val="0022384E"/>
    <w:rsid w:val="00361711"/>
    <w:rsid w:val="003F7E8A"/>
    <w:rsid w:val="004651D1"/>
    <w:rsid w:val="004A3784"/>
    <w:rsid w:val="006906D4"/>
    <w:rsid w:val="00707AD1"/>
    <w:rsid w:val="007A2F5B"/>
    <w:rsid w:val="007D5F0E"/>
    <w:rsid w:val="00986634"/>
    <w:rsid w:val="00AE56A4"/>
    <w:rsid w:val="00AE712E"/>
    <w:rsid w:val="00B9655D"/>
    <w:rsid w:val="00BE3F83"/>
    <w:rsid w:val="00CA07A0"/>
    <w:rsid w:val="00D204BF"/>
    <w:rsid w:val="00D672B3"/>
    <w:rsid w:val="00E46118"/>
    <w:rsid w:val="00E55533"/>
    <w:rsid w:val="00EC4FDD"/>
    <w:rsid w:val="00EE7C9A"/>
    <w:rsid w:val="00F0666F"/>
    <w:rsid w:val="00F32FB8"/>
    <w:rsid w:val="00F73C4D"/>
    <w:rsid w:val="00FD70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tabs>
        <w:tab w:val="left" w:pos="567"/>
        <w:tab w:val="left" w:pos="992"/>
      </w:tabs>
      <w:suppressAutoHyphens/>
      <w:spacing w:before="180" w:line="280" w:lineRule="exact"/>
      <w:jc w:val="both"/>
    </w:pPr>
    <w:rPr>
      <w:sz w:val="22"/>
      <w:szCs w:val="24"/>
      <w:lang w:eastAsia="en-US"/>
    </w:rPr>
  </w:style>
  <w:style w:type="paragraph" w:styleId="Heading1">
    <w:name w:val="heading 1"/>
    <w:basedOn w:val="Normal"/>
    <w:next w:val="Normal"/>
    <w:pPr>
      <w:keepNext/>
      <w:keepLines/>
      <w:numPr>
        <w:numId w:val="1"/>
      </w:numPr>
      <w:autoSpaceDE w:val="0"/>
      <w:spacing w:before="360" w:line="360" w:lineRule="exact"/>
      <w:jc w:val="left"/>
      <w:outlineLvl w:val="0"/>
    </w:pPr>
    <w:rPr>
      <w:b/>
      <w:color w:val="000000"/>
      <w:sz w:val="28"/>
      <w:szCs w:val="20"/>
      <w:lang w:val="en-US"/>
    </w:rPr>
  </w:style>
  <w:style w:type="paragraph" w:styleId="Heading2">
    <w:name w:val="heading 2"/>
    <w:basedOn w:val="Normal"/>
    <w:next w:val="Normal"/>
    <w:pPr>
      <w:keepNext/>
      <w:numPr>
        <w:ilvl w:val="1"/>
        <w:numId w:val="1"/>
      </w:numPr>
      <w:spacing w:before="300" w:after="120"/>
      <w:jc w:val="left"/>
      <w:outlineLvl w:val="1"/>
    </w:pPr>
    <w:rPr>
      <w:b/>
      <w:bCs/>
      <w:i/>
      <w:iCs/>
    </w:rPr>
  </w:style>
  <w:style w:type="paragraph" w:styleId="Heading3">
    <w:name w:val="heading 3"/>
    <w:basedOn w:val="Normal"/>
    <w:next w:val="Normal"/>
    <w:pPr>
      <w:keepNext/>
      <w:numPr>
        <w:ilvl w:val="2"/>
        <w:numId w:val="1"/>
      </w:numPr>
      <w:spacing w:before="240" w:after="120"/>
      <w:jc w:val="left"/>
      <w:outlineLvl w:val="2"/>
    </w:pPr>
    <w:rPr>
      <w:rFonts w:cs="Arial"/>
      <w:bCs/>
      <w:i/>
      <w:szCs w:val="26"/>
      <w:u w:val="single"/>
    </w:rPr>
  </w:style>
  <w:style w:type="paragraph" w:styleId="Heading4">
    <w:name w:val="heading 4"/>
    <w:basedOn w:val="Normal"/>
    <w:next w:val="Normal"/>
    <w:pPr>
      <w:keepNext/>
      <w:numPr>
        <w:ilvl w:val="3"/>
        <w:numId w:val="1"/>
      </w:numPr>
      <w:tabs>
        <w:tab w:val="clear" w:pos="567"/>
        <w:tab w:val="clear" w:pos="992"/>
        <w:tab w:val="left" w:pos="-1276"/>
        <w:tab w:val="left" w:pos="-1188"/>
      </w:tabs>
      <w:spacing w:before="120" w:after="120"/>
      <w:outlineLvl w:val="3"/>
    </w:pPr>
    <w:rPr>
      <w:bCs/>
      <w:i/>
      <w:szCs w:val="28"/>
    </w:rPr>
  </w:style>
  <w:style w:type="paragraph" w:styleId="Heading5">
    <w:name w:val="heading 5"/>
    <w:basedOn w:val="Normal"/>
    <w:next w:val="Normal"/>
    <w:pPr>
      <w:numPr>
        <w:ilvl w:val="4"/>
        <w:numId w:val="1"/>
      </w:numPr>
      <w:tabs>
        <w:tab w:val="clear" w:pos="567"/>
        <w:tab w:val="clear" w:pos="992"/>
        <w:tab w:val="left" w:pos="-3024"/>
      </w:tabs>
      <w:spacing w:before="120" w:after="120"/>
      <w:outlineLvl w:val="4"/>
    </w:pPr>
    <w:rPr>
      <w:bCs/>
      <w:i/>
      <w:iCs/>
      <w:szCs w:val="26"/>
    </w:rPr>
  </w:style>
  <w:style w:type="paragraph" w:styleId="Heading6">
    <w:name w:val="heading 6"/>
    <w:basedOn w:val="Normal"/>
    <w:next w:val="Normal"/>
    <w:pPr>
      <w:keepNext/>
      <w:numPr>
        <w:ilvl w:val="5"/>
        <w:numId w:val="1"/>
      </w:numPr>
      <w:tabs>
        <w:tab w:val="clear" w:pos="567"/>
        <w:tab w:val="clear" w:pos="992"/>
        <w:tab w:val="left" w:pos="-3616"/>
        <w:tab w:val="left" w:pos="-3456"/>
      </w:tabs>
      <w:spacing w:before="120" w:after="120"/>
      <w:outlineLvl w:val="5"/>
    </w:pPr>
    <w:rPr>
      <w:i/>
      <w:iCs/>
      <w:sz w:val="24"/>
    </w:rPr>
  </w:style>
  <w:style w:type="paragraph" w:styleId="Heading7">
    <w:name w:val="heading 7"/>
    <w:basedOn w:val="Normal"/>
    <w:next w:val="Normal"/>
    <w:pPr>
      <w:numPr>
        <w:ilvl w:val="6"/>
        <w:numId w:val="1"/>
      </w:numPr>
      <w:tabs>
        <w:tab w:val="clear" w:pos="567"/>
        <w:tab w:val="clear" w:pos="992"/>
        <w:tab w:val="left" w:pos="-4192"/>
        <w:tab w:val="left" w:pos="-3888"/>
      </w:tabs>
      <w:spacing w:before="120" w:after="120"/>
      <w:outlineLvl w:val="6"/>
    </w:pPr>
    <w:rPr>
      <w:i/>
    </w:rPr>
  </w:style>
  <w:style w:type="paragraph" w:styleId="Heading8">
    <w:name w:val="heading 8"/>
    <w:basedOn w:val="Normal"/>
    <w:next w:val="Normal"/>
    <w:pPr>
      <w:numPr>
        <w:ilvl w:val="7"/>
        <w:numId w:val="1"/>
      </w:numPr>
      <w:tabs>
        <w:tab w:val="clear" w:pos="567"/>
        <w:tab w:val="clear" w:pos="992"/>
        <w:tab w:val="left" w:pos="-4768"/>
        <w:tab w:val="left" w:pos="-4320"/>
      </w:tabs>
      <w:spacing w:before="120" w:after="120"/>
      <w:outlineLvl w:val="7"/>
    </w:pPr>
    <w:rPr>
      <w:i/>
      <w:iCs/>
    </w:rPr>
  </w:style>
  <w:style w:type="paragraph" w:styleId="Heading9">
    <w:name w:val="heading 9"/>
    <w:basedOn w:val="Normal"/>
    <w:next w:val="Normal"/>
    <w:pPr>
      <w:numPr>
        <w:ilvl w:val="8"/>
        <w:numId w:val="1"/>
      </w:numPr>
      <w:tabs>
        <w:tab w:val="clear" w:pos="567"/>
        <w:tab w:val="clear" w:pos="992"/>
        <w:tab w:val="left" w:pos="-5344"/>
        <w:tab w:val="left" w:pos="-4752"/>
      </w:tabs>
      <w:spacing w:before="120" w:after="120"/>
      <w:outlineLvl w:val="8"/>
    </w:pPr>
    <w:rPr>
      <w:rFonts w:cs="Arial"/>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3">
    <w:name w:val="WW_OutlineListStyle_3"/>
    <w:basedOn w:val="NoList"/>
    <w:pPr>
      <w:numPr>
        <w:numId w:val="1"/>
      </w:numPr>
    </w:pPr>
  </w:style>
  <w:style w:type="paragraph" w:styleId="Header">
    <w:name w:val="header"/>
    <w:basedOn w:val="Normal"/>
    <w:pPr>
      <w:pBdr>
        <w:bottom w:val="single" w:sz="4" w:space="3" w:color="000000"/>
      </w:pBdr>
      <w:tabs>
        <w:tab w:val="clear" w:pos="567"/>
        <w:tab w:val="clear" w:pos="992"/>
        <w:tab w:val="center" w:pos="4153"/>
        <w:tab w:val="right" w:pos="8505"/>
      </w:tabs>
      <w:jc w:val="left"/>
    </w:pPr>
    <w:rPr>
      <w:sz w:val="19"/>
      <w:lang w:val="en-US"/>
    </w:rPr>
  </w:style>
  <w:style w:type="paragraph" w:styleId="Footer">
    <w:name w:val="footer"/>
    <w:basedOn w:val="Normal"/>
    <w:pPr>
      <w:pBdr>
        <w:top w:val="single" w:sz="4" w:space="3" w:color="000000"/>
      </w:pBdr>
      <w:tabs>
        <w:tab w:val="clear" w:pos="567"/>
        <w:tab w:val="clear" w:pos="992"/>
        <w:tab w:val="center" w:pos="4253"/>
        <w:tab w:val="right" w:pos="8505"/>
      </w:tabs>
      <w:jc w:val="left"/>
    </w:pPr>
    <w:rPr>
      <w:sz w:val="19"/>
      <w:lang w:val="en-US"/>
    </w:rPr>
  </w:style>
  <w:style w:type="character" w:styleId="PageNumber">
    <w:name w:val="page number"/>
    <w:basedOn w:val="DefaultParagraphFont"/>
  </w:style>
  <w:style w:type="paragraph" w:customStyle="1" w:styleId="ActionNumbered">
    <w:name w:val="Action Numbered"/>
    <w:basedOn w:val="Normal"/>
    <w:pPr>
      <w:spacing w:after="120"/>
      <w:ind w:right="284"/>
      <w:jc w:val="left"/>
    </w:pPr>
  </w:style>
  <w:style w:type="paragraph" w:styleId="ListBullet">
    <w:name w:val="List Bullet"/>
    <w:basedOn w:val="Normal"/>
    <w:pPr>
      <w:numPr>
        <w:numId w:val="5"/>
      </w:numPr>
      <w:spacing w:before="120" w:after="120"/>
      <w:jc w:val="left"/>
    </w:pPr>
  </w:style>
  <w:style w:type="paragraph" w:styleId="ListBullet2">
    <w:name w:val="List Bullet 2"/>
    <w:basedOn w:val="Normal"/>
    <w:pPr>
      <w:numPr>
        <w:numId w:val="6"/>
      </w:numPr>
      <w:tabs>
        <w:tab w:val="clear" w:pos="567"/>
        <w:tab w:val="clear" w:pos="992"/>
        <w:tab w:val="left" w:pos="-2976"/>
      </w:tabs>
      <w:spacing w:before="120" w:after="120"/>
      <w:jc w:val="left"/>
    </w:pPr>
  </w:style>
  <w:style w:type="paragraph" w:customStyle="1" w:styleId="Author">
    <w:name w:val="Author"/>
    <w:basedOn w:val="Normal"/>
    <w:pPr>
      <w:jc w:val="right"/>
    </w:pPr>
    <w:rPr>
      <w:sz w:val="19"/>
    </w:rPr>
  </w:style>
  <w:style w:type="paragraph" w:styleId="Title">
    <w:name w:val="Title"/>
    <w:basedOn w:val="Normal"/>
    <w:pPr>
      <w:spacing w:before="360" w:after="240" w:line="360" w:lineRule="exact"/>
      <w:jc w:val="left"/>
      <w:outlineLvl w:val="0"/>
    </w:pPr>
    <w:rPr>
      <w:b/>
      <w:kern w:val="3"/>
      <w:sz w:val="32"/>
      <w:szCs w:val="32"/>
    </w:rPr>
  </w:style>
  <w:style w:type="paragraph" w:customStyle="1" w:styleId="TableHead">
    <w:name w:val="Table Head"/>
    <w:basedOn w:val="Normal"/>
    <w:pPr>
      <w:spacing w:before="120" w:after="120" w:line="240" w:lineRule="exact"/>
      <w:jc w:val="left"/>
    </w:pPr>
    <w:rPr>
      <w:b/>
      <w:bCs/>
      <w:sz w:val="19"/>
    </w:rPr>
  </w:style>
  <w:style w:type="paragraph" w:customStyle="1" w:styleId="TableText">
    <w:name w:val="Table Text"/>
    <w:pPr>
      <w:tabs>
        <w:tab w:val="left" w:pos="284"/>
        <w:tab w:val="left" w:pos="567"/>
        <w:tab w:val="left" w:pos="992"/>
      </w:tabs>
      <w:suppressAutoHyphens/>
      <w:spacing w:before="120" w:after="120" w:line="240" w:lineRule="exact"/>
    </w:pPr>
    <w:rPr>
      <w:bCs/>
      <w:sz w:val="19"/>
      <w:lang w:eastAsia="en-US"/>
    </w:rPr>
  </w:style>
  <w:style w:type="paragraph" w:customStyle="1" w:styleId="TableBullet">
    <w:name w:val="Table Bullet"/>
    <w:basedOn w:val="TableText"/>
    <w:pPr>
      <w:numPr>
        <w:numId w:val="12"/>
      </w:numPr>
      <w:tabs>
        <w:tab w:val="clear" w:pos="284"/>
        <w:tab w:val="clear" w:pos="567"/>
        <w:tab w:val="clear" w:pos="992"/>
        <w:tab w:val="left" w:pos="-852"/>
        <w:tab w:val="left" w:pos="-776"/>
        <w:tab w:val="left" w:pos="-144"/>
      </w:tabs>
    </w:pPr>
  </w:style>
  <w:style w:type="paragraph" w:customStyle="1" w:styleId="ListNumbered">
    <w:name w:val="List Numbered"/>
    <w:basedOn w:val="Normal"/>
    <w:pPr>
      <w:numPr>
        <w:numId w:val="13"/>
      </w:numPr>
      <w:spacing w:before="120" w:after="120"/>
      <w:jc w:val="left"/>
    </w:pPr>
  </w:style>
  <w:style w:type="paragraph" w:customStyle="1" w:styleId="ListNumbered2">
    <w:name w:val="List Numbered 2"/>
    <w:basedOn w:val="Normal"/>
    <w:pPr>
      <w:tabs>
        <w:tab w:val="clear" w:pos="567"/>
        <w:tab w:val="clear" w:pos="992"/>
        <w:tab w:val="left" w:pos="0"/>
      </w:tabs>
      <w:spacing w:before="120" w:after="120"/>
      <w:jc w:val="left"/>
    </w:pPr>
    <w:rPr>
      <w:lang w:val="en-US"/>
    </w:rPr>
  </w:style>
  <w:style w:type="paragraph" w:customStyle="1" w:styleId="TableNumbered">
    <w:name w:val="Table Numbered"/>
    <w:basedOn w:val="TableText"/>
    <w:pPr>
      <w:numPr>
        <w:numId w:val="10"/>
      </w:numPr>
      <w:tabs>
        <w:tab w:val="clear" w:pos="284"/>
        <w:tab w:val="clear" w:pos="567"/>
        <w:tab w:val="clear" w:pos="992"/>
        <w:tab w:val="left" w:pos="-852"/>
        <w:tab w:val="left" w:pos="-776"/>
        <w:tab w:val="left" w:pos="-569"/>
      </w:tabs>
    </w:pPr>
  </w:style>
  <w:style w:type="paragraph" w:styleId="FootnoteText">
    <w:name w:val="footnote text"/>
    <w:basedOn w:val="Normal"/>
    <w:pPr>
      <w:tabs>
        <w:tab w:val="clear" w:pos="567"/>
        <w:tab w:val="left" w:pos="284"/>
      </w:tabs>
      <w:spacing w:before="0" w:line="240" w:lineRule="exact"/>
      <w:ind w:left="284" w:hanging="284"/>
      <w:jc w:val="left"/>
    </w:pPr>
    <w:rPr>
      <w:sz w:val="19"/>
      <w:szCs w:val="20"/>
    </w:rPr>
  </w:style>
  <w:style w:type="character" w:styleId="FootnoteReference">
    <w:name w:val="footnote reference"/>
    <w:basedOn w:val="DefaultParagraphFont"/>
    <w:rPr>
      <w:position w:val="0"/>
      <w:vertAlign w:val="superscript"/>
    </w:rPr>
  </w:style>
  <w:style w:type="paragraph" w:styleId="TOC1">
    <w:name w:val="toc 1"/>
    <w:basedOn w:val="Normal"/>
    <w:next w:val="Normal"/>
    <w:autoRedefine/>
    <w:pPr>
      <w:tabs>
        <w:tab w:val="clear" w:pos="992"/>
        <w:tab w:val="right" w:leader="dot" w:pos="8505"/>
      </w:tabs>
      <w:spacing w:before="120"/>
      <w:ind w:left="567" w:right="566" w:hanging="567"/>
    </w:pPr>
    <w:rPr>
      <w:szCs w:val="28"/>
    </w:rPr>
  </w:style>
  <w:style w:type="paragraph" w:styleId="TOC2">
    <w:name w:val="toc 2"/>
    <w:basedOn w:val="Normal"/>
    <w:next w:val="Normal"/>
    <w:autoRedefine/>
    <w:pPr>
      <w:tabs>
        <w:tab w:val="clear" w:pos="567"/>
        <w:tab w:val="clear" w:pos="992"/>
        <w:tab w:val="left" w:pos="1134"/>
        <w:tab w:val="right" w:leader="dot" w:pos="8505"/>
      </w:tabs>
      <w:spacing w:before="0"/>
      <w:ind w:left="1134" w:right="566" w:hanging="567"/>
    </w:pPr>
    <w:rPr>
      <w:sz w:val="20"/>
    </w:rPr>
  </w:style>
  <w:style w:type="paragraph" w:styleId="TOC3">
    <w:name w:val="toc 3"/>
    <w:basedOn w:val="Normal"/>
    <w:next w:val="Normal"/>
    <w:autoRedefine/>
    <w:pPr>
      <w:tabs>
        <w:tab w:val="clear" w:pos="567"/>
        <w:tab w:val="clear" w:pos="992"/>
        <w:tab w:val="left" w:pos="1701"/>
        <w:tab w:val="right" w:leader="dot" w:pos="8505"/>
      </w:tabs>
      <w:spacing w:before="0"/>
      <w:ind w:left="1701" w:right="567" w:hanging="567"/>
    </w:pPr>
    <w:rPr>
      <w:sz w:val="20"/>
    </w:rPr>
  </w:style>
  <w:style w:type="paragraph" w:styleId="TOC4">
    <w:name w:val="toc 4"/>
    <w:basedOn w:val="Normal"/>
    <w:next w:val="Normal"/>
    <w:autoRedefine/>
    <w:pPr>
      <w:tabs>
        <w:tab w:val="clear" w:pos="567"/>
        <w:tab w:val="clear" w:pos="992"/>
      </w:tabs>
      <w:ind w:left="720"/>
    </w:pPr>
  </w:style>
  <w:style w:type="paragraph" w:styleId="TOC5">
    <w:name w:val="toc 5"/>
    <w:basedOn w:val="Normal"/>
    <w:next w:val="Normal"/>
    <w:autoRedefine/>
    <w:pPr>
      <w:tabs>
        <w:tab w:val="clear" w:pos="567"/>
        <w:tab w:val="clear" w:pos="992"/>
      </w:tabs>
      <w:ind w:left="960"/>
    </w:pPr>
  </w:style>
  <w:style w:type="paragraph" w:styleId="TOC6">
    <w:name w:val="toc 6"/>
    <w:basedOn w:val="Normal"/>
    <w:next w:val="Normal"/>
    <w:autoRedefine/>
    <w:pPr>
      <w:tabs>
        <w:tab w:val="clear" w:pos="567"/>
        <w:tab w:val="clear" w:pos="992"/>
      </w:tabs>
      <w:ind w:left="1200"/>
    </w:pPr>
  </w:style>
  <w:style w:type="paragraph" w:styleId="TOC7">
    <w:name w:val="toc 7"/>
    <w:basedOn w:val="Normal"/>
    <w:next w:val="Normal"/>
    <w:autoRedefine/>
    <w:pPr>
      <w:tabs>
        <w:tab w:val="clear" w:pos="567"/>
        <w:tab w:val="clear" w:pos="992"/>
      </w:tabs>
      <w:ind w:left="1440"/>
    </w:pPr>
  </w:style>
  <w:style w:type="paragraph" w:styleId="TOC8">
    <w:name w:val="toc 8"/>
    <w:basedOn w:val="Normal"/>
    <w:next w:val="Normal"/>
    <w:autoRedefine/>
    <w:pPr>
      <w:tabs>
        <w:tab w:val="clear" w:pos="567"/>
        <w:tab w:val="clear" w:pos="992"/>
      </w:tabs>
      <w:ind w:left="1680"/>
    </w:pPr>
  </w:style>
  <w:style w:type="paragraph" w:styleId="TOC9">
    <w:name w:val="toc 9"/>
    <w:basedOn w:val="Normal"/>
    <w:next w:val="Normal"/>
    <w:autoRedefine/>
    <w:pPr>
      <w:tabs>
        <w:tab w:val="clear" w:pos="567"/>
        <w:tab w:val="clear" w:pos="992"/>
      </w:tabs>
      <w:ind w:left="1920"/>
    </w:pPr>
  </w:style>
  <w:style w:type="character" w:styleId="Hyperlink">
    <w:name w:val="Hyperlink"/>
    <w:basedOn w:val="DefaultParagraphFont"/>
    <w:rPr>
      <w:color w:val="0000FF"/>
      <w:u w:val="single"/>
    </w:rPr>
  </w:style>
  <w:style w:type="paragraph" w:customStyle="1" w:styleId="ListCharacters">
    <w:name w:val="List Characters"/>
    <w:basedOn w:val="ListNumbered"/>
    <w:pPr>
      <w:numPr>
        <w:numId w:val="11"/>
      </w:numPr>
    </w:pPr>
  </w:style>
  <w:style w:type="paragraph" w:styleId="ListNumber">
    <w:name w:val="List Number"/>
    <w:basedOn w:val="Normal"/>
    <w:pPr>
      <w:numPr>
        <w:numId w:val="9"/>
      </w:numPr>
      <w:tabs>
        <w:tab w:val="clear" w:pos="567"/>
        <w:tab w:val="clear" w:pos="992"/>
        <w:tab w:val="left" w:pos="-852"/>
        <w:tab w:val="left" w:pos="-569"/>
        <w:tab w:val="left" w:pos="-144"/>
      </w:tabs>
    </w:pPr>
  </w:style>
  <w:style w:type="paragraph" w:customStyle="1" w:styleId="ActionSub-Point">
    <w:name w:val="Action Sub-Point"/>
    <w:basedOn w:val="ActionNumbered"/>
    <w:pPr>
      <w:numPr>
        <w:numId w:val="7"/>
      </w:numPr>
      <w:tabs>
        <w:tab w:val="clear" w:pos="567"/>
        <w:tab w:val="clear" w:pos="992"/>
        <w:tab w:val="left" w:pos="-567"/>
        <w:tab w:val="left" w:pos="-141"/>
      </w:tabs>
      <w:spacing w:before="120"/>
    </w:pPr>
  </w:style>
  <w:style w:type="paragraph" w:customStyle="1" w:styleId="BoxBanner">
    <w:name w:val="Box Banner"/>
    <w:basedOn w:val="Normal"/>
    <w:pPr>
      <w:pBdr>
        <w:top w:val="single" w:sz="4" w:space="14" w:color="000000"/>
        <w:left w:val="single" w:sz="4" w:space="0" w:color="000000"/>
        <w:bottom w:val="single" w:sz="4" w:space="12" w:color="000000"/>
        <w:right w:val="single" w:sz="4" w:space="0" w:color="000000"/>
      </w:pBdr>
      <w:tabs>
        <w:tab w:val="clear" w:pos="567"/>
        <w:tab w:val="clear" w:pos="992"/>
        <w:tab w:val="center" w:pos="4253"/>
      </w:tabs>
      <w:spacing w:before="0" w:line="320" w:lineRule="exact"/>
      <w:jc w:val="center"/>
    </w:pPr>
    <w:rPr>
      <w:bCs/>
      <w:caps/>
    </w:rPr>
  </w:style>
  <w:style w:type="paragraph" w:customStyle="1" w:styleId="ActionCharacter">
    <w:name w:val="Action Character"/>
    <w:basedOn w:val="Normal"/>
    <w:pPr>
      <w:numPr>
        <w:numId w:val="14"/>
      </w:numPr>
      <w:spacing w:after="120"/>
      <w:ind w:right="284"/>
      <w:jc w:val="left"/>
    </w:pPr>
  </w:style>
  <w:style w:type="paragraph" w:customStyle="1" w:styleId="BoxTitle">
    <w:name w:val="Box Title"/>
    <w:basedOn w:val="Normal"/>
    <w:pPr>
      <w:pBdr>
        <w:top w:val="single" w:sz="4" w:space="14" w:color="000000"/>
        <w:left w:val="single" w:sz="4" w:space="0" w:color="000000"/>
        <w:bottom w:val="single" w:sz="4" w:space="12" w:color="000000"/>
        <w:right w:val="single" w:sz="4" w:space="0" w:color="000000"/>
      </w:pBdr>
      <w:tabs>
        <w:tab w:val="clear" w:pos="567"/>
        <w:tab w:val="clear" w:pos="992"/>
      </w:tabs>
      <w:spacing w:before="320" w:after="320" w:line="400" w:lineRule="exact"/>
      <w:jc w:val="center"/>
    </w:pPr>
    <w:rPr>
      <w:b/>
      <w:bCs/>
      <w:sz w:val="32"/>
      <w:lang w:eastAsia="en-GB"/>
    </w:rPr>
  </w:style>
  <w:style w:type="paragraph" w:customStyle="1" w:styleId="BoxSub">
    <w:name w:val="Box Sub"/>
    <w:basedOn w:val="Normal"/>
    <w:pPr>
      <w:pBdr>
        <w:top w:val="single" w:sz="4" w:space="14" w:color="000000"/>
        <w:left w:val="single" w:sz="4" w:space="0" w:color="000000"/>
        <w:bottom w:val="single" w:sz="4" w:space="12" w:color="000000"/>
        <w:right w:val="single" w:sz="4" w:space="0" w:color="000000"/>
      </w:pBdr>
      <w:tabs>
        <w:tab w:val="clear" w:pos="567"/>
        <w:tab w:val="clear" w:pos="992"/>
      </w:tabs>
      <w:spacing w:before="0"/>
      <w:jc w:val="center"/>
    </w:pPr>
  </w:style>
  <w:style w:type="paragraph" w:customStyle="1" w:styleId="BoxCirculated">
    <w:name w:val="Box Circulated"/>
    <w:basedOn w:val="Normal"/>
    <w:pPr>
      <w:pBdr>
        <w:top w:val="single" w:sz="4" w:space="14" w:color="000000"/>
        <w:left w:val="single" w:sz="4" w:space="0" w:color="000000"/>
        <w:bottom w:val="single" w:sz="4" w:space="12" w:color="000000"/>
        <w:right w:val="single" w:sz="4" w:space="0" w:color="000000"/>
      </w:pBdr>
      <w:tabs>
        <w:tab w:val="clear" w:pos="567"/>
        <w:tab w:val="clear" w:pos="992"/>
      </w:tabs>
      <w:spacing w:before="120" w:line="240" w:lineRule="exact"/>
      <w:jc w:val="center"/>
    </w:pPr>
    <w:rPr>
      <w:i/>
      <w:iCs/>
      <w:sz w:val="19"/>
      <w:lang w:eastAsia="en-GB"/>
    </w:rPr>
  </w:style>
  <w:style w:type="paragraph" w:customStyle="1" w:styleId="ListCharacters2">
    <w:name w:val="List Characters 2"/>
    <w:basedOn w:val="Normal"/>
    <w:pPr>
      <w:numPr>
        <w:numId w:val="8"/>
      </w:numPr>
      <w:tabs>
        <w:tab w:val="clear" w:pos="567"/>
        <w:tab w:val="clear" w:pos="992"/>
        <w:tab w:val="left" w:pos="-1983"/>
      </w:tabs>
      <w:jc w:val="left"/>
    </w:pPr>
  </w:style>
  <w:style w:type="paragraph" w:styleId="ListParagraph">
    <w:name w:val="List Paragraph"/>
    <w:basedOn w:val="Normal"/>
    <w:pPr>
      <w:ind w:left="720"/>
    </w:pPr>
  </w:style>
  <w:style w:type="numbering" w:customStyle="1" w:styleId="WWOutlineListStyle2">
    <w:name w:val="WW_OutlineListStyle_2"/>
    <w:basedOn w:val="NoList"/>
    <w:pPr>
      <w:numPr>
        <w:numId w:val="2"/>
      </w:numPr>
    </w:pPr>
  </w:style>
  <w:style w:type="numbering" w:customStyle="1" w:styleId="WWOutlineListStyle1">
    <w:name w:val="WW_OutlineListStyle_1"/>
    <w:basedOn w:val="NoList"/>
    <w:pPr>
      <w:numPr>
        <w:numId w:val="3"/>
      </w:numPr>
    </w:pPr>
  </w:style>
  <w:style w:type="numbering" w:customStyle="1" w:styleId="WWOutlineListStyle">
    <w:name w:val="WW_OutlineListStyle"/>
    <w:basedOn w:val="NoList"/>
    <w:pPr>
      <w:numPr>
        <w:numId w:val="4"/>
      </w:numPr>
    </w:pPr>
  </w:style>
  <w:style w:type="numbering" w:customStyle="1" w:styleId="LFO16">
    <w:name w:val="LFO16"/>
    <w:basedOn w:val="NoList"/>
    <w:pPr>
      <w:numPr>
        <w:numId w:val="5"/>
      </w:numPr>
    </w:pPr>
  </w:style>
  <w:style w:type="numbering" w:customStyle="1" w:styleId="LFO18">
    <w:name w:val="LFO18"/>
    <w:basedOn w:val="NoList"/>
    <w:pPr>
      <w:numPr>
        <w:numId w:val="6"/>
      </w:numPr>
    </w:pPr>
  </w:style>
  <w:style w:type="numbering" w:customStyle="1" w:styleId="LFO20">
    <w:name w:val="LFO20"/>
    <w:basedOn w:val="NoList"/>
    <w:pPr>
      <w:numPr>
        <w:numId w:val="7"/>
      </w:numPr>
    </w:pPr>
  </w:style>
  <w:style w:type="numbering" w:customStyle="1" w:styleId="LFO28">
    <w:name w:val="LFO28"/>
    <w:basedOn w:val="NoList"/>
    <w:pPr>
      <w:numPr>
        <w:numId w:val="8"/>
      </w:numPr>
    </w:pPr>
  </w:style>
  <w:style w:type="numbering" w:customStyle="1" w:styleId="LFO34">
    <w:name w:val="LFO34"/>
    <w:basedOn w:val="NoList"/>
    <w:pPr>
      <w:numPr>
        <w:numId w:val="9"/>
      </w:numPr>
    </w:pPr>
  </w:style>
  <w:style w:type="numbering" w:customStyle="1" w:styleId="LFO39">
    <w:name w:val="LFO39"/>
    <w:basedOn w:val="NoList"/>
    <w:pPr>
      <w:numPr>
        <w:numId w:val="10"/>
      </w:numPr>
    </w:pPr>
  </w:style>
  <w:style w:type="numbering" w:customStyle="1" w:styleId="LFO40">
    <w:name w:val="LFO40"/>
    <w:basedOn w:val="NoList"/>
    <w:pPr>
      <w:numPr>
        <w:numId w:val="11"/>
      </w:numPr>
    </w:pPr>
  </w:style>
  <w:style w:type="numbering" w:customStyle="1" w:styleId="LFO42">
    <w:name w:val="LFO42"/>
    <w:basedOn w:val="NoList"/>
    <w:pPr>
      <w:numPr>
        <w:numId w:val="12"/>
      </w:numPr>
    </w:pPr>
  </w:style>
  <w:style w:type="numbering" w:customStyle="1" w:styleId="LFO43">
    <w:name w:val="LFO43"/>
    <w:basedOn w:val="NoList"/>
    <w:pPr>
      <w:numPr>
        <w:numId w:val="13"/>
      </w:numPr>
    </w:pPr>
  </w:style>
  <w:style w:type="numbering" w:customStyle="1" w:styleId="LFO47">
    <w:name w:val="LFO47"/>
    <w:basedOn w:val="NoList"/>
    <w:pPr>
      <w:numPr>
        <w:numId w:val="14"/>
      </w:numPr>
    </w:pPr>
  </w:style>
  <w:style w:type="character" w:styleId="CommentReference">
    <w:name w:val="annotation reference"/>
    <w:basedOn w:val="DefaultParagraphFont"/>
    <w:uiPriority w:val="99"/>
    <w:semiHidden/>
    <w:unhideWhenUsed/>
    <w:rsid w:val="000F43FC"/>
    <w:rPr>
      <w:sz w:val="16"/>
      <w:szCs w:val="16"/>
    </w:rPr>
  </w:style>
  <w:style w:type="paragraph" w:styleId="CommentText">
    <w:name w:val="annotation text"/>
    <w:basedOn w:val="Normal"/>
    <w:link w:val="CommentTextChar"/>
    <w:uiPriority w:val="99"/>
    <w:semiHidden/>
    <w:unhideWhenUsed/>
    <w:rsid w:val="000F43FC"/>
    <w:pPr>
      <w:spacing w:line="240" w:lineRule="auto"/>
    </w:pPr>
    <w:rPr>
      <w:sz w:val="20"/>
      <w:szCs w:val="20"/>
    </w:rPr>
  </w:style>
  <w:style w:type="character" w:customStyle="1" w:styleId="CommentTextChar">
    <w:name w:val="Comment Text Char"/>
    <w:basedOn w:val="DefaultParagraphFont"/>
    <w:link w:val="CommentText"/>
    <w:uiPriority w:val="99"/>
    <w:semiHidden/>
    <w:rsid w:val="000F43FC"/>
    <w:rPr>
      <w:lang w:eastAsia="en-US"/>
    </w:rPr>
  </w:style>
  <w:style w:type="paragraph" w:styleId="CommentSubject">
    <w:name w:val="annotation subject"/>
    <w:basedOn w:val="CommentText"/>
    <w:next w:val="CommentText"/>
    <w:link w:val="CommentSubjectChar"/>
    <w:uiPriority w:val="99"/>
    <w:semiHidden/>
    <w:unhideWhenUsed/>
    <w:rsid w:val="000F43FC"/>
    <w:rPr>
      <w:b/>
      <w:bCs/>
    </w:rPr>
  </w:style>
  <w:style w:type="character" w:customStyle="1" w:styleId="CommentSubjectChar">
    <w:name w:val="Comment Subject Char"/>
    <w:basedOn w:val="CommentTextChar"/>
    <w:link w:val="CommentSubject"/>
    <w:uiPriority w:val="99"/>
    <w:semiHidden/>
    <w:rsid w:val="000F43FC"/>
    <w:rPr>
      <w:b/>
      <w:bCs/>
      <w:lang w:eastAsia="en-US"/>
    </w:rPr>
  </w:style>
  <w:style w:type="paragraph" w:styleId="BalloonText">
    <w:name w:val="Balloon Text"/>
    <w:basedOn w:val="Normal"/>
    <w:link w:val="BalloonTextChar"/>
    <w:uiPriority w:val="99"/>
    <w:semiHidden/>
    <w:unhideWhenUsed/>
    <w:rsid w:val="000F43FC"/>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3F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tabs>
        <w:tab w:val="left" w:pos="567"/>
        <w:tab w:val="left" w:pos="992"/>
      </w:tabs>
      <w:suppressAutoHyphens/>
      <w:spacing w:before="180" w:line="280" w:lineRule="exact"/>
      <w:jc w:val="both"/>
    </w:pPr>
    <w:rPr>
      <w:sz w:val="22"/>
      <w:szCs w:val="24"/>
      <w:lang w:eastAsia="en-US"/>
    </w:rPr>
  </w:style>
  <w:style w:type="paragraph" w:styleId="Heading1">
    <w:name w:val="heading 1"/>
    <w:basedOn w:val="Normal"/>
    <w:next w:val="Normal"/>
    <w:pPr>
      <w:keepNext/>
      <w:keepLines/>
      <w:numPr>
        <w:numId w:val="1"/>
      </w:numPr>
      <w:autoSpaceDE w:val="0"/>
      <w:spacing w:before="360" w:line="360" w:lineRule="exact"/>
      <w:jc w:val="left"/>
      <w:outlineLvl w:val="0"/>
    </w:pPr>
    <w:rPr>
      <w:b/>
      <w:color w:val="000000"/>
      <w:sz w:val="28"/>
      <w:szCs w:val="20"/>
      <w:lang w:val="en-US"/>
    </w:rPr>
  </w:style>
  <w:style w:type="paragraph" w:styleId="Heading2">
    <w:name w:val="heading 2"/>
    <w:basedOn w:val="Normal"/>
    <w:next w:val="Normal"/>
    <w:pPr>
      <w:keepNext/>
      <w:numPr>
        <w:ilvl w:val="1"/>
        <w:numId w:val="1"/>
      </w:numPr>
      <w:spacing w:before="300" w:after="120"/>
      <w:jc w:val="left"/>
      <w:outlineLvl w:val="1"/>
    </w:pPr>
    <w:rPr>
      <w:b/>
      <w:bCs/>
      <w:i/>
      <w:iCs/>
    </w:rPr>
  </w:style>
  <w:style w:type="paragraph" w:styleId="Heading3">
    <w:name w:val="heading 3"/>
    <w:basedOn w:val="Normal"/>
    <w:next w:val="Normal"/>
    <w:pPr>
      <w:keepNext/>
      <w:numPr>
        <w:ilvl w:val="2"/>
        <w:numId w:val="1"/>
      </w:numPr>
      <w:spacing w:before="240" w:after="120"/>
      <w:jc w:val="left"/>
      <w:outlineLvl w:val="2"/>
    </w:pPr>
    <w:rPr>
      <w:rFonts w:cs="Arial"/>
      <w:bCs/>
      <w:i/>
      <w:szCs w:val="26"/>
      <w:u w:val="single"/>
    </w:rPr>
  </w:style>
  <w:style w:type="paragraph" w:styleId="Heading4">
    <w:name w:val="heading 4"/>
    <w:basedOn w:val="Normal"/>
    <w:next w:val="Normal"/>
    <w:pPr>
      <w:keepNext/>
      <w:numPr>
        <w:ilvl w:val="3"/>
        <w:numId w:val="1"/>
      </w:numPr>
      <w:tabs>
        <w:tab w:val="clear" w:pos="567"/>
        <w:tab w:val="clear" w:pos="992"/>
        <w:tab w:val="left" w:pos="-1276"/>
        <w:tab w:val="left" w:pos="-1188"/>
      </w:tabs>
      <w:spacing w:before="120" w:after="120"/>
      <w:outlineLvl w:val="3"/>
    </w:pPr>
    <w:rPr>
      <w:bCs/>
      <w:i/>
      <w:szCs w:val="28"/>
    </w:rPr>
  </w:style>
  <w:style w:type="paragraph" w:styleId="Heading5">
    <w:name w:val="heading 5"/>
    <w:basedOn w:val="Normal"/>
    <w:next w:val="Normal"/>
    <w:pPr>
      <w:numPr>
        <w:ilvl w:val="4"/>
        <w:numId w:val="1"/>
      </w:numPr>
      <w:tabs>
        <w:tab w:val="clear" w:pos="567"/>
        <w:tab w:val="clear" w:pos="992"/>
        <w:tab w:val="left" w:pos="-3024"/>
      </w:tabs>
      <w:spacing w:before="120" w:after="120"/>
      <w:outlineLvl w:val="4"/>
    </w:pPr>
    <w:rPr>
      <w:bCs/>
      <w:i/>
      <w:iCs/>
      <w:szCs w:val="26"/>
    </w:rPr>
  </w:style>
  <w:style w:type="paragraph" w:styleId="Heading6">
    <w:name w:val="heading 6"/>
    <w:basedOn w:val="Normal"/>
    <w:next w:val="Normal"/>
    <w:pPr>
      <w:keepNext/>
      <w:numPr>
        <w:ilvl w:val="5"/>
        <w:numId w:val="1"/>
      </w:numPr>
      <w:tabs>
        <w:tab w:val="clear" w:pos="567"/>
        <w:tab w:val="clear" w:pos="992"/>
        <w:tab w:val="left" w:pos="-3616"/>
        <w:tab w:val="left" w:pos="-3456"/>
      </w:tabs>
      <w:spacing w:before="120" w:after="120"/>
      <w:outlineLvl w:val="5"/>
    </w:pPr>
    <w:rPr>
      <w:i/>
      <w:iCs/>
      <w:sz w:val="24"/>
    </w:rPr>
  </w:style>
  <w:style w:type="paragraph" w:styleId="Heading7">
    <w:name w:val="heading 7"/>
    <w:basedOn w:val="Normal"/>
    <w:next w:val="Normal"/>
    <w:pPr>
      <w:numPr>
        <w:ilvl w:val="6"/>
        <w:numId w:val="1"/>
      </w:numPr>
      <w:tabs>
        <w:tab w:val="clear" w:pos="567"/>
        <w:tab w:val="clear" w:pos="992"/>
        <w:tab w:val="left" w:pos="-4192"/>
        <w:tab w:val="left" w:pos="-3888"/>
      </w:tabs>
      <w:spacing w:before="120" w:after="120"/>
      <w:outlineLvl w:val="6"/>
    </w:pPr>
    <w:rPr>
      <w:i/>
    </w:rPr>
  </w:style>
  <w:style w:type="paragraph" w:styleId="Heading8">
    <w:name w:val="heading 8"/>
    <w:basedOn w:val="Normal"/>
    <w:next w:val="Normal"/>
    <w:pPr>
      <w:numPr>
        <w:ilvl w:val="7"/>
        <w:numId w:val="1"/>
      </w:numPr>
      <w:tabs>
        <w:tab w:val="clear" w:pos="567"/>
        <w:tab w:val="clear" w:pos="992"/>
        <w:tab w:val="left" w:pos="-4768"/>
        <w:tab w:val="left" w:pos="-4320"/>
      </w:tabs>
      <w:spacing w:before="120" w:after="120"/>
      <w:outlineLvl w:val="7"/>
    </w:pPr>
    <w:rPr>
      <w:i/>
      <w:iCs/>
    </w:rPr>
  </w:style>
  <w:style w:type="paragraph" w:styleId="Heading9">
    <w:name w:val="heading 9"/>
    <w:basedOn w:val="Normal"/>
    <w:next w:val="Normal"/>
    <w:pPr>
      <w:numPr>
        <w:ilvl w:val="8"/>
        <w:numId w:val="1"/>
      </w:numPr>
      <w:tabs>
        <w:tab w:val="clear" w:pos="567"/>
        <w:tab w:val="clear" w:pos="992"/>
        <w:tab w:val="left" w:pos="-5344"/>
        <w:tab w:val="left" w:pos="-4752"/>
      </w:tabs>
      <w:spacing w:before="120" w:after="120"/>
      <w:outlineLvl w:val="8"/>
    </w:pPr>
    <w:rPr>
      <w:rFonts w:cs="Arial"/>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3">
    <w:name w:val="WW_OutlineListStyle_3"/>
    <w:basedOn w:val="NoList"/>
    <w:pPr>
      <w:numPr>
        <w:numId w:val="1"/>
      </w:numPr>
    </w:pPr>
  </w:style>
  <w:style w:type="paragraph" w:styleId="Header">
    <w:name w:val="header"/>
    <w:basedOn w:val="Normal"/>
    <w:pPr>
      <w:pBdr>
        <w:bottom w:val="single" w:sz="4" w:space="3" w:color="000000"/>
      </w:pBdr>
      <w:tabs>
        <w:tab w:val="clear" w:pos="567"/>
        <w:tab w:val="clear" w:pos="992"/>
        <w:tab w:val="center" w:pos="4153"/>
        <w:tab w:val="right" w:pos="8505"/>
      </w:tabs>
      <w:jc w:val="left"/>
    </w:pPr>
    <w:rPr>
      <w:sz w:val="19"/>
      <w:lang w:val="en-US"/>
    </w:rPr>
  </w:style>
  <w:style w:type="paragraph" w:styleId="Footer">
    <w:name w:val="footer"/>
    <w:basedOn w:val="Normal"/>
    <w:pPr>
      <w:pBdr>
        <w:top w:val="single" w:sz="4" w:space="3" w:color="000000"/>
      </w:pBdr>
      <w:tabs>
        <w:tab w:val="clear" w:pos="567"/>
        <w:tab w:val="clear" w:pos="992"/>
        <w:tab w:val="center" w:pos="4253"/>
        <w:tab w:val="right" w:pos="8505"/>
      </w:tabs>
      <w:jc w:val="left"/>
    </w:pPr>
    <w:rPr>
      <w:sz w:val="19"/>
      <w:lang w:val="en-US"/>
    </w:rPr>
  </w:style>
  <w:style w:type="character" w:styleId="PageNumber">
    <w:name w:val="page number"/>
    <w:basedOn w:val="DefaultParagraphFont"/>
  </w:style>
  <w:style w:type="paragraph" w:customStyle="1" w:styleId="ActionNumbered">
    <w:name w:val="Action Numbered"/>
    <w:basedOn w:val="Normal"/>
    <w:pPr>
      <w:spacing w:after="120"/>
      <w:ind w:right="284"/>
      <w:jc w:val="left"/>
    </w:pPr>
  </w:style>
  <w:style w:type="paragraph" w:styleId="ListBullet">
    <w:name w:val="List Bullet"/>
    <w:basedOn w:val="Normal"/>
    <w:pPr>
      <w:numPr>
        <w:numId w:val="5"/>
      </w:numPr>
      <w:spacing w:before="120" w:after="120"/>
      <w:jc w:val="left"/>
    </w:pPr>
  </w:style>
  <w:style w:type="paragraph" w:styleId="ListBullet2">
    <w:name w:val="List Bullet 2"/>
    <w:basedOn w:val="Normal"/>
    <w:pPr>
      <w:numPr>
        <w:numId w:val="6"/>
      </w:numPr>
      <w:tabs>
        <w:tab w:val="clear" w:pos="567"/>
        <w:tab w:val="clear" w:pos="992"/>
        <w:tab w:val="left" w:pos="-2976"/>
      </w:tabs>
      <w:spacing w:before="120" w:after="120"/>
      <w:jc w:val="left"/>
    </w:pPr>
  </w:style>
  <w:style w:type="paragraph" w:customStyle="1" w:styleId="Author">
    <w:name w:val="Author"/>
    <w:basedOn w:val="Normal"/>
    <w:pPr>
      <w:jc w:val="right"/>
    </w:pPr>
    <w:rPr>
      <w:sz w:val="19"/>
    </w:rPr>
  </w:style>
  <w:style w:type="paragraph" w:styleId="Title">
    <w:name w:val="Title"/>
    <w:basedOn w:val="Normal"/>
    <w:pPr>
      <w:spacing w:before="360" w:after="240" w:line="360" w:lineRule="exact"/>
      <w:jc w:val="left"/>
      <w:outlineLvl w:val="0"/>
    </w:pPr>
    <w:rPr>
      <w:b/>
      <w:kern w:val="3"/>
      <w:sz w:val="32"/>
      <w:szCs w:val="32"/>
    </w:rPr>
  </w:style>
  <w:style w:type="paragraph" w:customStyle="1" w:styleId="TableHead">
    <w:name w:val="Table Head"/>
    <w:basedOn w:val="Normal"/>
    <w:pPr>
      <w:spacing w:before="120" w:after="120" w:line="240" w:lineRule="exact"/>
      <w:jc w:val="left"/>
    </w:pPr>
    <w:rPr>
      <w:b/>
      <w:bCs/>
      <w:sz w:val="19"/>
    </w:rPr>
  </w:style>
  <w:style w:type="paragraph" w:customStyle="1" w:styleId="TableText">
    <w:name w:val="Table Text"/>
    <w:pPr>
      <w:tabs>
        <w:tab w:val="left" w:pos="284"/>
        <w:tab w:val="left" w:pos="567"/>
        <w:tab w:val="left" w:pos="992"/>
      </w:tabs>
      <w:suppressAutoHyphens/>
      <w:spacing w:before="120" w:after="120" w:line="240" w:lineRule="exact"/>
    </w:pPr>
    <w:rPr>
      <w:bCs/>
      <w:sz w:val="19"/>
      <w:lang w:eastAsia="en-US"/>
    </w:rPr>
  </w:style>
  <w:style w:type="paragraph" w:customStyle="1" w:styleId="TableBullet">
    <w:name w:val="Table Bullet"/>
    <w:basedOn w:val="TableText"/>
    <w:pPr>
      <w:numPr>
        <w:numId w:val="12"/>
      </w:numPr>
      <w:tabs>
        <w:tab w:val="clear" w:pos="284"/>
        <w:tab w:val="clear" w:pos="567"/>
        <w:tab w:val="clear" w:pos="992"/>
        <w:tab w:val="left" w:pos="-852"/>
        <w:tab w:val="left" w:pos="-776"/>
        <w:tab w:val="left" w:pos="-144"/>
      </w:tabs>
    </w:pPr>
  </w:style>
  <w:style w:type="paragraph" w:customStyle="1" w:styleId="ListNumbered">
    <w:name w:val="List Numbered"/>
    <w:basedOn w:val="Normal"/>
    <w:pPr>
      <w:numPr>
        <w:numId w:val="13"/>
      </w:numPr>
      <w:spacing w:before="120" w:after="120"/>
      <w:jc w:val="left"/>
    </w:pPr>
  </w:style>
  <w:style w:type="paragraph" w:customStyle="1" w:styleId="ListNumbered2">
    <w:name w:val="List Numbered 2"/>
    <w:basedOn w:val="Normal"/>
    <w:pPr>
      <w:tabs>
        <w:tab w:val="clear" w:pos="567"/>
        <w:tab w:val="clear" w:pos="992"/>
        <w:tab w:val="left" w:pos="0"/>
      </w:tabs>
      <w:spacing w:before="120" w:after="120"/>
      <w:jc w:val="left"/>
    </w:pPr>
    <w:rPr>
      <w:lang w:val="en-US"/>
    </w:rPr>
  </w:style>
  <w:style w:type="paragraph" w:customStyle="1" w:styleId="TableNumbered">
    <w:name w:val="Table Numbered"/>
    <w:basedOn w:val="TableText"/>
    <w:pPr>
      <w:numPr>
        <w:numId w:val="10"/>
      </w:numPr>
      <w:tabs>
        <w:tab w:val="clear" w:pos="284"/>
        <w:tab w:val="clear" w:pos="567"/>
        <w:tab w:val="clear" w:pos="992"/>
        <w:tab w:val="left" w:pos="-852"/>
        <w:tab w:val="left" w:pos="-776"/>
        <w:tab w:val="left" w:pos="-569"/>
      </w:tabs>
    </w:pPr>
  </w:style>
  <w:style w:type="paragraph" w:styleId="FootnoteText">
    <w:name w:val="footnote text"/>
    <w:basedOn w:val="Normal"/>
    <w:pPr>
      <w:tabs>
        <w:tab w:val="clear" w:pos="567"/>
        <w:tab w:val="left" w:pos="284"/>
      </w:tabs>
      <w:spacing w:before="0" w:line="240" w:lineRule="exact"/>
      <w:ind w:left="284" w:hanging="284"/>
      <w:jc w:val="left"/>
    </w:pPr>
    <w:rPr>
      <w:sz w:val="19"/>
      <w:szCs w:val="20"/>
    </w:rPr>
  </w:style>
  <w:style w:type="character" w:styleId="FootnoteReference">
    <w:name w:val="footnote reference"/>
    <w:basedOn w:val="DefaultParagraphFont"/>
    <w:rPr>
      <w:position w:val="0"/>
      <w:vertAlign w:val="superscript"/>
    </w:rPr>
  </w:style>
  <w:style w:type="paragraph" w:styleId="TOC1">
    <w:name w:val="toc 1"/>
    <w:basedOn w:val="Normal"/>
    <w:next w:val="Normal"/>
    <w:autoRedefine/>
    <w:pPr>
      <w:tabs>
        <w:tab w:val="clear" w:pos="992"/>
        <w:tab w:val="right" w:leader="dot" w:pos="8505"/>
      </w:tabs>
      <w:spacing w:before="120"/>
      <w:ind w:left="567" w:right="566" w:hanging="567"/>
    </w:pPr>
    <w:rPr>
      <w:szCs w:val="28"/>
    </w:rPr>
  </w:style>
  <w:style w:type="paragraph" w:styleId="TOC2">
    <w:name w:val="toc 2"/>
    <w:basedOn w:val="Normal"/>
    <w:next w:val="Normal"/>
    <w:autoRedefine/>
    <w:pPr>
      <w:tabs>
        <w:tab w:val="clear" w:pos="567"/>
        <w:tab w:val="clear" w:pos="992"/>
        <w:tab w:val="left" w:pos="1134"/>
        <w:tab w:val="right" w:leader="dot" w:pos="8505"/>
      </w:tabs>
      <w:spacing w:before="0"/>
      <w:ind w:left="1134" w:right="566" w:hanging="567"/>
    </w:pPr>
    <w:rPr>
      <w:sz w:val="20"/>
    </w:rPr>
  </w:style>
  <w:style w:type="paragraph" w:styleId="TOC3">
    <w:name w:val="toc 3"/>
    <w:basedOn w:val="Normal"/>
    <w:next w:val="Normal"/>
    <w:autoRedefine/>
    <w:pPr>
      <w:tabs>
        <w:tab w:val="clear" w:pos="567"/>
        <w:tab w:val="clear" w:pos="992"/>
        <w:tab w:val="left" w:pos="1701"/>
        <w:tab w:val="right" w:leader="dot" w:pos="8505"/>
      </w:tabs>
      <w:spacing w:before="0"/>
      <w:ind w:left="1701" w:right="567" w:hanging="567"/>
    </w:pPr>
    <w:rPr>
      <w:sz w:val="20"/>
    </w:rPr>
  </w:style>
  <w:style w:type="paragraph" w:styleId="TOC4">
    <w:name w:val="toc 4"/>
    <w:basedOn w:val="Normal"/>
    <w:next w:val="Normal"/>
    <w:autoRedefine/>
    <w:pPr>
      <w:tabs>
        <w:tab w:val="clear" w:pos="567"/>
        <w:tab w:val="clear" w:pos="992"/>
      </w:tabs>
      <w:ind w:left="720"/>
    </w:pPr>
  </w:style>
  <w:style w:type="paragraph" w:styleId="TOC5">
    <w:name w:val="toc 5"/>
    <w:basedOn w:val="Normal"/>
    <w:next w:val="Normal"/>
    <w:autoRedefine/>
    <w:pPr>
      <w:tabs>
        <w:tab w:val="clear" w:pos="567"/>
        <w:tab w:val="clear" w:pos="992"/>
      </w:tabs>
      <w:ind w:left="960"/>
    </w:pPr>
  </w:style>
  <w:style w:type="paragraph" w:styleId="TOC6">
    <w:name w:val="toc 6"/>
    <w:basedOn w:val="Normal"/>
    <w:next w:val="Normal"/>
    <w:autoRedefine/>
    <w:pPr>
      <w:tabs>
        <w:tab w:val="clear" w:pos="567"/>
        <w:tab w:val="clear" w:pos="992"/>
      </w:tabs>
      <w:ind w:left="1200"/>
    </w:pPr>
  </w:style>
  <w:style w:type="paragraph" w:styleId="TOC7">
    <w:name w:val="toc 7"/>
    <w:basedOn w:val="Normal"/>
    <w:next w:val="Normal"/>
    <w:autoRedefine/>
    <w:pPr>
      <w:tabs>
        <w:tab w:val="clear" w:pos="567"/>
        <w:tab w:val="clear" w:pos="992"/>
      </w:tabs>
      <w:ind w:left="1440"/>
    </w:pPr>
  </w:style>
  <w:style w:type="paragraph" w:styleId="TOC8">
    <w:name w:val="toc 8"/>
    <w:basedOn w:val="Normal"/>
    <w:next w:val="Normal"/>
    <w:autoRedefine/>
    <w:pPr>
      <w:tabs>
        <w:tab w:val="clear" w:pos="567"/>
        <w:tab w:val="clear" w:pos="992"/>
      </w:tabs>
      <w:ind w:left="1680"/>
    </w:pPr>
  </w:style>
  <w:style w:type="paragraph" w:styleId="TOC9">
    <w:name w:val="toc 9"/>
    <w:basedOn w:val="Normal"/>
    <w:next w:val="Normal"/>
    <w:autoRedefine/>
    <w:pPr>
      <w:tabs>
        <w:tab w:val="clear" w:pos="567"/>
        <w:tab w:val="clear" w:pos="992"/>
      </w:tabs>
      <w:ind w:left="1920"/>
    </w:pPr>
  </w:style>
  <w:style w:type="character" w:styleId="Hyperlink">
    <w:name w:val="Hyperlink"/>
    <w:basedOn w:val="DefaultParagraphFont"/>
    <w:rPr>
      <w:color w:val="0000FF"/>
      <w:u w:val="single"/>
    </w:rPr>
  </w:style>
  <w:style w:type="paragraph" w:customStyle="1" w:styleId="ListCharacters">
    <w:name w:val="List Characters"/>
    <w:basedOn w:val="ListNumbered"/>
    <w:pPr>
      <w:numPr>
        <w:numId w:val="11"/>
      </w:numPr>
    </w:pPr>
  </w:style>
  <w:style w:type="paragraph" w:styleId="ListNumber">
    <w:name w:val="List Number"/>
    <w:basedOn w:val="Normal"/>
    <w:pPr>
      <w:numPr>
        <w:numId w:val="9"/>
      </w:numPr>
      <w:tabs>
        <w:tab w:val="clear" w:pos="567"/>
        <w:tab w:val="clear" w:pos="992"/>
        <w:tab w:val="left" w:pos="-852"/>
        <w:tab w:val="left" w:pos="-569"/>
        <w:tab w:val="left" w:pos="-144"/>
      </w:tabs>
    </w:pPr>
  </w:style>
  <w:style w:type="paragraph" w:customStyle="1" w:styleId="ActionSub-Point">
    <w:name w:val="Action Sub-Point"/>
    <w:basedOn w:val="ActionNumbered"/>
    <w:pPr>
      <w:numPr>
        <w:numId w:val="7"/>
      </w:numPr>
      <w:tabs>
        <w:tab w:val="clear" w:pos="567"/>
        <w:tab w:val="clear" w:pos="992"/>
        <w:tab w:val="left" w:pos="-567"/>
        <w:tab w:val="left" w:pos="-141"/>
      </w:tabs>
      <w:spacing w:before="120"/>
    </w:pPr>
  </w:style>
  <w:style w:type="paragraph" w:customStyle="1" w:styleId="BoxBanner">
    <w:name w:val="Box Banner"/>
    <w:basedOn w:val="Normal"/>
    <w:pPr>
      <w:pBdr>
        <w:top w:val="single" w:sz="4" w:space="14" w:color="000000"/>
        <w:left w:val="single" w:sz="4" w:space="0" w:color="000000"/>
        <w:bottom w:val="single" w:sz="4" w:space="12" w:color="000000"/>
        <w:right w:val="single" w:sz="4" w:space="0" w:color="000000"/>
      </w:pBdr>
      <w:tabs>
        <w:tab w:val="clear" w:pos="567"/>
        <w:tab w:val="clear" w:pos="992"/>
        <w:tab w:val="center" w:pos="4253"/>
      </w:tabs>
      <w:spacing w:before="0" w:line="320" w:lineRule="exact"/>
      <w:jc w:val="center"/>
    </w:pPr>
    <w:rPr>
      <w:bCs/>
      <w:caps/>
    </w:rPr>
  </w:style>
  <w:style w:type="paragraph" w:customStyle="1" w:styleId="ActionCharacter">
    <w:name w:val="Action Character"/>
    <w:basedOn w:val="Normal"/>
    <w:pPr>
      <w:numPr>
        <w:numId w:val="14"/>
      </w:numPr>
      <w:spacing w:after="120"/>
      <w:ind w:right="284"/>
      <w:jc w:val="left"/>
    </w:pPr>
  </w:style>
  <w:style w:type="paragraph" w:customStyle="1" w:styleId="BoxTitle">
    <w:name w:val="Box Title"/>
    <w:basedOn w:val="Normal"/>
    <w:pPr>
      <w:pBdr>
        <w:top w:val="single" w:sz="4" w:space="14" w:color="000000"/>
        <w:left w:val="single" w:sz="4" w:space="0" w:color="000000"/>
        <w:bottom w:val="single" w:sz="4" w:space="12" w:color="000000"/>
        <w:right w:val="single" w:sz="4" w:space="0" w:color="000000"/>
      </w:pBdr>
      <w:tabs>
        <w:tab w:val="clear" w:pos="567"/>
        <w:tab w:val="clear" w:pos="992"/>
      </w:tabs>
      <w:spacing w:before="320" w:after="320" w:line="400" w:lineRule="exact"/>
      <w:jc w:val="center"/>
    </w:pPr>
    <w:rPr>
      <w:b/>
      <w:bCs/>
      <w:sz w:val="32"/>
      <w:lang w:eastAsia="en-GB"/>
    </w:rPr>
  </w:style>
  <w:style w:type="paragraph" w:customStyle="1" w:styleId="BoxSub">
    <w:name w:val="Box Sub"/>
    <w:basedOn w:val="Normal"/>
    <w:pPr>
      <w:pBdr>
        <w:top w:val="single" w:sz="4" w:space="14" w:color="000000"/>
        <w:left w:val="single" w:sz="4" w:space="0" w:color="000000"/>
        <w:bottom w:val="single" w:sz="4" w:space="12" w:color="000000"/>
        <w:right w:val="single" w:sz="4" w:space="0" w:color="000000"/>
      </w:pBdr>
      <w:tabs>
        <w:tab w:val="clear" w:pos="567"/>
        <w:tab w:val="clear" w:pos="992"/>
      </w:tabs>
      <w:spacing w:before="0"/>
      <w:jc w:val="center"/>
    </w:pPr>
  </w:style>
  <w:style w:type="paragraph" w:customStyle="1" w:styleId="BoxCirculated">
    <w:name w:val="Box Circulated"/>
    <w:basedOn w:val="Normal"/>
    <w:pPr>
      <w:pBdr>
        <w:top w:val="single" w:sz="4" w:space="14" w:color="000000"/>
        <w:left w:val="single" w:sz="4" w:space="0" w:color="000000"/>
        <w:bottom w:val="single" w:sz="4" w:space="12" w:color="000000"/>
        <w:right w:val="single" w:sz="4" w:space="0" w:color="000000"/>
      </w:pBdr>
      <w:tabs>
        <w:tab w:val="clear" w:pos="567"/>
        <w:tab w:val="clear" w:pos="992"/>
      </w:tabs>
      <w:spacing w:before="120" w:line="240" w:lineRule="exact"/>
      <w:jc w:val="center"/>
    </w:pPr>
    <w:rPr>
      <w:i/>
      <w:iCs/>
      <w:sz w:val="19"/>
      <w:lang w:eastAsia="en-GB"/>
    </w:rPr>
  </w:style>
  <w:style w:type="paragraph" w:customStyle="1" w:styleId="ListCharacters2">
    <w:name w:val="List Characters 2"/>
    <w:basedOn w:val="Normal"/>
    <w:pPr>
      <w:numPr>
        <w:numId w:val="8"/>
      </w:numPr>
      <w:tabs>
        <w:tab w:val="clear" w:pos="567"/>
        <w:tab w:val="clear" w:pos="992"/>
        <w:tab w:val="left" w:pos="-1983"/>
      </w:tabs>
      <w:jc w:val="left"/>
    </w:pPr>
  </w:style>
  <w:style w:type="paragraph" w:styleId="ListParagraph">
    <w:name w:val="List Paragraph"/>
    <w:basedOn w:val="Normal"/>
    <w:pPr>
      <w:ind w:left="720"/>
    </w:pPr>
  </w:style>
  <w:style w:type="numbering" w:customStyle="1" w:styleId="WWOutlineListStyle2">
    <w:name w:val="WW_OutlineListStyle_2"/>
    <w:basedOn w:val="NoList"/>
    <w:pPr>
      <w:numPr>
        <w:numId w:val="2"/>
      </w:numPr>
    </w:pPr>
  </w:style>
  <w:style w:type="numbering" w:customStyle="1" w:styleId="WWOutlineListStyle1">
    <w:name w:val="WW_OutlineListStyle_1"/>
    <w:basedOn w:val="NoList"/>
    <w:pPr>
      <w:numPr>
        <w:numId w:val="3"/>
      </w:numPr>
    </w:pPr>
  </w:style>
  <w:style w:type="numbering" w:customStyle="1" w:styleId="WWOutlineListStyle">
    <w:name w:val="WW_OutlineListStyle"/>
    <w:basedOn w:val="NoList"/>
    <w:pPr>
      <w:numPr>
        <w:numId w:val="4"/>
      </w:numPr>
    </w:pPr>
  </w:style>
  <w:style w:type="numbering" w:customStyle="1" w:styleId="LFO16">
    <w:name w:val="LFO16"/>
    <w:basedOn w:val="NoList"/>
    <w:pPr>
      <w:numPr>
        <w:numId w:val="5"/>
      </w:numPr>
    </w:pPr>
  </w:style>
  <w:style w:type="numbering" w:customStyle="1" w:styleId="LFO18">
    <w:name w:val="LFO18"/>
    <w:basedOn w:val="NoList"/>
    <w:pPr>
      <w:numPr>
        <w:numId w:val="6"/>
      </w:numPr>
    </w:pPr>
  </w:style>
  <w:style w:type="numbering" w:customStyle="1" w:styleId="LFO20">
    <w:name w:val="LFO20"/>
    <w:basedOn w:val="NoList"/>
    <w:pPr>
      <w:numPr>
        <w:numId w:val="7"/>
      </w:numPr>
    </w:pPr>
  </w:style>
  <w:style w:type="numbering" w:customStyle="1" w:styleId="LFO28">
    <w:name w:val="LFO28"/>
    <w:basedOn w:val="NoList"/>
    <w:pPr>
      <w:numPr>
        <w:numId w:val="8"/>
      </w:numPr>
    </w:pPr>
  </w:style>
  <w:style w:type="numbering" w:customStyle="1" w:styleId="LFO34">
    <w:name w:val="LFO34"/>
    <w:basedOn w:val="NoList"/>
    <w:pPr>
      <w:numPr>
        <w:numId w:val="9"/>
      </w:numPr>
    </w:pPr>
  </w:style>
  <w:style w:type="numbering" w:customStyle="1" w:styleId="LFO39">
    <w:name w:val="LFO39"/>
    <w:basedOn w:val="NoList"/>
    <w:pPr>
      <w:numPr>
        <w:numId w:val="10"/>
      </w:numPr>
    </w:pPr>
  </w:style>
  <w:style w:type="numbering" w:customStyle="1" w:styleId="LFO40">
    <w:name w:val="LFO40"/>
    <w:basedOn w:val="NoList"/>
    <w:pPr>
      <w:numPr>
        <w:numId w:val="11"/>
      </w:numPr>
    </w:pPr>
  </w:style>
  <w:style w:type="numbering" w:customStyle="1" w:styleId="LFO42">
    <w:name w:val="LFO42"/>
    <w:basedOn w:val="NoList"/>
    <w:pPr>
      <w:numPr>
        <w:numId w:val="12"/>
      </w:numPr>
    </w:pPr>
  </w:style>
  <w:style w:type="numbering" w:customStyle="1" w:styleId="LFO43">
    <w:name w:val="LFO43"/>
    <w:basedOn w:val="NoList"/>
    <w:pPr>
      <w:numPr>
        <w:numId w:val="13"/>
      </w:numPr>
    </w:pPr>
  </w:style>
  <w:style w:type="numbering" w:customStyle="1" w:styleId="LFO47">
    <w:name w:val="LFO47"/>
    <w:basedOn w:val="NoList"/>
    <w:pPr>
      <w:numPr>
        <w:numId w:val="14"/>
      </w:numPr>
    </w:pPr>
  </w:style>
  <w:style w:type="character" w:styleId="CommentReference">
    <w:name w:val="annotation reference"/>
    <w:basedOn w:val="DefaultParagraphFont"/>
    <w:uiPriority w:val="99"/>
    <w:semiHidden/>
    <w:unhideWhenUsed/>
    <w:rsid w:val="000F43FC"/>
    <w:rPr>
      <w:sz w:val="16"/>
      <w:szCs w:val="16"/>
    </w:rPr>
  </w:style>
  <w:style w:type="paragraph" w:styleId="CommentText">
    <w:name w:val="annotation text"/>
    <w:basedOn w:val="Normal"/>
    <w:link w:val="CommentTextChar"/>
    <w:uiPriority w:val="99"/>
    <w:semiHidden/>
    <w:unhideWhenUsed/>
    <w:rsid w:val="000F43FC"/>
    <w:pPr>
      <w:spacing w:line="240" w:lineRule="auto"/>
    </w:pPr>
    <w:rPr>
      <w:sz w:val="20"/>
      <w:szCs w:val="20"/>
    </w:rPr>
  </w:style>
  <w:style w:type="character" w:customStyle="1" w:styleId="CommentTextChar">
    <w:name w:val="Comment Text Char"/>
    <w:basedOn w:val="DefaultParagraphFont"/>
    <w:link w:val="CommentText"/>
    <w:uiPriority w:val="99"/>
    <w:semiHidden/>
    <w:rsid w:val="000F43FC"/>
    <w:rPr>
      <w:lang w:eastAsia="en-US"/>
    </w:rPr>
  </w:style>
  <w:style w:type="paragraph" w:styleId="CommentSubject">
    <w:name w:val="annotation subject"/>
    <w:basedOn w:val="CommentText"/>
    <w:next w:val="CommentText"/>
    <w:link w:val="CommentSubjectChar"/>
    <w:uiPriority w:val="99"/>
    <w:semiHidden/>
    <w:unhideWhenUsed/>
    <w:rsid w:val="000F43FC"/>
    <w:rPr>
      <w:b/>
      <w:bCs/>
    </w:rPr>
  </w:style>
  <w:style w:type="character" w:customStyle="1" w:styleId="CommentSubjectChar">
    <w:name w:val="Comment Subject Char"/>
    <w:basedOn w:val="CommentTextChar"/>
    <w:link w:val="CommentSubject"/>
    <w:uiPriority w:val="99"/>
    <w:semiHidden/>
    <w:rsid w:val="000F43FC"/>
    <w:rPr>
      <w:b/>
      <w:bCs/>
      <w:lang w:eastAsia="en-US"/>
    </w:rPr>
  </w:style>
  <w:style w:type="paragraph" w:styleId="BalloonText">
    <w:name w:val="Balloon Text"/>
    <w:basedOn w:val="Normal"/>
    <w:link w:val="BalloonTextChar"/>
    <w:uiPriority w:val="99"/>
    <w:semiHidden/>
    <w:unhideWhenUsed/>
    <w:rsid w:val="000F43FC"/>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3F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assessments.humanitarianresponse.inf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Needs%20Assessments\NATF\2012%20Planning_Reporting\IASC%20Subsidiary%20Bodies%202012%20Annual%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A92D2-7423-4750-A318-3681A37C0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IASC Subsidiary Bodies 2012 Annual Report Template.dotx</Template>
  <TotalTime>1</TotalTime>
  <Pages>3</Pages>
  <Words>883</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INTER–AGENCY STANDING COMMITTEE WORKING GROUP</vt:lpstr>
    </vt:vector>
  </TitlesOfParts>
  <Company>OCHA</Company>
  <LinksUpToDate>false</LinksUpToDate>
  <CharactersWithSpaces>5906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INTER–AGENCY STANDING COMMITTEE WORKING GROUP</dc:title>
  <dc:creator>OCHA</dc:creator>
  <cp:lastModifiedBy>Katja LAURILA</cp:lastModifiedBy>
  <cp:revision>2</cp:revision>
  <cp:lastPrinted>2006-02-01T17:45:00Z</cp:lastPrinted>
  <dcterms:created xsi:type="dcterms:W3CDTF">2013-02-04T09:29:00Z</dcterms:created>
  <dcterms:modified xsi:type="dcterms:W3CDTF">2013-02-04T09:29:00Z</dcterms:modified>
</cp:coreProperties>
</file>