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36" w:rsidRDefault="00AE712E" w:rsidP="00E55533">
      <w:pPr>
        <w:pStyle w:val="BoxBanner"/>
        <w:spacing w:line="240" w:lineRule="auto"/>
      </w:pPr>
      <w:r>
        <w:t>Inter-Agency Standing Committee</w:t>
      </w:r>
    </w:p>
    <w:p w:rsidR="006906D4" w:rsidRDefault="006906D4" w:rsidP="00E55533">
      <w:pPr>
        <w:pStyle w:val="BoxBanner"/>
        <w:spacing w:line="240" w:lineRule="auto"/>
      </w:pPr>
    </w:p>
    <w:p w:rsidR="00FD70CC" w:rsidRPr="006906D4" w:rsidRDefault="00FD70CC" w:rsidP="00E55533">
      <w:pPr>
        <w:pStyle w:val="BoxBanner"/>
        <w:spacing w:line="240" w:lineRule="auto"/>
        <w:rPr>
          <w:b/>
        </w:rPr>
      </w:pPr>
      <w:r w:rsidRPr="006906D4">
        <w:rPr>
          <w:b/>
        </w:rPr>
        <w:t xml:space="preserve">IASC SUBSIDIARY BODies </w:t>
      </w:r>
    </w:p>
    <w:p w:rsidR="006906D4" w:rsidRDefault="001E3BAC" w:rsidP="00E55533">
      <w:pPr>
        <w:pStyle w:val="BoxTitle"/>
        <w:spacing w:after="0"/>
      </w:pPr>
      <w:r>
        <w:t>Sub-Working Group on Humanitarian Financing</w:t>
      </w:r>
    </w:p>
    <w:p w:rsidR="00062136" w:rsidRPr="006906D4" w:rsidRDefault="006906D4" w:rsidP="00E55533">
      <w:pPr>
        <w:pStyle w:val="BoxTitle"/>
        <w:spacing w:after="0"/>
        <w:rPr>
          <w:sz w:val="24"/>
        </w:rPr>
      </w:pPr>
      <w:r w:rsidRPr="006906D4">
        <w:rPr>
          <w:sz w:val="24"/>
        </w:rPr>
        <w:t>ANNUAL REPORT 2012</w:t>
      </w:r>
    </w:p>
    <w:p w:rsidR="00062136" w:rsidRDefault="00F5106E" w:rsidP="00E55533">
      <w:pPr>
        <w:pStyle w:val="BoxCirculated"/>
      </w:pPr>
      <w:r>
        <w:t>Circulated: January 2013</w:t>
      </w:r>
    </w:p>
    <w:p w:rsidR="00FD70CC" w:rsidRDefault="00FD70CC" w:rsidP="00FD70CC">
      <w:pPr>
        <w:pStyle w:val="Heading2"/>
        <w:numPr>
          <w:ilvl w:val="0"/>
          <w:numId w:val="0"/>
        </w:numPr>
        <w:ind w:left="360"/>
        <w:rPr>
          <w:bCs w:val="0"/>
          <w:i w:val="0"/>
          <w:iCs w:val="0"/>
          <w:color w:val="000000"/>
          <w:sz w:val="28"/>
          <w:szCs w:val="20"/>
          <w:lang w:val="en-US"/>
        </w:rPr>
      </w:pPr>
    </w:p>
    <w:p w:rsidR="00FD70CC" w:rsidRPr="00F5106E" w:rsidRDefault="00FD70CC" w:rsidP="00FD70CC">
      <w:pPr>
        <w:pStyle w:val="Heading2"/>
        <w:numPr>
          <w:ilvl w:val="0"/>
          <w:numId w:val="21"/>
        </w:numPr>
        <w:rPr>
          <w:bCs w:val="0"/>
          <w:i w:val="0"/>
          <w:iCs w:val="0"/>
          <w:color w:val="000000"/>
          <w:sz w:val="24"/>
          <w:lang w:val="en-US"/>
        </w:rPr>
      </w:pPr>
      <w:r w:rsidRPr="00F5106E">
        <w:rPr>
          <w:bCs w:val="0"/>
          <w:i w:val="0"/>
          <w:iCs w:val="0"/>
          <w:color w:val="000000"/>
          <w:sz w:val="24"/>
          <w:lang w:val="en-US"/>
        </w:rPr>
        <w:t xml:space="preserve">Key Achievements against Work plan Targets </w:t>
      </w:r>
    </w:p>
    <w:p w:rsidR="00FD70CC" w:rsidRPr="00F5106E" w:rsidRDefault="00FD70CC" w:rsidP="00FD70CC">
      <w:pPr>
        <w:rPr>
          <w:b/>
          <w:bCs/>
          <w:i/>
          <w:iCs/>
          <w:sz w:val="24"/>
        </w:rPr>
      </w:pPr>
      <w:r w:rsidRPr="00F5106E">
        <w:rPr>
          <w:b/>
          <w:bCs/>
          <w:i/>
          <w:iCs/>
          <w:sz w:val="24"/>
        </w:rPr>
        <w:t>List 5 to 10 achievements and successes in line with the 2012 Work Plan</w:t>
      </w:r>
    </w:p>
    <w:p w:rsidR="00DD211E" w:rsidRPr="00F5106E" w:rsidRDefault="00B00958" w:rsidP="00DD211E">
      <w:pPr>
        <w:pStyle w:val="ListParagraph"/>
        <w:numPr>
          <w:ilvl w:val="0"/>
          <w:numId w:val="18"/>
        </w:numPr>
        <w:rPr>
          <w:sz w:val="24"/>
        </w:rPr>
      </w:pPr>
      <w:r w:rsidRPr="00F5106E">
        <w:rPr>
          <w:sz w:val="24"/>
        </w:rPr>
        <w:t xml:space="preserve">The Task Team (TT) on Funding for Preparedness successfully completed the first phase of its project with the submission </w:t>
      </w:r>
      <w:r w:rsidR="00DD211E" w:rsidRPr="00F5106E">
        <w:rPr>
          <w:sz w:val="24"/>
        </w:rPr>
        <w:t xml:space="preserve">by Development Initiatives </w:t>
      </w:r>
      <w:r w:rsidRPr="00F5106E">
        <w:rPr>
          <w:sz w:val="24"/>
        </w:rPr>
        <w:t xml:space="preserve">of a </w:t>
      </w:r>
      <w:r w:rsidR="00DD211E" w:rsidRPr="00F5106E">
        <w:rPr>
          <w:sz w:val="24"/>
        </w:rPr>
        <w:t>final report entitled “Emergency preparedness financing and practice” in August 2012.</w:t>
      </w:r>
    </w:p>
    <w:p w:rsidR="00226279" w:rsidRPr="00F5106E" w:rsidRDefault="00DD211E" w:rsidP="00FD70CC">
      <w:pPr>
        <w:pStyle w:val="ListParagraph"/>
        <w:numPr>
          <w:ilvl w:val="0"/>
          <w:numId w:val="18"/>
        </w:numPr>
        <w:rPr>
          <w:sz w:val="24"/>
        </w:rPr>
      </w:pPr>
      <w:r w:rsidRPr="00F5106E">
        <w:rPr>
          <w:sz w:val="24"/>
        </w:rPr>
        <w:t>The second phase of the project of the TT on Funding for Preparedness was initiated</w:t>
      </w:r>
      <w:r w:rsidR="001D2971" w:rsidRPr="00F5106E">
        <w:rPr>
          <w:sz w:val="24"/>
        </w:rPr>
        <w:t xml:space="preserve">. The Overseas Development Institute was contracted to carry out the second phase study. Haiti, Myanmar, the Philippines, </w:t>
      </w:r>
      <w:r w:rsidR="00226279" w:rsidRPr="00F5106E">
        <w:rPr>
          <w:sz w:val="24"/>
        </w:rPr>
        <w:t>Sudan, Niger (tentative) and Ghana (tentative) were identified as country missions for 2013.</w:t>
      </w:r>
    </w:p>
    <w:p w:rsidR="00FD70CC" w:rsidRPr="00F5106E" w:rsidRDefault="001E3BAC" w:rsidP="00FD70CC">
      <w:pPr>
        <w:pStyle w:val="ListParagraph"/>
        <w:numPr>
          <w:ilvl w:val="0"/>
          <w:numId w:val="18"/>
        </w:numPr>
        <w:rPr>
          <w:sz w:val="24"/>
        </w:rPr>
      </w:pPr>
      <w:r w:rsidRPr="00F5106E">
        <w:rPr>
          <w:sz w:val="24"/>
        </w:rPr>
        <w:t>The SWG continued to serve as consultative forum around operational issues of pooled funds, such as the Central Emergency Response Fund (CERF) (e.g. around narrative reporting and the Advisory Group meetings) and country-based pooled funds (CBPFs) (e.g. around the Pooled Fund Working Group, the Emergency Response Fund evaluation and guidelines as well as the Common Humanitarian Fund Monitoring and Reporting Framework).</w:t>
      </w:r>
    </w:p>
    <w:p w:rsidR="005C0AF2" w:rsidRPr="00F5106E" w:rsidRDefault="005C0AF2" w:rsidP="00FD70CC">
      <w:pPr>
        <w:pStyle w:val="ListParagraph"/>
        <w:numPr>
          <w:ilvl w:val="0"/>
          <w:numId w:val="18"/>
        </w:numPr>
        <w:rPr>
          <w:sz w:val="24"/>
        </w:rPr>
      </w:pPr>
      <w:r w:rsidRPr="00F5106E">
        <w:rPr>
          <w:sz w:val="24"/>
        </w:rPr>
        <w:t xml:space="preserve">The SWG discussed a number of third party studies on humanitarian financing enabling members to exchange views and consolidate their feedback. Examples of this included the Joint Inspection Unit’s (JIU) review of humanitarian financing as well as a briefing on recent studies on humanitarian </w:t>
      </w:r>
      <w:proofErr w:type="spellStart"/>
      <w:r w:rsidRPr="00F5106E">
        <w:rPr>
          <w:sz w:val="24"/>
        </w:rPr>
        <w:t>donorship</w:t>
      </w:r>
      <w:proofErr w:type="spellEnd"/>
      <w:r w:rsidRPr="00F5106E">
        <w:rPr>
          <w:sz w:val="24"/>
        </w:rPr>
        <w:t xml:space="preserve"> conducted by OECD.</w:t>
      </w:r>
    </w:p>
    <w:p w:rsidR="00B8281D" w:rsidRPr="00F5106E" w:rsidRDefault="00B8281D" w:rsidP="00FD70CC">
      <w:pPr>
        <w:pStyle w:val="ListParagraph"/>
        <w:numPr>
          <w:ilvl w:val="0"/>
          <w:numId w:val="18"/>
        </w:numPr>
        <w:rPr>
          <w:sz w:val="24"/>
        </w:rPr>
      </w:pPr>
      <w:r w:rsidRPr="00F5106E">
        <w:rPr>
          <w:sz w:val="24"/>
        </w:rPr>
        <w:t>UN agencies and OCHA finalized and agreed to a standard contributions agreement between the two parties for ERFs/HRFs in October 2012.</w:t>
      </w:r>
    </w:p>
    <w:p w:rsidR="001E3BAC" w:rsidRPr="00F5106E" w:rsidRDefault="005C0AF2" w:rsidP="00FD70CC">
      <w:pPr>
        <w:pStyle w:val="ListParagraph"/>
        <w:numPr>
          <w:ilvl w:val="0"/>
          <w:numId w:val="18"/>
        </w:numPr>
        <w:rPr>
          <w:sz w:val="24"/>
        </w:rPr>
      </w:pPr>
      <w:r w:rsidRPr="00F5106E">
        <w:rPr>
          <w:sz w:val="24"/>
        </w:rPr>
        <w:t xml:space="preserve">The SWG collaborated with </w:t>
      </w:r>
      <w:r w:rsidR="00855A29" w:rsidRPr="00F5106E">
        <w:rPr>
          <w:sz w:val="24"/>
        </w:rPr>
        <w:t>the Norwegian Refugee Council (NRC) on a study of principled humanitarian financing.</w:t>
      </w:r>
    </w:p>
    <w:p w:rsidR="00FD70CC" w:rsidRPr="00F5106E" w:rsidRDefault="00FD70CC" w:rsidP="00FD70CC">
      <w:pPr>
        <w:pStyle w:val="Heading2"/>
        <w:numPr>
          <w:ilvl w:val="0"/>
          <w:numId w:val="21"/>
        </w:numPr>
        <w:rPr>
          <w:bCs w:val="0"/>
          <w:i w:val="0"/>
          <w:iCs w:val="0"/>
          <w:color w:val="000000"/>
          <w:sz w:val="24"/>
          <w:lang w:val="en-US"/>
        </w:rPr>
      </w:pPr>
      <w:r w:rsidRPr="00F5106E">
        <w:rPr>
          <w:bCs w:val="0"/>
          <w:i w:val="0"/>
          <w:iCs w:val="0"/>
          <w:color w:val="000000"/>
          <w:sz w:val="24"/>
          <w:lang w:val="en-US"/>
        </w:rPr>
        <w:t xml:space="preserve">Challenges faced in 2012 </w:t>
      </w:r>
    </w:p>
    <w:p w:rsidR="00FD70CC" w:rsidRPr="00F5106E" w:rsidRDefault="00FD70CC" w:rsidP="00FD70CC">
      <w:pPr>
        <w:rPr>
          <w:b/>
          <w:bCs/>
          <w:i/>
          <w:iCs/>
          <w:sz w:val="24"/>
        </w:rPr>
      </w:pPr>
      <w:r w:rsidRPr="00F5106E">
        <w:rPr>
          <w:b/>
          <w:bCs/>
          <w:i/>
          <w:iCs/>
          <w:sz w:val="24"/>
        </w:rPr>
        <w:t>List up 5 challenges and constraints faced by the Subsidiary Body</w:t>
      </w:r>
    </w:p>
    <w:p w:rsidR="00C21860" w:rsidRPr="00F5106E" w:rsidRDefault="00037A64" w:rsidP="00EE0BFE">
      <w:pPr>
        <w:pStyle w:val="ListParagraph"/>
        <w:numPr>
          <w:ilvl w:val="0"/>
          <w:numId w:val="18"/>
        </w:numPr>
        <w:rPr>
          <w:sz w:val="24"/>
        </w:rPr>
      </w:pPr>
      <w:r w:rsidRPr="00F5106E">
        <w:rPr>
          <w:sz w:val="24"/>
        </w:rPr>
        <w:t>The SWG has faced challenges in elaborating its forward agenda as well as determining the most effective way to contribute to the development and implementation of the IASC Transformative Agenda</w:t>
      </w:r>
      <w:r w:rsidR="00B8281D" w:rsidRPr="00F5106E">
        <w:rPr>
          <w:sz w:val="24"/>
        </w:rPr>
        <w:t>, partly due to uncertainty surrounding the future configuration of the group</w:t>
      </w:r>
      <w:proofErr w:type="gramStart"/>
      <w:r w:rsidR="00B8281D" w:rsidRPr="00F5106E">
        <w:rPr>
          <w:sz w:val="24"/>
        </w:rPr>
        <w:t>.</w:t>
      </w:r>
      <w:r w:rsidRPr="00F5106E">
        <w:rPr>
          <w:sz w:val="24"/>
        </w:rPr>
        <w:t>.</w:t>
      </w:r>
      <w:proofErr w:type="gramEnd"/>
    </w:p>
    <w:p w:rsidR="00037A64" w:rsidRPr="00F5106E" w:rsidRDefault="00037A64" w:rsidP="00EE0BFE">
      <w:pPr>
        <w:pStyle w:val="ListParagraph"/>
        <w:numPr>
          <w:ilvl w:val="0"/>
          <w:numId w:val="18"/>
        </w:numPr>
        <w:rPr>
          <w:sz w:val="24"/>
        </w:rPr>
      </w:pPr>
      <w:r w:rsidRPr="00F5106E">
        <w:rPr>
          <w:sz w:val="24"/>
        </w:rPr>
        <w:lastRenderedPageBreak/>
        <w:t>In addition, the SWG experienced constraints in increasing cross-fertilization with other relevant groups, both inside and outside the IASC structure.</w:t>
      </w:r>
    </w:p>
    <w:p w:rsidR="00E55533" w:rsidRPr="00F5106E" w:rsidRDefault="00E55533" w:rsidP="00E55533">
      <w:pPr>
        <w:pStyle w:val="Heading2"/>
        <w:numPr>
          <w:ilvl w:val="0"/>
          <w:numId w:val="21"/>
        </w:numPr>
        <w:rPr>
          <w:bCs w:val="0"/>
          <w:i w:val="0"/>
          <w:iCs w:val="0"/>
          <w:color w:val="000000"/>
          <w:sz w:val="24"/>
          <w:lang w:val="en-US"/>
        </w:rPr>
      </w:pPr>
      <w:r w:rsidRPr="00F5106E">
        <w:rPr>
          <w:bCs w:val="0"/>
          <w:i w:val="0"/>
          <w:iCs w:val="0"/>
          <w:color w:val="000000"/>
          <w:sz w:val="24"/>
          <w:lang w:val="en-US"/>
        </w:rPr>
        <w:t xml:space="preserve">Any outcomes of your Subsidiary Body in relation to the Transformative Agenda in 2012 </w:t>
      </w:r>
    </w:p>
    <w:p w:rsidR="00E55533" w:rsidRPr="00F5106E" w:rsidRDefault="00F0666F" w:rsidP="00E55533">
      <w:pPr>
        <w:rPr>
          <w:b/>
          <w:bCs/>
          <w:i/>
          <w:iCs/>
          <w:sz w:val="24"/>
        </w:rPr>
      </w:pPr>
      <w:r w:rsidRPr="00F5106E">
        <w:rPr>
          <w:b/>
          <w:bCs/>
          <w:i/>
          <w:iCs/>
          <w:sz w:val="24"/>
        </w:rPr>
        <w:t xml:space="preserve">Please list work done in relation to the Transformative Agenda </w:t>
      </w:r>
    </w:p>
    <w:p w:rsidR="00F0666F" w:rsidRPr="00F5106E" w:rsidRDefault="007E2BC8" w:rsidP="00F0666F">
      <w:pPr>
        <w:pStyle w:val="ListParagraph"/>
        <w:numPr>
          <w:ilvl w:val="0"/>
          <w:numId w:val="18"/>
        </w:numPr>
        <w:rPr>
          <w:bCs/>
          <w:iCs/>
          <w:sz w:val="24"/>
        </w:rPr>
      </w:pPr>
      <w:r w:rsidRPr="00F5106E">
        <w:rPr>
          <w:bCs/>
          <w:iCs/>
          <w:sz w:val="24"/>
        </w:rPr>
        <w:t>The SWG prepared a paper on the role of OCHA-managed pooled funds in the event of a level-three emergency.</w:t>
      </w:r>
    </w:p>
    <w:p w:rsidR="00875408" w:rsidRPr="00F5106E" w:rsidRDefault="00875408" w:rsidP="00F004A8">
      <w:pPr>
        <w:pStyle w:val="ListParagraph"/>
        <w:numPr>
          <w:ilvl w:val="0"/>
          <w:numId w:val="18"/>
        </w:numPr>
        <w:rPr>
          <w:bCs/>
          <w:iCs/>
          <w:sz w:val="24"/>
        </w:rPr>
      </w:pPr>
      <w:r w:rsidRPr="00F5106E">
        <w:rPr>
          <w:bCs/>
          <w:iCs/>
          <w:sz w:val="24"/>
        </w:rPr>
        <w:t xml:space="preserve">The SWG on Humanitarian Financing prepared </w:t>
      </w:r>
      <w:r w:rsidR="00C72967" w:rsidRPr="00F5106E">
        <w:rPr>
          <w:bCs/>
          <w:iCs/>
          <w:sz w:val="24"/>
        </w:rPr>
        <w:t>a section on resource mobilization level-three emergencies for a reference module on the humanitarian programme cycle in cooperation</w:t>
      </w:r>
      <w:r w:rsidRPr="00F5106E">
        <w:rPr>
          <w:bCs/>
          <w:iCs/>
          <w:sz w:val="24"/>
        </w:rPr>
        <w:t xml:space="preserve"> with the CAP SWG</w:t>
      </w:r>
      <w:r w:rsidR="00C72967" w:rsidRPr="00F5106E">
        <w:rPr>
          <w:bCs/>
          <w:iCs/>
          <w:sz w:val="24"/>
        </w:rPr>
        <w:t>.</w:t>
      </w:r>
    </w:p>
    <w:p w:rsidR="00FD70CC" w:rsidRPr="00F5106E" w:rsidRDefault="00E55533" w:rsidP="00FD70CC">
      <w:pPr>
        <w:pStyle w:val="Heading2"/>
        <w:numPr>
          <w:ilvl w:val="0"/>
          <w:numId w:val="21"/>
        </w:numPr>
        <w:rPr>
          <w:bCs w:val="0"/>
          <w:i w:val="0"/>
          <w:iCs w:val="0"/>
          <w:color w:val="000000"/>
          <w:sz w:val="24"/>
          <w:lang w:val="en-US"/>
        </w:rPr>
      </w:pPr>
      <w:r w:rsidRPr="00F5106E">
        <w:rPr>
          <w:bCs w:val="0"/>
          <w:i w:val="0"/>
          <w:iCs w:val="0"/>
          <w:color w:val="000000"/>
          <w:sz w:val="24"/>
          <w:lang w:val="en-US"/>
        </w:rPr>
        <w:t>Outstanding work of your Subsidiary Body requiring the attention of the IASC Working Group in 2013</w:t>
      </w:r>
    </w:p>
    <w:p w:rsidR="00FD70CC" w:rsidRPr="00F5106E" w:rsidRDefault="00F32FB8" w:rsidP="00E55533">
      <w:pPr>
        <w:rPr>
          <w:sz w:val="24"/>
          <w:lang w:val="en-US"/>
        </w:rPr>
      </w:pPr>
      <w:r w:rsidRPr="00F5106E">
        <w:rPr>
          <w:b/>
          <w:bCs/>
          <w:i/>
          <w:iCs/>
          <w:sz w:val="24"/>
        </w:rPr>
        <w:t xml:space="preserve">Please list </w:t>
      </w:r>
      <w:r w:rsidR="00E55533" w:rsidRPr="00F5106E">
        <w:rPr>
          <w:b/>
          <w:bCs/>
          <w:i/>
          <w:iCs/>
          <w:sz w:val="24"/>
        </w:rPr>
        <w:t xml:space="preserve">issues requiring the IASC Working Group’s attention </w:t>
      </w:r>
    </w:p>
    <w:p w:rsidR="00FD70CC" w:rsidRPr="00F5106E" w:rsidRDefault="00806A24" w:rsidP="00E55533">
      <w:pPr>
        <w:pStyle w:val="ListParagraph"/>
        <w:numPr>
          <w:ilvl w:val="0"/>
          <w:numId w:val="18"/>
        </w:numPr>
        <w:rPr>
          <w:sz w:val="24"/>
          <w:lang w:val="en-US"/>
        </w:rPr>
      </w:pPr>
      <w:r w:rsidRPr="00F5106E">
        <w:rPr>
          <w:sz w:val="24"/>
          <w:lang w:val="en-US"/>
        </w:rPr>
        <w:t>The second phase of the work of the TT on Funding for Preparedness is expected to be completed in the first half of 2013. Based on the final report, a summary of findings and recommendations will subsequently be presented to the Working Group for consideration.</w:t>
      </w:r>
    </w:p>
    <w:p w:rsidR="00DA23FB" w:rsidRPr="00F5106E" w:rsidRDefault="00DA23FB" w:rsidP="00EE0BFE">
      <w:pPr>
        <w:pStyle w:val="ListParagraph"/>
        <w:rPr>
          <w:sz w:val="24"/>
          <w:lang w:val="en-US"/>
        </w:rPr>
      </w:pPr>
    </w:p>
    <w:p w:rsidR="00FD70CC" w:rsidRPr="00F5106E" w:rsidRDefault="00FD70CC" w:rsidP="00FD70CC">
      <w:pPr>
        <w:rPr>
          <w:sz w:val="24"/>
          <w:lang w:val="en-US"/>
        </w:rPr>
      </w:pPr>
    </w:p>
    <w:p w:rsidR="00FD70CC" w:rsidRPr="00F5106E" w:rsidRDefault="00FD70CC" w:rsidP="00FD70CC">
      <w:pPr>
        <w:rPr>
          <w:sz w:val="24"/>
          <w:lang w:val="en-US"/>
        </w:rPr>
      </w:pPr>
      <w:bookmarkStart w:id="0" w:name="_GoBack"/>
      <w:bookmarkEnd w:id="0"/>
    </w:p>
    <w:p w:rsidR="00FD70CC" w:rsidRPr="00F5106E" w:rsidRDefault="00FD70CC" w:rsidP="00FD70CC">
      <w:pPr>
        <w:jc w:val="right"/>
        <w:rPr>
          <w:sz w:val="24"/>
          <w:lang w:val="en-US"/>
        </w:rPr>
      </w:pPr>
      <w:r w:rsidRPr="00F5106E">
        <w:rPr>
          <w:sz w:val="24"/>
          <w:lang w:val="en-US"/>
        </w:rPr>
        <w:t>Prepared by:</w:t>
      </w:r>
    </w:p>
    <w:p w:rsidR="00F5106E" w:rsidRPr="00F5106E" w:rsidRDefault="00F5106E" w:rsidP="00FD70CC">
      <w:pPr>
        <w:jc w:val="right"/>
        <w:rPr>
          <w:sz w:val="24"/>
          <w:lang w:val="en-US"/>
        </w:rPr>
      </w:pPr>
      <w:r w:rsidRPr="00F5106E">
        <w:rPr>
          <w:sz w:val="24"/>
          <w:lang w:val="en-US"/>
        </w:rPr>
        <w:t>SWG on Humanitarian Financing, January 2013</w:t>
      </w:r>
    </w:p>
    <w:sectPr w:rsidR="00F5106E" w:rsidRPr="00F5106E">
      <w:headerReference w:type="default" r:id="rId9"/>
      <w:footerReference w:type="default" r:id="rId10"/>
      <w:pgSz w:w="11906" w:h="16838"/>
      <w:pgMar w:top="1418"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1D" w:rsidRDefault="00B8281D">
      <w:pPr>
        <w:spacing w:before="0" w:line="240" w:lineRule="auto"/>
      </w:pPr>
      <w:r>
        <w:separator/>
      </w:r>
    </w:p>
  </w:endnote>
  <w:endnote w:type="continuationSeparator" w:id="0">
    <w:p w:rsidR="00B8281D" w:rsidRDefault="00B828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1D" w:rsidRDefault="00B8281D">
    <w:pPr>
      <w:pStyle w:val="Footer"/>
    </w:pPr>
    <w:r>
      <w:rPr>
        <w:noProof/>
        <w:sz w:val="20"/>
        <w:lang w:val="en-GB" w:eastAsia="en-GB"/>
      </w:rPr>
      <mc:AlternateContent>
        <mc:Choice Requires="wps">
          <w:drawing>
            <wp:anchor distT="0" distB="0" distL="114300" distR="114300" simplePos="0" relativeHeight="251661312" behindDoc="0" locked="0" layoutInCell="1" allowOverlap="1" wp14:anchorId="217755E2" wp14:editId="7A267559">
              <wp:simplePos x="0" y="0"/>
              <wp:positionH relativeFrom="margin">
                <wp:align>right</wp:align>
              </wp:positionH>
              <wp:positionV relativeFrom="page">
                <wp:align>bottom</wp:align>
              </wp:positionV>
              <wp:extent cx="311152" cy="539752"/>
              <wp:effectExtent l="0" t="0" r="0" b="0"/>
              <wp:wrapNone/>
              <wp:docPr id="2" name="Text Box 1"/>
              <wp:cNvGraphicFramePr/>
              <a:graphic xmlns:a="http://schemas.openxmlformats.org/drawingml/2006/main">
                <a:graphicData uri="http://schemas.microsoft.com/office/word/2010/wordprocessingShape">
                  <wps:wsp>
                    <wps:cNvSpPr txBox="1"/>
                    <wps:spPr>
                      <a:xfrm>
                        <a:off x="0" y="0"/>
                        <a:ext cx="311152" cy="539752"/>
                      </a:xfrm>
                      <a:prstGeom prst="rect">
                        <a:avLst/>
                      </a:prstGeom>
                      <a:solidFill>
                        <a:srgbClr val="FFFFFF"/>
                      </a:solidFill>
                      <a:ln>
                        <a:noFill/>
                        <a:prstDash/>
                      </a:ln>
                    </wps:spPr>
                    <wps:txbx>
                      <w:txbxContent>
                        <w:p w:rsidR="00B8281D" w:rsidRDefault="00B8281D">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F5106E">
                            <w:rPr>
                              <w:rStyle w:val="PageNumber"/>
                              <w:noProof/>
                            </w:rPr>
                            <w:t>2</w:t>
                          </w:r>
                          <w:r>
                            <w:rPr>
                              <w:rStyle w:val="PageNumber"/>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0;width:24.5pt;height:42.5pt;z-index:251661312;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" stroked="f">
              <v:textbox inset="0,0,0,0">
                <w:txbxContent>
                  <w:p w:rsidR="00B8281D" w:rsidRDefault="00B8281D">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F5106E">
                      <w:rPr>
                        <w:rStyle w:val="PageNumber"/>
                        <w:noProof/>
                      </w:rPr>
                      <w:t>2</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1D" w:rsidRDefault="00B8281D">
      <w:pPr>
        <w:spacing w:before="0" w:line="240" w:lineRule="auto"/>
      </w:pPr>
      <w:r>
        <w:rPr>
          <w:color w:val="000000"/>
        </w:rPr>
        <w:separator/>
      </w:r>
    </w:p>
  </w:footnote>
  <w:footnote w:type="continuationSeparator" w:id="0">
    <w:p w:rsidR="00B8281D" w:rsidRDefault="00B828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1D" w:rsidRDefault="00B8281D">
    <w:pPr>
      <w:pStyle w:val="Header"/>
    </w:pPr>
    <w:r>
      <w:t>Sub-Working Group on Humanitarian Financing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104"/>
    <w:multiLevelType w:val="multilevel"/>
    <w:tmpl w:val="27B46AA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C545E6"/>
    <w:multiLevelType w:val="multilevel"/>
    <w:tmpl w:val="B8040BC2"/>
    <w:styleLink w:val="LFO18"/>
    <w:lvl w:ilvl="0">
      <w:numFmt w:val="bullet"/>
      <w:pStyle w:val="ListBullet2"/>
      <w:lvlText w:val=""/>
      <w:lvlJc w:val="left"/>
      <w:pPr>
        <w:ind w:left="992" w:hanging="425"/>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F2627D3"/>
    <w:multiLevelType w:val="multilevel"/>
    <w:tmpl w:val="F460B4F2"/>
    <w:styleLink w:val="LFO40"/>
    <w:lvl w:ilvl="0">
      <w:start w:val="1"/>
      <w:numFmt w:val="lowerLetter"/>
      <w:pStyle w:val="ListCharacters"/>
      <w:lvlText w:val="(%1)"/>
      <w:lvlJc w:val="left"/>
      <w:pPr>
        <w:ind w:left="567" w:hanging="425"/>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4493AD7"/>
    <w:multiLevelType w:val="hybridMultilevel"/>
    <w:tmpl w:val="40D20A12"/>
    <w:lvl w:ilvl="0" w:tplc="6A42D24C">
      <w:start w:val="1"/>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F65D6"/>
    <w:multiLevelType w:val="multilevel"/>
    <w:tmpl w:val="306C296C"/>
    <w:styleLink w:val="LFO28"/>
    <w:lvl w:ilvl="0">
      <w:start w:val="1"/>
      <w:numFmt w:val="decimal"/>
      <w:pStyle w:val="ListCharacters2"/>
      <w:lvlText w:val="%1."/>
      <w:lvlJc w:val="left"/>
      <w:pPr>
        <w:ind w:left="992" w:hanging="425"/>
      </w:pPr>
    </w:lvl>
    <w:lvl w:ilvl="1">
      <w:start w:val="1"/>
      <w:numFmt w:val="lowerLetter"/>
      <w:lvlText w:val="(%2)"/>
      <w:lvlJc w:val="left"/>
      <w:pPr>
        <w:ind w:left="1505" w:hanging="425"/>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F534FF6"/>
    <w:multiLevelType w:val="multilevel"/>
    <w:tmpl w:val="8CAAF910"/>
    <w:styleLink w:val="WWOutlineListStyle"/>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FD36713"/>
    <w:multiLevelType w:val="multilevel"/>
    <w:tmpl w:val="2FE8587C"/>
    <w:styleLink w:val="LFO42"/>
    <w:lvl w:ilvl="0">
      <w:numFmt w:val="bullet"/>
      <w:pStyle w:val="TableBullet"/>
      <w:lvlText w:val=""/>
      <w:lvlJc w:val="left"/>
      <w:pPr>
        <w:ind w:left="28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16A632E"/>
    <w:multiLevelType w:val="hybridMultilevel"/>
    <w:tmpl w:val="40C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F0D5C"/>
    <w:multiLevelType w:val="hybridMultilevel"/>
    <w:tmpl w:val="82A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D6C96"/>
    <w:multiLevelType w:val="multilevel"/>
    <w:tmpl w:val="2182E646"/>
    <w:styleLink w:val="LFO34"/>
    <w:lvl w:ilvl="0">
      <w:start w:val="1"/>
      <w:numFmt w:val="decimal"/>
      <w:pStyle w:val="ListNumber"/>
      <w:lvlText w:val="%1."/>
      <w:lvlJc w:val="left"/>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F0F581B"/>
    <w:multiLevelType w:val="multilevel"/>
    <w:tmpl w:val="B6CA03C0"/>
    <w:styleLink w:val="LFO16"/>
    <w:lvl w:ilvl="0">
      <w:numFmt w:val="bullet"/>
      <w:pStyle w:val="ListBullet"/>
      <w:lvlText w:val=""/>
      <w:lvlJc w:val="left"/>
      <w:pPr>
        <w:ind w:left="567" w:hanging="425"/>
      </w:pPr>
      <w:rPr>
        <w:rFonts w:ascii="Wingdings" w:hAnsi="Wingdings"/>
      </w:r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F1C65A4"/>
    <w:multiLevelType w:val="multilevel"/>
    <w:tmpl w:val="26B097D4"/>
    <w:styleLink w:val="LFO20"/>
    <w:lvl w:ilvl="0">
      <w:start w:val="1"/>
      <w:numFmt w:val="decimal"/>
      <w:pStyle w:val="ActionSub-Point"/>
      <w:lvlText w:val="%1."/>
      <w:lvlJc w:val="left"/>
      <w:pPr>
        <w:ind w:left="567" w:hanging="425"/>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E14702"/>
    <w:multiLevelType w:val="hybridMultilevel"/>
    <w:tmpl w:val="5D32E58E"/>
    <w:lvl w:ilvl="0" w:tplc="2676D7F0">
      <w:start w:val="1"/>
      <w:numFmt w:val="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E7125"/>
    <w:multiLevelType w:val="hybridMultilevel"/>
    <w:tmpl w:val="C2FE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8E3111"/>
    <w:multiLevelType w:val="multilevel"/>
    <w:tmpl w:val="3176E290"/>
    <w:styleLink w:val="WWOutlineListStyle1"/>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5BE04A2"/>
    <w:multiLevelType w:val="multilevel"/>
    <w:tmpl w:val="E5906654"/>
    <w:styleLink w:val="LFO39"/>
    <w:lvl w:ilvl="0">
      <w:start w:val="1"/>
      <w:numFmt w:val="decimal"/>
      <w:pStyle w:val="TableNumbered"/>
      <w:lvlText w:val="%1."/>
      <w:lvlJc w:val="left"/>
      <w:pPr>
        <w:ind w:left="284" w:hanging="284"/>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F764E56"/>
    <w:multiLevelType w:val="multilevel"/>
    <w:tmpl w:val="00A07862"/>
    <w:styleLink w:val="WWOutlineListStyle2"/>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1341C77"/>
    <w:multiLevelType w:val="hybridMultilevel"/>
    <w:tmpl w:val="3C60B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D23F45"/>
    <w:multiLevelType w:val="multilevel"/>
    <w:tmpl w:val="13E46F36"/>
    <w:styleLink w:val="LFO43"/>
    <w:lvl w:ilvl="0">
      <w:start w:val="1"/>
      <w:numFmt w:val="decimal"/>
      <w:pStyle w:val="ListNumbered"/>
      <w:lvlText w:val="%1."/>
      <w:lvlJc w:val="left"/>
      <w:pPr>
        <w:ind w:left="567"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314D85"/>
    <w:multiLevelType w:val="multilevel"/>
    <w:tmpl w:val="6CF6A268"/>
    <w:styleLink w:val="WWOutlineListStyle3"/>
    <w:lvl w:ilvl="0">
      <w:start w:val="1"/>
      <w:numFmt w:val="upperRoman"/>
      <w:pStyle w:val="Heading1"/>
      <w:lvlText w:val="%1"/>
      <w:lvlJc w:val="left"/>
      <w:pPr>
        <w:ind w:left="567" w:hanging="567"/>
      </w:pPr>
    </w:lvl>
    <w:lvl w:ilvl="1">
      <w:start w:val="1"/>
      <w:numFmt w:val="decimal"/>
      <w:pStyle w:val="Heading2"/>
      <w:lvlText w:val="%1.%2"/>
      <w:lvlJc w:val="left"/>
      <w:pPr>
        <w:ind w:left="567" w:hanging="567"/>
      </w:pPr>
    </w:lvl>
    <w:lvl w:ilvl="2">
      <w:start w:val="1"/>
      <w:numFmt w:val="decimal"/>
      <w:pStyle w:val="Heading3"/>
      <w:lvlText w:val="%1.%2.%3"/>
      <w:lvlJc w:val="left"/>
      <w:pPr>
        <w:ind w:left="567" w:hanging="567"/>
      </w:pPr>
    </w:lvl>
    <w:lvl w:ilvl="3">
      <w:start w:val="1"/>
      <w:numFmt w:val="decimal"/>
      <w:pStyle w:val="Heading4"/>
      <w:lvlText w:val="%1.%2.%3.%4"/>
      <w:lvlJc w:val="left"/>
      <w:pPr>
        <w:ind w:left="567"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B427147"/>
    <w:multiLevelType w:val="multilevel"/>
    <w:tmpl w:val="F43EB7F0"/>
    <w:styleLink w:val="LFO47"/>
    <w:lvl w:ilvl="0">
      <w:start w:val="1"/>
      <w:numFmt w:val="lowerLetter"/>
      <w:pStyle w:val="ActionCharacter"/>
      <w:lvlText w:val="(%1)"/>
      <w:lvlJc w:val="left"/>
      <w:pPr>
        <w:ind w:left="425"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6"/>
  </w:num>
  <w:num w:numId="3">
    <w:abstractNumId w:val="14"/>
  </w:num>
  <w:num w:numId="4">
    <w:abstractNumId w:val="5"/>
  </w:num>
  <w:num w:numId="5">
    <w:abstractNumId w:val="10"/>
  </w:num>
  <w:num w:numId="6">
    <w:abstractNumId w:val="1"/>
  </w:num>
  <w:num w:numId="7">
    <w:abstractNumId w:val="11"/>
  </w:num>
  <w:num w:numId="8">
    <w:abstractNumId w:val="4"/>
  </w:num>
  <w:num w:numId="9">
    <w:abstractNumId w:val="9"/>
  </w:num>
  <w:num w:numId="10">
    <w:abstractNumId w:val="15"/>
  </w:num>
  <w:num w:numId="11">
    <w:abstractNumId w:val="2"/>
  </w:num>
  <w:num w:numId="12">
    <w:abstractNumId w:val="6"/>
  </w:num>
  <w:num w:numId="13">
    <w:abstractNumId w:val="18"/>
  </w:num>
  <w:num w:numId="14">
    <w:abstractNumId w:val="20"/>
  </w:num>
  <w:num w:numId="15">
    <w:abstractNumId w:val="0"/>
  </w:num>
  <w:num w:numId="16">
    <w:abstractNumId w:val="8"/>
  </w:num>
  <w:num w:numId="17">
    <w:abstractNumId w:val="7"/>
  </w:num>
  <w:num w:numId="18">
    <w:abstractNumId w:val="13"/>
  </w:num>
  <w:num w:numId="19">
    <w:abstractNumId w:val="19"/>
  </w:num>
  <w:num w:numId="20">
    <w:abstractNumId w:val="19"/>
  </w:num>
  <w:num w:numId="21">
    <w:abstractNumId w:val="17"/>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5238FD"/>
    <w:rsid w:val="00037A64"/>
    <w:rsid w:val="00062136"/>
    <w:rsid w:val="00157C9F"/>
    <w:rsid w:val="001D2971"/>
    <w:rsid w:val="001E3BAC"/>
    <w:rsid w:val="00226279"/>
    <w:rsid w:val="00287673"/>
    <w:rsid w:val="003A1F8B"/>
    <w:rsid w:val="003F7E8A"/>
    <w:rsid w:val="005238FD"/>
    <w:rsid w:val="005A6E91"/>
    <w:rsid w:val="005C0AF2"/>
    <w:rsid w:val="00607E8F"/>
    <w:rsid w:val="006906D4"/>
    <w:rsid w:val="00694F5D"/>
    <w:rsid w:val="006C66A7"/>
    <w:rsid w:val="007B083E"/>
    <w:rsid w:val="007E2BC8"/>
    <w:rsid w:val="00806A24"/>
    <w:rsid w:val="00855A29"/>
    <w:rsid w:val="00875408"/>
    <w:rsid w:val="008841A9"/>
    <w:rsid w:val="00AE712E"/>
    <w:rsid w:val="00B00958"/>
    <w:rsid w:val="00B8281D"/>
    <w:rsid w:val="00B9655D"/>
    <w:rsid w:val="00BB2B0C"/>
    <w:rsid w:val="00C21860"/>
    <w:rsid w:val="00C72967"/>
    <w:rsid w:val="00C83FCD"/>
    <w:rsid w:val="00D6070A"/>
    <w:rsid w:val="00DA23FB"/>
    <w:rsid w:val="00DA4DCC"/>
    <w:rsid w:val="00DD211E"/>
    <w:rsid w:val="00DE68DD"/>
    <w:rsid w:val="00E2497F"/>
    <w:rsid w:val="00E46118"/>
    <w:rsid w:val="00E55533"/>
    <w:rsid w:val="00EE0BFE"/>
    <w:rsid w:val="00F004A8"/>
    <w:rsid w:val="00F0666F"/>
    <w:rsid w:val="00F1591D"/>
    <w:rsid w:val="00F32FB8"/>
    <w:rsid w:val="00F5106E"/>
    <w:rsid w:val="00FA2CD3"/>
    <w:rsid w:val="00FD7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607E8F"/>
    <w:rPr>
      <w:sz w:val="16"/>
      <w:szCs w:val="16"/>
    </w:rPr>
  </w:style>
  <w:style w:type="paragraph" w:styleId="CommentText">
    <w:name w:val="annotation text"/>
    <w:basedOn w:val="Normal"/>
    <w:link w:val="CommentTextChar"/>
    <w:uiPriority w:val="99"/>
    <w:semiHidden/>
    <w:unhideWhenUsed/>
    <w:rsid w:val="00607E8F"/>
    <w:pPr>
      <w:spacing w:line="240" w:lineRule="auto"/>
    </w:pPr>
    <w:rPr>
      <w:sz w:val="20"/>
      <w:szCs w:val="20"/>
    </w:rPr>
  </w:style>
  <w:style w:type="character" w:customStyle="1" w:styleId="CommentTextChar">
    <w:name w:val="Comment Text Char"/>
    <w:basedOn w:val="DefaultParagraphFont"/>
    <w:link w:val="CommentText"/>
    <w:uiPriority w:val="99"/>
    <w:semiHidden/>
    <w:rsid w:val="00607E8F"/>
    <w:rPr>
      <w:lang w:eastAsia="en-US"/>
    </w:rPr>
  </w:style>
  <w:style w:type="paragraph" w:styleId="CommentSubject">
    <w:name w:val="annotation subject"/>
    <w:basedOn w:val="CommentText"/>
    <w:next w:val="CommentText"/>
    <w:link w:val="CommentSubjectChar"/>
    <w:uiPriority w:val="99"/>
    <w:semiHidden/>
    <w:unhideWhenUsed/>
    <w:rsid w:val="00607E8F"/>
    <w:rPr>
      <w:b/>
      <w:bCs/>
    </w:rPr>
  </w:style>
  <w:style w:type="character" w:customStyle="1" w:styleId="CommentSubjectChar">
    <w:name w:val="Comment Subject Char"/>
    <w:basedOn w:val="CommentTextChar"/>
    <w:link w:val="CommentSubject"/>
    <w:uiPriority w:val="99"/>
    <w:semiHidden/>
    <w:rsid w:val="00607E8F"/>
    <w:rPr>
      <w:b/>
      <w:bCs/>
      <w:lang w:eastAsia="en-US"/>
    </w:rPr>
  </w:style>
  <w:style w:type="paragraph" w:styleId="BalloonText">
    <w:name w:val="Balloon Text"/>
    <w:basedOn w:val="Normal"/>
    <w:link w:val="BalloonTextChar"/>
    <w:uiPriority w:val="99"/>
    <w:semiHidden/>
    <w:unhideWhenUsed/>
    <w:rsid w:val="00607E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607E8F"/>
    <w:rPr>
      <w:sz w:val="16"/>
      <w:szCs w:val="16"/>
    </w:rPr>
  </w:style>
  <w:style w:type="paragraph" w:styleId="CommentText">
    <w:name w:val="annotation text"/>
    <w:basedOn w:val="Normal"/>
    <w:link w:val="CommentTextChar"/>
    <w:uiPriority w:val="99"/>
    <w:semiHidden/>
    <w:unhideWhenUsed/>
    <w:rsid w:val="00607E8F"/>
    <w:pPr>
      <w:spacing w:line="240" w:lineRule="auto"/>
    </w:pPr>
    <w:rPr>
      <w:sz w:val="20"/>
      <w:szCs w:val="20"/>
    </w:rPr>
  </w:style>
  <w:style w:type="character" w:customStyle="1" w:styleId="CommentTextChar">
    <w:name w:val="Comment Text Char"/>
    <w:basedOn w:val="DefaultParagraphFont"/>
    <w:link w:val="CommentText"/>
    <w:uiPriority w:val="99"/>
    <w:semiHidden/>
    <w:rsid w:val="00607E8F"/>
    <w:rPr>
      <w:lang w:eastAsia="en-US"/>
    </w:rPr>
  </w:style>
  <w:style w:type="paragraph" w:styleId="CommentSubject">
    <w:name w:val="annotation subject"/>
    <w:basedOn w:val="CommentText"/>
    <w:next w:val="CommentText"/>
    <w:link w:val="CommentSubjectChar"/>
    <w:uiPriority w:val="99"/>
    <w:semiHidden/>
    <w:unhideWhenUsed/>
    <w:rsid w:val="00607E8F"/>
    <w:rPr>
      <w:b/>
      <w:bCs/>
    </w:rPr>
  </w:style>
  <w:style w:type="character" w:customStyle="1" w:styleId="CommentSubjectChar">
    <w:name w:val="Comment Subject Char"/>
    <w:basedOn w:val="CommentTextChar"/>
    <w:link w:val="CommentSubject"/>
    <w:uiPriority w:val="99"/>
    <w:semiHidden/>
    <w:rsid w:val="00607E8F"/>
    <w:rPr>
      <w:b/>
      <w:bCs/>
      <w:lang w:eastAsia="en-US"/>
    </w:rPr>
  </w:style>
  <w:style w:type="paragraph" w:styleId="BalloonText">
    <w:name w:val="Balloon Text"/>
    <w:basedOn w:val="Normal"/>
    <w:link w:val="BalloonTextChar"/>
    <w:uiPriority w:val="99"/>
    <w:semiHidden/>
    <w:unhideWhenUsed/>
    <w:rsid w:val="00607E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ID~1.HAR\LOCALS~1\Temp\notesC9812B\IASC%20Subsidiary%20Bodies%202012%20Annu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0D9E-FE2B-4FB4-BA83-365FFFE0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IASC Subsidiary Bodies 2012 Annual Report Template.dotx</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OCHA</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David Hartstone</dc:creator>
  <cp:lastModifiedBy>Katja LAURILA</cp:lastModifiedBy>
  <cp:revision>2</cp:revision>
  <cp:lastPrinted>2006-02-01T17:45:00Z</cp:lastPrinted>
  <dcterms:created xsi:type="dcterms:W3CDTF">2013-02-04T09:32:00Z</dcterms:created>
  <dcterms:modified xsi:type="dcterms:W3CDTF">2013-02-04T09:32:00Z</dcterms:modified>
</cp:coreProperties>
</file>