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36" w:rsidRDefault="00AE712E" w:rsidP="00E55533">
      <w:pPr>
        <w:pStyle w:val="BoxBanner"/>
        <w:spacing w:line="240" w:lineRule="auto"/>
      </w:pPr>
      <w:r>
        <w:t>Inter-Agency Standing Committee</w:t>
      </w:r>
    </w:p>
    <w:p w:rsidR="006906D4" w:rsidRDefault="006906D4" w:rsidP="00E55533">
      <w:pPr>
        <w:pStyle w:val="BoxBanner"/>
        <w:spacing w:line="240" w:lineRule="auto"/>
      </w:pPr>
    </w:p>
    <w:p w:rsidR="00FD70CC" w:rsidRPr="006906D4" w:rsidRDefault="00FD70CC" w:rsidP="00E55533">
      <w:pPr>
        <w:pStyle w:val="BoxBanner"/>
        <w:spacing w:line="240" w:lineRule="auto"/>
        <w:rPr>
          <w:b/>
        </w:rPr>
      </w:pPr>
      <w:r w:rsidRPr="006906D4">
        <w:rPr>
          <w:b/>
        </w:rPr>
        <w:t xml:space="preserve">IASC SUBSIDIARY BODies </w:t>
      </w:r>
    </w:p>
    <w:p w:rsidR="006906D4" w:rsidRDefault="00FB25EC" w:rsidP="00E55533">
      <w:pPr>
        <w:pStyle w:val="BoxTitle"/>
        <w:spacing w:after="0"/>
      </w:pPr>
      <w:r>
        <w:t xml:space="preserve">IASC </w:t>
      </w:r>
      <w:r w:rsidR="006D1AC3">
        <w:t>Sub</w:t>
      </w:r>
      <w:r>
        <w:t>-</w:t>
      </w:r>
      <w:r w:rsidR="006D1AC3">
        <w:t xml:space="preserve">Working </w:t>
      </w:r>
      <w:r>
        <w:t xml:space="preserve">Group </w:t>
      </w:r>
      <w:r w:rsidR="006D1AC3">
        <w:t>on Preparedness</w:t>
      </w:r>
    </w:p>
    <w:p w:rsidR="00062136" w:rsidRPr="006906D4" w:rsidRDefault="006906D4" w:rsidP="00E55533">
      <w:pPr>
        <w:pStyle w:val="BoxTitle"/>
        <w:spacing w:after="0"/>
        <w:rPr>
          <w:sz w:val="24"/>
        </w:rPr>
      </w:pPr>
      <w:r w:rsidRPr="006906D4">
        <w:rPr>
          <w:sz w:val="24"/>
        </w:rPr>
        <w:t>ANNUAL REPORT 2012</w:t>
      </w:r>
    </w:p>
    <w:p w:rsidR="00062136" w:rsidRDefault="00FB25EC" w:rsidP="00E55533">
      <w:pPr>
        <w:pStyle w:val="BoxCirculated"/>
      </w:pPr>
      <w:r>
        <w:t>Circulated: January 2013</w:t>
      </w:r>
    </w:p>
    <w:p w:rsidR="00FD70CC" w:rsidRDefault="00FD70CC" w:rsidP="00FD70CC">
      <w:pPr>
        <w:pStyle w:val="Heading2"/>
        <w:numPr>
          <w:ilvl w:val="0"/>
          <w:numId w:val="21"/>
        </w:numPr>
        <w:rPr>
          <w:bCs w:val="0"/>
          <w:i w:val="0"/>
          <w:iCs w:val="0"/>
          <w:color w:val="000000"/>
          <w:sz w:val="28"/>
          <w:szCs w:val="20"/>
          <w:lang w:val="en-US"/>
        </w:rPr>
      </w:pPr>
      <w:r>
        <w:rPr>
          <w:bCs w:val="0"/>
          <w:i w:val="0"/>
          <w:iCs w:val="0"/>
          <w:color w:val="000000"/>
          <w:sz w:val="28"/>
          <w:szCs w:val="20"/>
          <w:lang w:val="en-US"/>
        </w:rPr>
        <w:t xml:space="preserve">Key Achievements against Work plan Targets </w:t>
      </w:r>
    </w:p>
    <w:p w:rsidR="00095D00" w:rsidRDefault="00095D00" w:rsidP="00095D00">
      <w:pPr>
        <w:spacing w:before="0" w:line="240" w:lineRule="auto"/>
        <w:rPr>
          <w:lang w:val="en-US"/>
        </w:rPr>
      </w:pPr>
      <w:r>
        <w:rPr>
          <w:lang w:val="en-US"/>
        </w:rPr>
        <w:t xml:space="preserve">In early 2012, the IASC Sub-Working Group on Preparedness agreed to focus on following areas for 2012 workplan: </w:t>
      </w:r>
    </w:p>
    <w:p w:rsidR="00095D00" w:rsidRDefault="00095D00" w:rsidP="00095D00">
      <w:pPr>
        <w:spacing w:before="0" w:line="240" w:lineRule="auto"/>
        <w:rPr>
          <w:lang w:val="en-US"/>
        </w:rPr>
      </w:pPr>
    </w:p>
    <w:p w:rsidR="00095D00" w:rsidRPr="00EA5477" w:rsidRDefault="00095D00" w:rsidP="00095D00">
      <w:pPr>
        <w:numPr>
          <w:ilvl w:val="0"/>
          <w:numId w:val="23"/>
        </w:numPr>
        <w:suppressAutoHyphens w:val="0"/>
        <w:autoSpaceDN/>
        <w:spacing w:before="0" w:line="240" w:lineRule="auto"/>
        <w:ind w:left="357" w:hanging="357"/>
        <w:textAlignment w:val="auto"/>
        <w:rPr>
          <w:lang w:val="en-US"/>
        </w:rPr>
      </w:pPr>
      <w:r>
        <w:rPr>
          <w:lang w:val="en-US"/>
        </w:rPr>
        <w:t>Enhanced ability to implement early action through s</w:t>
      </w:r>
      <w:r w:rsidRPr="00EA5477">
        <w:rPr>
          <w:lang w:val="en-US"/>
        </w:rPr>
        <w:t>trengthened early warning.</w:t>
      </w:r>
    </w:p>
    <w:p w:rsidR="00095D00" w:rsidRPr="00EA5477" w:rsidRDefault="00095D00" w:rsidP="00095D00">
      <w:pPr>
        <w:numPr>
          <w:ilvl w:val="0"/>
          <w:numId w:val="23"/>
        </w:numPr>
        <w:suppressAutoHyphens w:val="0"/>
        <w:autoSpaceDN/>
        <w:spacing w:before="0" w:line="240" w:lineRule="auto"/>
        <w:ind w:left="357" w:hanging="357"/>
        <w:textAlignment w:val="auto"/>
        <w:rPr>
          <w:lang w:val="en-US"/>
        </w:rPr>
      </w:pPr>
      <w:r w:rsidRPr="00EA5477">
        <w:rPr>
          <w:lang w:val="en-US"/>
        </w:rPr>
        <w:t>Improved inter agency guidance on emergency preparedness.</w:t>
      </w:r>
    </w:p>
    <w:p w:rsidR="00095D00" w:rsidRPr="00EA5477" w:rsidRDefault="00B936D4" w:rsidP="00095D00">
      <w:pPr>
        <w:numPr>
          <w:ilvl w:val="0"/>
          <w:numId w:val="23"/>
        </w:numPr>
        <w:suppressAutoHyphens w:val="0"/>
        <w:autoSpaceDN/>
        <w:spacing w:before="0" w:line="240" w:lineRule="auto"/>
        <w:ind w:left="357" w:hanging="357"/>
        <w:textAlignment w:val="auto"/>
        <w:rPr>
          <w:lang w:val="en-US"/>
        </w:rPr>
      </w:pPr>
      <w:r>
        <w:rPr>
          <w:lang w:val="en-US"/>
        </w:rPr>
        <w:t xml:space="preserve">Increased </w:t>
      </w:r>
      <w:r w:rsidR="00095D00" w:rsidRPr="00EA5477">
        <w:rPr>
          <w:lang w:val="en-US"/>
        </w:rPr>
        <w:t>inter-agency and government capacity to support simulation exercises.</w:t>
      </w:r>
    </w:p>
    <w:p w:rsidR="00095D00" w:rsidRPr="00EA5477" w:rsidRDefault="00095D00" w:rsidP="00095D00">
      <w:pPr>
        <w:numPr>
          <w:ilvl w:val="0"/>
          <w:numId w:val="23"/>
        </w:numPr>
        <w:suppressAutoHyphens w:val="0"/>
        <w:autoSpaceDN/>
        <w:spacing w:before="0" w:line="240" w:lineRule="auto"/>
        <w:ind w:left="357" w:hanging="357"/>
        <w:textAlignment w:val="auto"/>
        <w:rPr>
          <w:lang w:val="en-US"/>
        </w:rPr>
      </w:pPr>
      <w:r w:rsidRPr="00EA5477">
        <w:rPr>
          <w:lang w:val="en-US"/>
        </w:rPr>
        <w:t>Strengthened national capacity in preparedness</w:t>
      </w:r>
    </w:p>
    <w:p w:rsidR="00095D00" w:rsidRPr="00095D00" w:rsidRDefault="00095D00" w:rsidP="00095D00">
      <w:pPr>
        <w:numPr>
          <w:ilvl w:val="0"/>
          <w:numId w:val="23"/>
        </w:numPr>
        <w:suppressAutoHyphens w:val="0"/>
        <w:autoSpaceDN/>
        <w:spacing w:before="0" w:line="240" w:lineRule="auto"/>
        <w:ind w:left="357" w:hanging="357"/>
        <w:textAlignment w:val="auto"/>
        <w:rPr>
          <w:lang w:val="en-US"/>
        </w:rPr>
      </w:pPr>
      <w:r w:rsidRPr="00EA5477">
        <w:rPr>
          <w:lang w:val="en-US"/>
        </w:rPr>
        <w:t>Increased coordination and knowledge management for emergency preparedness.</w:t>
      </w:r>
    </w:p>
    <w:p w:rsidR="00FD70CC" w:rsidRPr="00095D00" w:rsidRDefault="00095D00" w:rsidP="00FD70CC">
      <w:r w:rsidRPr="00095D00">
        <w:t>The major achievements for 2012 against above objectives are:</w:t>
      </w:r>
    </w:p>
    <w:p w:rsidR="00FD70CC" w:rsidRDefault="00095D00" w:rsidP="00FB25EC">
      <w:pPr>
        <w:pStyle w:val="ListParagraph"/>
        <w:numPr>
          <w:ilvl w:val="0"/>
          <w:numId w:val="18"/>
        </w:numPr>
        <w:ind w:left="360"/>
      </w:pPr>
      <w:r>
        <w:t>The revised methodology on inter-agency early warning and early action i</w:t>
      </w:r>
      <w:r w:rsidR="005428BE">
        <w:t xml:space="preserve">s in place and tested.  The </w:t>
      </w:r>
      <w:r w:rsidR="00620565">
        <w:t xml:space="preserve">revised </w:t>
      </w:r>
      <w:r>
        <w:t>EWEA report was issued</w:t>
      </w:r>
      <w:r w:rsidR="005428BE">
        <w:t xml:space="preserve"> twice</w:t>
      </w:r>
      <w:r w:rsidR="00620565">
        <w:t xml:space="preserve"> with a stronger focus on analysis and recommended early action.  T</w:t>
      </w:r>
      <w:r w:rsidR="005428BE">
        <w:t>he October 2012 version was disseminated</w:t>
      </w:r>
      <w:r>
        <w:t xml:space="preserve"> to </w:t>
      </w:r>
      <w:r w:rsidR="00620565">
        <w:t xml:space="preserve">the </w:t>
      </w:r>
      <w:r>
        <w:t xml:space="preserve">Emergency Directors. </w:t>
      </w:r>
    </w:p>
    <w:p w:rsidR="002526A2" w:rsidRDefault="002526A2" w:rsidP="00FB25EC">
      <w:pPr>
        <w:pStyle w:val="ListParagraph"/>
        <w:numPr>
          <w:ilvl w:val="0"/>
          <w:numId w:val="18"/>
        </w:numPr>
        <w:ind w:left="360"/>
      </w:pPr>
      <w:r>
        <w:t xml:space="preserve">Progress was made in defining common </w:t>
      </w:r>
      <w:r w:rsidR="005D18D7">
        <w:t xml:space="preserve">inter-agency </w:t>
      </w:r>
      <w:r>
        <w:t xml:space="preserve">methodology to assess </w:t>
      </w:r>
      <w:r w:rsidR="00620565">
        <w:t xml:space="preserve">humanitarian </w:t>
      </w:r>
      <w:r>
        <w:t>risk at country level, through discussion in advancing Global Focus Model</w:t>
      </w:r>
      <w:r w:rsidR="00620565">
        <w:t xml:space="preserve"> and a new partnership with EU’s Joint Research </w:t>
      </w:r>
      <w:proofErr w:type="spellStart"/>
      <w:r w:rsidR="00620565">
        <w:t>Center</w:t>
      </w:r>
      <w:proofErr w:type="spellEnd"/>
      <w:r>
        <w:t xml:space="preserve">. </w:t>
      </w:r>
    </w:p>
    <w:p w:rsidR="00095D00" w:rsidRDefault="00095D00" w:rsidP="00FB25EC">
      <w:pPr>
        <w:pStyle w:val="ListParagraph"/>
        <w:numPr>
          <w:ilvl w:val="0"/>
          <w:numId w:val="18"/>
        </w:numPr>
        <w:ind w:left="360"/>
      </w:pPr>
      <w:r>
        <w:t>The inter-agency Emergency Response Preparedness (ERP) approach was adopted by the SWG</w:t>
      </w:r>
      <w:r w:rsidR="00620565">
        <w:t xml:space="preserve"> and integrated in the </w:t>
      </w:r>
      <w:bookmarkStart w:id="0" w:name="_GoBack"/>
      <w:bookmarkEnd w:id="0"/>
      <w:r w:rsidR="002F6FBF">
        <w:t>Humanitarian Programme Cycle</w:t>
      </w:r>
      <w:r w:rsidR="00620565">
        <w:t xml:space="preserve"> developed under </w:t>
      </w:r>
      <w:r w:rsidR="005D18D7">
        <w:t>the Transformative Agenda</w:t>
      </w:r>
      <w:r w:rsidR="00620565">
        <w:t xml:space="preserve"> and adopted by IASC Principals</w:t>
      </w:r>
      <w:r w:rsidR="002F6FBF">
        <w:t xml:space="preserve">. </w:t>
      </w:r>
    </w:p>
    <w:p w:rsidR="00095D00" w:rsidRPr="00FB25EC" w:rsidRDefault="002526A2" w:rsidP="00FB25EC">
      <w:pPr>
        <w:pStyle w:val="ListParagraph"/>
        <w:numPr>
          <w:ilvl w:val="0"/>
          <w:numId w:val="18"/>
        </w:numPr>
        <w:ind w:left="360"/>
      </w:pPr>
      <w:r w:rsidRPr="00FB25EC">
        <w:t>In terms of national capacity building on pre</w:t>
      </w:r>
      <w:r w:rsidR="005D18D7" w:rsidRPr="00FB25EC">
        <w:t>paredness, the SWG undertook a</w:t>
      </w:r>
      <w:r w:rsidRPr="00FB25EC">
        <w:t xml:space="preserve"> study on Country Capacity Development on Emergency Preparedness</w:t>
      </w:r>
      <w:r w:rsidR="00095D00" w:rsidRPr="00FB25EC">
        <w:t xml:space="preserve">. </w:t>
      </w:r>
      <w:r w:rsidR="00CD0DA5" w:rsidRPr="00FB25EC">
        <w:t xml:space="preserve"> Based on the findings of this study and on the results of ongoing pilot country initiatives, an IASC, UNDG, UNISDR Common Framework for Capacity Development for Preparedness was developed</w:t>
      </w:r>
      <w:r w:rsidR="005D18D7" w:rsidRPr="00FB25EC">
        <w:t xml:space="preserve"> and presented to the IASC Principals</w:t>
      </w:r>
      <w:r w:rsidR="00CD0DA5" w:rsidRPr="00FB25EC">
        <w:t xml:space="preserve">.  </w:t>
      </w:r>
    </w:p>
    <w:p w:rsidR="00070784" w:rsidRPr="00FB25EC" w:rsidRDefault="00412E56" w:rsidP="00FB25EC">
      <w:pPr>
        <w:pStyle w:val="ListParagraph"/>
        <w:numPr>
          <w:ilvl w:val="0"/>
          <w:numId w:val="18"/>
        </w:numPr>
        <w:ind w:left="360"/>
      </w:pPr>
      <w:r w:rsidRPr="00FB25EC">
        <w:t>A new Government Emergency Simulation</w:t>
      </w:r>
      <w:r w:rsidR="00423384" w:rsidRPr="00FB25EC">
        <w:t xml:space="preserve"> (GES)</w:t>
      </w:r>
      <w:r w:rsidRPr="00FB25EC">
        <w:t xml:space="preserve"> package was finalized and disseminated through four </w:t>
      </w:r>
      <w:r w:rsidR="00423384" w:rsidRPr="00FB25EC">
        <w:t>training events (Sweden, Egypt, South Africa and Senegal)</w:t>
      </w:r>
      <w:r w:rsidRPr="00FB25EC">
        <w:t xml:space="preserve"> involving </w:t>
      </w:r>
      <w:r w:rsidR="00423384" w:rsidRPr="00FB25EC">
        <w:t xml:space="preserve">members from </w:t>
      </w:r>
      <w:r w:rsidRPr="00FB25EC">
        <w:t>IASC agencies as well as governme</w:t>
      </w:r>
      <w:r w:rsidR="00423384" w:rsidRPr="00FB25EC">
        <w:t xml:space="preserve">nt disaster management agencies.  The trainings also included orientation on the </w:t>
      </w:r>
      <w:r w:rsidRPr="00FB25EC">
        <w:t>new ERP approach</w:t>
      </w:r>
      <w:r w:rsidR="00423384" w:rsidRPr="00FB25EC">
        <w:t>.</w:t>
      </w:r>
    </w:p>
    <w:p w:rsidR="009776BA" w:rsidRPr="00FB25EC" w:rsidRDefault="00423384" w:rsidP="00FB25EC">
      <w:pPr>
        <w:pStyle w:val="ListParagraph"/>
        <w:numPr>
          <w:ilvl w:val="0"/>
          <w:numId w:val="18"/>
        </w:numPr>
        <w:ind w:left="360"/>
      </w:pPr>
      <w:r w:rsidRPr="00FB25EC">
        <w:t xml:space="preserve">Country support was provided to Haiti for the development of a </w:t>
      </w:r>
      <w:r w:rsidR="00070784" w:rsidRPr="00FB25EC">
        <w:t>national contingency plan on seismic risk</w:t>
      </w:r>
      <w:r w:rsidRPr="00FB25EC">
        <w:t xml:space="preserve"> and to the </w:t>
      </w:r>
      <w:r w:rsidR="002526A2" w:rsidRPr="00FB25EC">
        <w:t xml:space="preserve">Philippines, Kenya and in </w:t>
      </w:r>
      <w:proofErr w:type="spellStart"/>
      <w:r w:rsidR="002526A2" w:rsidRPr="00FB25EC">
        <w:t>Kyrg</w:t>
      </w:r>
      <w:r w:rsidRPr="00FB25EC">
        <w:t>hi</w:t>
      </w:r>
      <w:r w:rsidR="002526A2" w:rsidRPr="00FB25EC">
        <w:t>stan</w:t>
      </w:r>
      <w:proofErr w:type="spellEnd"/>
      <w:r w:rsidRPr="00FB25EC">
        <w:t xml:space="preserve"> for simulation exercises</w:t>
      </w:r>
      <w:r w:rsidR="002526A2" w:rsidRPr="00FB25EC">
        <w:t xml:space="preserve">. </w:t>
      </w:r>
    </w:p>
    <w:p w:rsidR="00FD70CC" w:rsidRPr="00FB25EC" w:rsidRDefault="005428BE" w:rsidP="00FB25EC">
      <w:pPr>
        <w:pStyle w:val="ListParagraph"/>
        <w:numPr>
          <w:ilvl w:val="0"/>
          <w:numId w:val="18"/>
        </w:numPr>
        <w:ind w:left="360"/>
      </w:pPr>
      <w:r w:rsidRPr="00FB25EC">
        <w:t>In support</w:t>
      </w:r>
      <w:r w:rsidR="00423384" w:rsidRPr="00FB25EC">
        <w:t xml:space="preserve"> of </w:t>
      </w:r>
      <w:r w:rsidRPr="00FB25EC">
        <w:t xml:space="preserve">knowledge management, </w:t>
      </w:r>
      <w:r w:rsidR="00423384" w:rsidRPr="00FB25EC">
        <w:t xml:space="preserve">a </w:t>
      </w:r>
      <w:r w:rsidRPr="00FB25EC">
        <w:t>Preparedness Tracker</w:t>
      </w:r>
      <w:r w:rsidR="00423384" w:rsidRPr="00FB25EC">
        <w:t xml:space="preserve"> website</w:t>
      </w:r>
      <w:r w:rsidRPr="00FB25EC">
        <w:t xml:space="preserve"> was </w:t>
      </w:r>
      <w:r w:rsidR="00423384" w:rsidRPr="00FB25EC">
        <w:t>finalized and launched with SWG members.</w:t>
      </w:r>
      <w:r w:rsidRPr="00FB25EC">
        <w:t xml:space="preserve"> </w:t>
      </w:r>
    </w:p>
    <w:p w:rsidR="00FD70CC" w:rsidRPr="00FD70CC" w:rsidRDefault="00FD70CC" w:rsidP="00FD70CC">
      <w:pPr>
        <w:pStyle w:val="Heading2"/>
        <w:numPr>
          <w:ilvl w:val="0"/>
          <w:numId w:val="21"/>
        </w:numPr>
        <w:rPr>
          <w:bCs w:val="0"/>
          <w:i w:val="0"/>
          <w:iCs w:val="0"/>
          <w:color w:val="000000"/>
          <w:sz w:val="28"/>
          <w:szCs w:val="20"/>
          <w:lang w:val="en-US"/>
        </w:rPr>
      </w:pPr>
      <w:r w:rsidRPr="00FD70CC">
        <w:rPr>
          <w:bCs w:val="0"/>
          <w:i w:val="0"/>
          <w:iCs w:val="0"/>
          <w:color w:val="000000"/>
          <w:sz w:val="28"/>
          <w:szCs w:val="20"/>
          <w:lang w:val="en-US"/>
        </w:rPr>
        <w:lastRenderedPageBreak/>
        <w:t xml:space="preserve">Challenges faced in 2012 </w:t>
      </w:r>
    </w:p>
    <w:p w:rsidR="00FD70CC" w:rsidRPr="00FD70CC" w:rsidRDefault="00FD70CC" w:rsidP="00FD70CC">
      <w:pPr>
        <w:rPr>
          <w:b/>
          <w:bCs/>
          <w:i/>
          <w:iCs/>
        </w:rPr>
      </w:pPr>
      <w:r w:rsidRPr="00FD70CC">
        <w:rPr>
          <w:b/>
          <w:bCs/>
          <w:i/>
          <w:iCs/>
        </w:rPr>
        <w:t>List up 5 challenges and constraints faced by the Subsidiary Body</w:t>
      </w:r>
    </w:p>
    <w:p w:rsidR="00FD70CC" w:rsidRDefault="00423384" w:rsidP="00FB25EC">
      <w:pPr>
        <w:pStyle w:val="ListParagraph"/>
        <w:numPr>
          <w:ilvl w:val="0"/>
          <w:numId w:val="18"/>
        </w:numPr>
        <w:ind w:left="360"/>
      </w:pPr>
      <w:r>
        <w:t xml:space="preserve">Continued </w:t>
      </w:r>
      <w:r w:rsidR="007D6A95">
        <w:t xml:space="preserve">challenges in achieving </w:t>
      </w:r>
      <w:r>
        <w:t xml:space="preserve">clarity between the </w:t>
      </w:r>
      <w:r w:rsidR="00CA5D27">
        <w:t xml:space="preserve">preparedness and resilience </w:t>
      </w:r>
      <w:r>
        <w:t>agendas.</w:t>
      </w:r>
    </w:p>
    <w:p w:rsidR="009370C6" w:rsidRDefault="007D6A95" w:rsidP="00FB25EC">
      <w:pPr>
        <w:pStyle w:val="ListParagraph"/>
        <w:numPr>
          <w:ilvl w:val="0"/>
          <w:numId w:val="18"/>
        </w:numPr>
        <w:ind w:left="360"/>
      </w:pPr>
      <w:r>
        <w:t>Continued challenges in the dissemination of the IASC EWEA report although it now appears that the reactivation of the Emergency Director’s</w:t>
      </w:r>
      <w:r w:rsidR="00FB25EC">
        <w:t xml:space="preserve"> meeting will also cover EWEA. </w:t>
      </w:r>
      <w:r>
        <w:t xml:space="preserve"> </w:t>
      </w:r>
      <w:r w:rsidR="009370C6">
        <w:t xml:space="preserve"> </w:t>
      </w:r>
    </w:p>
    <w:p w:rsidR="00FD70CC" w:rsidRDefault="00CA5D27" w:rsidP="00FB25EC">
      <w:pPr>
        <w:pStyle w:val="ListParagraph"/>
        <w:numPr>
          <w:ilvl w:val="0"/>
          <w:numId w:val="18"/>
        </w:numPr>
        <w:ind w:left="360"/>
      </w:pPr>
      <w:r>
        <w:t xml:space="preserve">Unclear accountability mechanism </w:t>
      </w:r>
      <w:r w:rsidR="00E73178">
        <w:t xml:space="preserve">(both at HQ and at field levels) </w:t>
      </w:r>
      <w:r>
        <w:t xml:space="preserve">in operationalizing and following up on preparedness </w:t>
      </w:r>
      <w:r w:rsidR="007D6A95">
        <w:t>work</w:t>
      </w:r>
    </w:p>
    <w:p w:rsidR="00E55533" w:rsidRDefault="00E55533" w:rsidP="00E55533">
      <w:pPr>
        <w:pStyle w:val="Heading2"/>
        <w:numPr>
          <w:ilvl w:val="0"/>
          <w:numId w:val="21"/>
        </w:numPr>
        <w:rPr>
          <w:bCs w:val="0"/>
          <w:i w:val="0"/>
          <w:iCs w:val="0"/>
          <w:color w:val="000000"/>
          <w:sz w:val="28"/>
          <w:szCs w:val="28"/>
          <w:lang w:val="en-US"/>
        </w:rPr>
      </w:pPr>
      <w:r>
        <w:rPr>
          <w:bCs w:val="0"/>
          <w:i w:val="0"/>
          <w:iCs w:val="0"/>
          <w:color w:val="000000"/>
          <w:sz w:val="28"/>
          <w:szCs w:val="28"/>
          <w:lang w:val="en-US"/>
        </w:rPr>
        <w:t xml:space="preserve">Any outcomes of your Subsidiary Body in relation to the Transformative Agenda in 2012 </w:t>
      </w:r>
    </w:p>
    <w:p w:rsidR="00E55533" w:rsidRDefault="00F0666F" w:rsidP="00E55533">
      <w:pPr>
        <w:rPr>
          <w:b/>
          <w:bCs/>
          <w:i/>
          <w:iCs/>
        </w:rPr>
      </w:pPr>
      <w:r w:rsidRPr="00F0666F">
        <w:rPr>
          <w:b/>
          <w:bCs/>
          <w:i/>
          <w:iCs/>
        </w:rPr>
        <w:t xml:space="preserve">Please list </w:t>
      </w:r>
      <w:r>
        <w:rPr>
          <w:b/>
          <w:bCs/>
          <w:i/>
          <w:iCs/>
        </w:rPr>
        <w:t xml:space="preserve">work done in relation to the Transformative Agenda </w:t>
      </w:r>
    </w:p>
    <w:p w:rsidR="002F6FBF" w:rsidRPr="00FB25EC" w:rsidRDefault="002F6FBF" w:rsidP="00FB25EC">
      <w:pPr>
        <w:pStyle w:val="ListParagraph"/>
        <w:numPr>
          <w:ilvl w:val="0"/>
          <w:numId w:val="18"/>
        </w:numPr>
        <w:ind w:left="360"/>
      </w:pPr>
      <w:r>
        <w:t xml:space="preserve">In preparation for July WG meeting, the SWG undertook analysis on progress on Transformative Agenda from a preparedness perspective. </w:t>
      </w:r>
    </w:p>
    <w:p w:rsidR="00F0666F" w:rsidRPr="00FB25EC" w:rsidRDefault="00B936D4" w:rsidP="00FB25EC">
      <w:pPr>
        <w:pStyle w:val="ListParagraph"/>
        <w:numPr>
          <w:ilvl w:val="0"/>
          <w:numId w:val="18"/>
        </w:numPr>
        <w:ind w:left="360"/>
      </w:pPr>
      <w:r>
        <w:t xml:space="preserve">The </w:t>
      </w:r>
      <w:r w:rsidR="002F6FBF">
        <w:t xml:space="preserve">SWG </w:t>
      </w:r>
      <w:r>
        <w:t xml:space="preserve">drafted </w:t>
      </w:r>
      <w:r w:rsidR="002F6FBF">
        <w:t>a ref</w:t>
      </w:r>
      <w:r w:rsidR="00191B8B">
        <w:t>erence module on preparedness</w:t>
      </w:r>
      <w:r>
        <w:t xml:space="preserve"> (using the ERP approach) within the overall guidance on the </w:t>
      </w:r>
      <w:r w:rsidR="00191B8B">
        <w:t>Humanitarian Program</w:t>
      </w:r>
      <w:r w:rsidR="00070784">
        <w:t xml:space="preserve">me Cycle. </w:t>
      </w:r>
    </w:p>
    <w:p w:rsidR="002F6FBF" w:rsidRPr="00FB25EC" w:rsidRDefault="002F6FBF" w:rsidP="00FB25EC">
      <w:pPr>
        <w:pStyle w:val="ListParagraph"/>
        <w:numPr>
          <w:ilvl w:val="0"/>
          <w:numId w:val="18"/>
        </w:numPr>
        <w:ind w:left="360"/>
      </w:pPr>
      <w:r>
        <w:t xml:space="preserve">The SWG engaged in </w:t>
      </w:r>
      <w:r w:rsidR="00B936D4">
        <w:t xml:space="preserve">a </w:t>
      </w:r>
      <w:r>
        <w:t xml:space="preserve">series of discussion </w:t>
      </w:r>
      <w:r w:rsidR="00B936D4">
        <w:t xml:space="preserve">on the role of </w:t>
      </w:r>
      <w:r>
        <w:t>cluster</w:t>
      </w:r>
      <w:r w:rsidR="00B936D4">
        <w:t>s in</w:t>
      </w:r>
      <w:r>
        <w:t xml:space="preserve"> prep</w:t>
      </w:r>
      <w:r w:rsidR="009370C6">
        <w:t>aredness</w:t>
      </w:r>
      <w:r w:rsidR="00B936D4">
        <w:t xml:space="preserve"> based on the new</w:t>
      </w:r>
      <w:r w:rsidR="00D52B19">
        <w:t xml:space="preserve"> </w:t>
      </w:r>
      <w:r w:rsidR="009370C6">
        <w:t>ERP</w:t>
      </w:r>
      <w:r w:rsidR="00B936D4">
        <w:t xml:space="preserve"> approach</w:t>
      </w:r>
      <w:r>
        <w:t xml:space="preserve">. </w:t>
      </w:r>
    </w:p>
    <w:p w:rsidR="00C85394" w:rsidRPr="00FB25EC" w:rsidRDefault="00C85394" w:rsidP="00FB25EC">
      <w:pPr>
        <w:pStyle w:val="ListParagraph"/>
        <w:numPr>
          <w:ilvl w:val="0"/>
          <w:numId w:val="18"/>
        </w:numPr>
        <w:ind w:left="360"/>
      </w:pPr>
      <w:r>
        <w:t xml:space="preserve">As part of the Transformative Agenda (TA) protocol, Common Framework for Emergency Preparedness is under development.  The framework will be disseminated to the IASC in early 2013. </w:t>
      </w:r>
    </w:p>
    <w:p w:rsidR="00FD70CC" w:rsidRDefault="00E55533" w:rsidP="00FD70CC">
      <w:pPr>
        <w:pStyle w:val="Heading2"/>
        <w:numPr>
          <w:ilvl w:val="0"/>
          <w:numId w:val="21"/>
        </w:numPr>
        <w:rPr>
          <w:bCs w:val="0"/>
          <w:i w:val="0"/>
          <w:iCs w:val="0"/>
          <w:color w:val="000000"/>
          <w:sz w:val="28"/>
          <w:szCs w:val="28"/>
          <w:lang w:val="en-US"/>
        </w:rPr>
      </w:pPr>
      <w:r>
        <w:rPr>
          <w:bCs w:val="0"/>
          <w:i w:val="0"/>
          <w:iCs w:val="0"/>
          <w:color w:val="000000"/>
          <w:sz w:val="28"/>
          <w:szCs w:val="28"/>
          <w:lang w:val="en-US"/>
        </w:rPr>
        <w:t>Outstanding work of your Subsidiary Body requiring the attention of the IASC Working Group in 2013</w:t>
      </w:r>
    </w:p>
    <w:p w:rsidR="00FD70CC" w:rsidRPr="00F32FB8" w:rsidRDefault="00F32FB8" w:rsidP="00E55533">
      <w:pPr>
        <w:rPr>
          <w:lang w:val="en-US"/>
        </w:rPr>
      </w:pPr>
      <w:r w:rsidRPr="00F32FB8">
        <w:rPr>
          <w:b/>
          <w:bCs/>
          <w:i/>
          <w:iCs/>
        </w:rPr>
        <w:t xml:space="preserve">Please list </w:t>
      </w:r>
      <w:r w:rsidR="00E55533">
        <w:rPr>
          <w:b/>
          <w:bCs/>
          <w:i/>
          <w:iCs/>
        </w:rPr>
        <w:t xml:space="preserve">issues requiring the IASC Working Group’s attention </w:t>
      </w:r>
    </w:p>
    <w:p w:rsidR="00FD70CC" w:rsidRPr="00FB25EC" w:rsidRDefault="00D52B19" w:rsidP="00FB25EC">
      <w:pPr>
        <w:pStyle w:val="ListParagraph"/>
        <w:numPr>
          <w:ilvl w:val="0"/>
          <w:numId w:val="18"/>
        </w:numPr>
        <w:ind w:left="360"/>
      </w:pPr>
      <w:r w:rsidRPr="00FB25EC">
        <w:t>D</w:t>
      </w:r>
      <w:r w:rsidR="00E73178" w:rsidRPr="00FB25EC">
        <w:t>issemination and operationaliz</w:t>
      </w:r>
      <w:r w:rsidRPr="00FB25EC">
        <w:t xml:space="preserve">ation of </w:t>
      </w:r>
      <w:r w:rsidR="00E73178" w:rsidRPr="00FB25EC">
        <w:t xml:space="preserve"> SWG tools (</w:t>
      </w:r>
      <w:r w:rsidR="00FB25EC" w:rsidRPr="00FB25EC">
        <w:t>e.g.</w:t>
      </w:r>
      <w:r w:rsidR="00E73178" w:rsidRPr="00FB25EC">
        <w:t xml:space="preserve"> EWEA report, ERP)</w:t>
      </w:r>
    </w:p>
    <w:p w:rsidR="00191B8B" w:rsidRPr="00FB25EC" w:rsidRDefault="00D52B19" w:rsidP="00FB25EC">
      <w:pPr>
        <w:pStyle w:val="ListParagraph"/>
        <w:numPr>
          <w:ilvl w:val="0"/>
          <w:numId w:val="18"/>
        </w:numPr>
        <w:ind w:left="360"/>
      </w:pPr>
      <w:r w:rsidRPr="00FB25EC">
        <w:t xml:space="preserve">Finalization and </w:t>
      </w:r>
      <w:r w:rsidR="00E73178" w:rsidRPr="00FB25EC">
        <w:t xml:space="preserve"> disseminati</w:t>
      </w:r>
      <w:r w:rsidRPr="00FB25EC">
        <w:t>on</w:t>
      </w:r>
      <w:r w:rsidR="00E73178" w:rsidRPr="00FB25EC">
        <w:t xml:space="preserve"> </w:t>
      </w:r>
      <w:r w:rsidRPr="00FB25EC">
        <w:t xml:space="preserve">of the </w:t>
      </w:r>
      <w:r w:rsidR="00E73178" w:rsidRPr="00FB25EC">
        <w:t>Common Framework</w:t>
      </w:r>
      <w:r w:rsidR="00FD7903" w:rsidRPr="00FB25EC">
        <w:t xml:space="preserve"> by mid</w:t>
      </w:r>
      <w:r w:rsidRPr="00FB25EC">
        <w:t>-</w:t>
      </w:r>
      <w:r w:rsidR="00FD7903" w:rsidRPr="00FB25EC">
        <w:t xml:space="preserve">2013 </w:t>
      </w:r>
    </w:p>
    <w:p w:rsidR="006D1AC3" w:rsidRPr="00FB25EC" w:rsidRDefault="006D1AC3" w:rsidP="00FB25EC">
      <w:pPr>
        <w:pStyle w:val="ListParagraph"/>
        <w:numPr>
          <w:ilvl w:val="0"/>
          <w:numId w:val="18"/>
        </w:numPr>
        <w:ind w:left="360"/>
      </w:pPr>
      <w:r w:rsidRPr="00FB25EC">
        <w:t xml:space="preserve">Accountability  </w:t>
      </w:r>
      <w:r w:rsidR="00B936D4" w:rsidRPr="00FB25EC">
        <w:t>for preparedness at global (</w:t>
      </w:r>
      <w:r w:rsidRPr="00FB25EC">
        <w:t>ERC/</w:t>
      </w:r>
      <w:r w:rsidR="00B936D4" w:rsidRPr="00FB25EC">
        <w:t>UNDG Chair) and country</w:t>
      </w:r>
      <w:r w:rsidR="00D52B19" w:rsidRPr="00FB25EC">
        <w:t xml:space="preserve"> (RC/HC)</w:t>
      </w:r>
      <w:r w:rsidR="00B936D4" w:rsidRPr="00FB25EC">
        <w:t xml:space="preserve"> level</w:t>
      </w:r>
      <w:r w:rsidR="00D52B19" w:rsidRPr="00FB25EC">
        <w:t>s</w:t>
      </w:r>
      <w:r w:rsidR="00B936D4" w:rsidRPr="00FB25EC">
        <w:t xml:space="preserve"> </w:t>
      </w:r>
    </w:p>
    <w:p w:rsidR="00FD70CC" w:rsidRDefault="00FD70CC" w:rsidP="00FD70CC">
      <w:pPr>
        <w:rPr>
          <w:lang w:val="en-US"/>
        </w:rPr>
      </w:pPr>
    </w:p>
    <w:p w:rsidR="00FD70CC" w:rsidRDefault="00FD70CC" w:rsidP="00FD70CC">
      <w:pPr>
        <w:rPr>
          <w:lang w:val="en-US"/>
        </w:rPr>
      </w:pPr>
    </w:p>
    <w:p w:rsidR="00FD70CC" w:rsidRDefault="00FD70CC" w:rsidP="00FD70CC">
      <w:pPr>
        <w:rPr>
          <w:lang w:val="en-US"/>
        </w:rPr>
      </w:pPr>
    </w:p>
    <w:p w:rsidR="00FD70CC" w:rsidRDefault="00FD70CC" w:rsidP="00FD70CC">
      <w:pPr>
        <w:rPr>
          <w:lang w:val="en-US"/>
        </w:rPr>
      </w:pPr>
    </w:p>
    <w:p w:rsidR="00FD70CC" w:rsidRDefault="00FD70CC" w:rsidP="00FD70CC">
      <w:pPr>
        <w:jc w:val="right"/>
        <w:rPr>
          <w:lang w:val="en-US"/>
        </w:rPr>
      </w:pPr>
      <w:r>
        <w:rPr>
          <w:lang w:val="en-US"/>
        </w:rPr>
        <w:t>Prepared by:</w:t>
      </w:r>
    </w:p>
    <w:p w:rsidR="00FB25EC" w:rsidRPr="00FD70CC" w:rsidRDefault="00FB25EC" w:rsidP="00FD70CC">
      <w:pPr>
        <w:jc w:val="right"/>
        <w:rPr>
          <w:lang w:val="en-US"/>
        </w:rPr>
      </w:pPr>
      <w:r w:rsidRPr="00FB25EC">
        <w:rPr>
          <w:lang w:val="en-US"/>
        </w:rPr>
        <w:t xml:space="preserve">IASC </w:t>
      </w:r>
      <w:r>
        <w:rPr>
          <w:lang w:val="en-US"/>
        </w:rPr>
        <w:t>SWG</w:t>
      </w:r>
      <w:r w:rsidRPr="00FB25EC">
        <w:rPr>
          <w:lang w:val="en-US"/>
        </w:rPr>
        <w:t xml:space="preserve"> on Preparedness</w:t>
      </w:r>
      <w:r>
        <w:rPr>
          <w:lang w:val="en-US"/>
        </w:rPr>
        <w:t>, January 2013</w:t>
      </w:r>
    </w:p>
    <w:sectPr w:rsidR="00FB25EC" w:rsidRPr="00FD70CC">
      <w:headerReference w:type="default" r:id="rId9"/>
      <w:footerReference w:type="default" r:id="rId10"/>
      <w:pgSz w:w="11906" w:h="16838"/>
      <w:pgMar w:top="1418" w:right="1701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46D" w:rsidRDefault="00C7546D">
      <w:pPr>
        <w:spacing w:before="0" w:line="240" w:lineRule="auto"/>
      </w:pPr>
      <w:r>
        <w:separator/>
      </w:r>
    </w:p>
  </w:endnote>
  <w:endnote w:type="continuationSeparator" w:id="0">
    <w:p w:rsidR="00C7546D" w:rsidRDefault="00C7546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8D7" w:rsidRDefault="005D18D7">
    <w:pPr>
      <w:pStyle w:val="Footer"/>
    </w:pP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7755E2" wp14:editId="7A267559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11152" cy="539752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152" cy="53975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5D18D7" w:rsidRDefault="005D18D7">
                          <w:pPr>
                            <w:pStyle w:val="Footer"/>
                            <w:pBdr>
                              <w:top w:val="none" w:sz="0" w:space="0" w:color="auto"/>
                            </w:pBdr>
                            <w:spacing w:before="0"/>
                            <w:jc w:val="right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FB25EC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6.7pt;margin-top:0;width:24.5pt;height:42.5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" stroked="f">
              <v:textbox inset="0,0,0,0">
                <w:txbxContent>
                  <w:p w:rsidR="005D18D7" w:rsidRDefault="005D18D7">
                    <w:pPr>
                      <w:pStyle w:val="Footer"/>
                      <w:pBdr>
                        <w:top w:val="none" w:sz="0" w:space="0" w:color="auto"/>
                      </w:pBdr>
                      <w:spacing w:before="0"/>
                      <w:jc w:val="right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FB25EC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t>Inter-Agency Standing Committee (IASC)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46D" w:rsidRDefault="00C7546D">
      <w:pPr>
        <w:spacing w:before="0" w:line="240" w:lineRule="auto"/>
      </w:pPr>
      <w:r>
        <w:rPr>
          <w:color w:val="000000"/>
        </w:rPr>
        <w:separator/>
      </w:r>
    </w:p>
  </w:footnote>
  <w:footnote w:type="continuationSeparator" w:id="0">
    <w:p w:rsidR="00C7546D" w:rsidRDefault="00C7546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8D7" w:rsidRDefault="00FB25EC">
    <w:pPr>
      <w:pStyle w:val="Header"/>
    </w:pPr>
    <w:r>
      <w:t>IASC Sub-Working Group on Preparedness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104"/>
    <w:multiLevelType w:val="multilevel"/>
    <w:tmpl w:val="27B46AA6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45E6"/>
    <w:multiLevelType w:val="multilevel"/>
    <w:tmpl w:val="B8040BC2"/>
    <w:styleLink w:val="LFO18"/>
    <w:lvl w:ilvl="0">
      <w:numFmt w:val="bullet"/>
      <w:pStyle w:val="ListBullet2"/>
      <w:lvlText w:val=""/>
      <w:lvlJc w:val="left"/>
      <w:pPr>
        <w:ind w:left="992" w:hanging="425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F2627D3"/>
    <w:multiLevelType w:val="multilevel"/>
    <w:tmpl w:val="F460B4F2"/>
    <w:styleLink w:val="LFO40"/>
    <w:lvl w:ilvl="0">
      <w:start w:val="1"/>
      <w:numFmt w:val="lowerLetter"/>
      <w:pStyle w:val="ListCharacters"/>
      <w:lvlText w:val="(%1)"/>
      <w:lvlJc w:val="left"/>
      <w:pPr>
        <w:ind w:left="567" w:hanging="425"/>
      </w:pPr>
    </w:lvl>
    <w:lvl w:ilvl="1">
      <w:start w:val="1"/>
      <w:numFmt w:val="decimal"/>
      <w:lvlText w:val="%2."/>
      <w:lvlJc w:val="left"/>
      <w:pPr>
        <w:ind w:left="1364" w:hanging="284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46F65D6"/>
    <w:multiLevelType w:val="multilevel"/>
    <w:tmpl w:val="306C296C"/>
    <w:styleLink w:val="LFO28"/>
    <w:lvl w:ilvl="0">
      <w:start w:val="1"/>
      <w:numFmt w:val="decimal"/>
      <w:pStyle w:val="ListCharacters2"/>
      <w:lvlText w:val="%1."/>
      <w:lvlJc w:val="left"/>
      <w:pPr>
        <w:ind w:left="992" w:hanging="425"/>
      </w:pPr>
    </w:lvl>
    <w:lvl w:ilvl="1">
      <w:start w:val="1"/>
      <w:numFmt w:val="lowerLetter"/>
      <w:lvlText w:val="(%2)"/>
      <w:lvlJc w:val="left"/>
      <w:pPr>
        <w:ind w:left="1505" w:hanging="425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F534FF6"/>
    <w:multiLevelType w:val="multilevel"/>
    <w:tmpl w:val="8CAAF910"/>
    <w:styleLink w:val="WWOutlineListStyle"/>
    <w:lvl w:ilvl="0">
      <w:start w:val="1"/>
      <w:numFmt w:val="upperRoman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FD36713"/>
    <w:multiLevelType w:val="multilevel"/>
    <w:tmpl w:val="2FE8587C"/>
    <w:styleLink w:val="LFO42"/>
    <w:lvl w:ilvl="0">
      <w:numFmt w:val="bullet"/>
      <w:pStyle w:val="TableBullet"/>
      <w:lvlText w:val=""/>
      <w:lvlJc w:val="left"/>
      <w:pPr>
        <w:ind w:left="284" w:hanging="284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16A632E"/>
    <w:multiLevelType w:val="hybridMultilevel"/>
    <w:tmpl w:val="40CE7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F0D5C"/>
    <w:multiLevelType w:val="hybridMultilevel"/>
    <w:tmpl w:val="82AA3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D6C96"/>
    <w:multiLevelType w:val="multilevel"/>
    <w:tmpl w:val="2182E646"/>
    <w:styleLink w:val="LFO34"/>
    <w:lvl w:ilvl="0">
      <w:start w:val="1"/>
      <w:numFmt w:val="decimal"/>
      <w:pStyle w:val="ListNumber"/>
      <w:lvlText w:val="%1."/>
      <w:lvlJc w:val="left"/>
      <w:pPr>
        <w:ind w:left="284" w:hanging="284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3F0F581B"/>
    <w:multiLevelType w:val="multilevel"/>
    <w:tmpl w:val="B6CA03C0"/>
    <w:styleLink w:val="LFO16"/>
    <w:lvl w:ilvl="0">
      <w:numFmt w:val="bullet"/>
      <w:pStyle w:val="ListBullet"/>
      <w:lvlText w:val=""/>
      <w:lvlJc w:val="left"/>
      <w:pPr>
        <w:ind w:left="567" w:hanging="425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364" w:hanging="284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F1C65A4"/>
    <w:multiLevelType w:val="multilevel"/>
    <w:tmpl w:val="26B097D4"/>
    <w:styleLink w:val="LFO20"/>
    <w:lvl w:ilvl="0">
      <w:start w:val="1"/>
      <w:numFmt w:val="decimal"/>
      <w:pStyle w:val="ActionSub-Point"/>
      <w:lvlText w:val="%1."/>
      <w:lvlJc w:val="left"/>
      <w:pPr>
        <w:ind w:left="567" w:hanging="425"/>
      </w:pPr>
      <w:rPr>
        <w:rFonts w:ascii="Times New Roman" w:hAnsi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E7125"/>
    <w:multiLevelType w:val="hybridMultilevel"/>
    <w:tmpl w:val="C2FE0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838AB"/>
    <w:multiLevelType w:val="hybridMultilevel"/>
    <w:tmpl w:val="496ADF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8E3111"/>
    <w:multiLevelType w:val="multilevel"/>
    <w:tmpl w:val="3176E290"/>
    <w:styleLink w:val="WWOutlineListStyle1"/>
    <w:lvl w:ilvl="0">
      <w:start w:val="1"/>
      <w:numFmt w:val="upperRoman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65BE04A2"/>
    <w:multiLevelType w:val="multilevel"/>
    <w:tmpl w:val="E5906654"/>
    <w:styleLink w:val="LFO39"/>
    <w:lvl w:ilvl="0">
      <w:start w:val="1"/>
      <w:numFmt w:val="decimal"/>
      <w:pStyle w:val="TableNumbered"/>
      <w:lvlText w:val="%1.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1364" w:hanging="284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F764E56"/>
    <w:multiLevelType w:val="multilevel"/>
    <w:tmpl w:val="00A07862"/>
    <w:styleLink w:val="WWOutlineListStyle2"/>
    <w:lvl w:ilvl="0">
      <w:start w:val="1"/>
      <w:numFmt w:val="upperRoman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71341C77"/>
    <w:multiLevelType w:val="hybridMultilevel"/>
    <w:tmpl w:val="3C60B8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D23F45"/>
    <w:multiLevelType w:val="multilevel"/>
    <w:tmpl w:val="13E46F36"/>
    <w:styleLink w:val="LFO43"/>
    <w:lvl w:ilvl="0">
      <w:start w:val="1"/>
      <w:numFmt w:val="decimal"/>
      <w:pStyle w:val="ListNumbered"/>
      <w:lvlText w:val="%1."/>
      <w:lvlJc w:val="left"/>
      <w:pPr>
        <w:ind w:left="567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14D85"/>
    <w:multiLevelType w:val="multilevel"/>
    <w:tmpl w:val="6CF6A268"/>
    <w:styleLink w:val="WWOutlineListStyle3"/>
    <w:lvl w:ilvl="0">
      <w:start w:val="1"/>
      <w:numFmt w:val="upperRoman"/>
      <w:pStyle w:val="Heading1"/>
      <w:lvlText w:val="%1"/>
      <w:lvlJc w:val="left"/>
      <w:pPr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</w:lvl>
    <w:lvl w:ilvl="3">
      <w:start w:val="1"/>
      <w:numFmt w:val="decimal"/>
      <w:pStyle w:val="Heading4"/>
      <w:lvlText w:val="%1.%2.%3.%4"/>
      <w:lvlJc w:val="left"/>
      <w:pPr>
        <w:ind w:left="567" w:hanging="567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>
    <w:nsid w:val="7B427147"/>
    <w:multiLevelType w:val="multilevel"/>
    <w:tmpl w:val="F43EB7F0"/>
    <w:styleLink w:val="LFO47"/>
    <w:lvl w:ilvl="0">
      <w:start w:val="1"/>
      <w:numFmt w:val="lowerLetter"/>
      <w:pStyle w:val="ActionCharacter"/>
      <w:lvlText w:val="(%1)"/>
      <w:lvlJc w:val="left"/>
      <w:pPr>
        <w:ind w:left="425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4"/>
  </w:num>
  <w:num w:numId="5">
    <w:abstractNumId w:val="9"/>
  </w:num>
  <w:num w:numId="6">
    <w:abstractNumId w:val="1"/>
  </w:num>
  <w:num w:numId="7">
    <w:abstractNumId w:val="10"/>
  </w:num>
  <w:num w:numId="8">
    <w:abstractNumId w:val="3"/>
  </w:num>
  <w:num w:numId="9">
    <w:abstractNumId w:val="8"/>
  </w:num>
  <w:num w:numId="10">
    <w:abstractNumId w:val="14"/>
  </w:num>
  <w:num w:numId="11">
    <w:abstractNumId w:val="2"/>
  </w:num>
  <w:num w:numId="12">
    <w:abstractNumId w:val="5"/>
  </w:num>
  <w:num w:numId="13">
    <w:abstractNumId w:val="17"/>
  </w:num>
  <w:num w:numId="14">
    <w:abstractNumId w:val="19"/>
  </w:num>
  <w:num w:numId="15">
    <w:abstractNumId w:val="0"/>
  </w:num>
  <w:num w:numId="16">
    <w:abstractNumId w:val="7"/>
  </w:num>
  <w:num w:numId="17">
    <w:abstractNumId w:val="6"/>
  </w:num>
  <w:num w:numId="18">
    <w:abstractNumId w:val="11"/>
  </w:num>
  <w:num w:numId="19">
    <w:abstractNumId w:val="18"/>
  </w:num>
  <w:num w:numId="20">
    <w:abstractNumId w:val="18"/>
  </w:num>
  <w:num w:numId="21">
    <w:abstractNumId w:val="16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35AF"/>
    <w:rsid w:val="00062136"/>
    <w:rsid w:val="00070784"/>
    <w:rsid w:val="00095D00"/>
    <w:rsid w:val="00191B8B"/>
    <w:rsid w:val="002526A2"/>
    <w:rsid w:val="002A0315"/>
    <w:rsid w:val="002F6FBF"/>
    <w:rsid w:val="003435AF"/>
    <w:rsid w:val="003F7E8A"/>
    <w:rsid w:val="00412E56"/>
    <w:rsid w:val="00423384"/>
    <w:rsid w:val="005428BE"/>
    <w:rsid w:val="005972F9"/>
    <w:rsid w:val="005D18D7"/>
    <w:rsid w:val="00620565"/>
    <w:rsid w:val="006906D4"/>
    <w:rsid w:val="006D1AC3"/>
    <w:rsid w:val="007D6A95"/>
    <w:rsid w:val="009370C6"/>
    <w:rsid w:val="009776BA"/>
    <w:rsid w:val="00AE712E"/>
    <w:rsid w:val="00B936D4"/>
    <w:rsid w:val="00B9655D"/>
    <w:rsid w:val="00C7546D"/>
    <w:rsid w:val="00C85394"/>
    <w:rsid w:val="00CA5D27"/>
    <w:rsid w:val="00CD0DA5"/>
    <w:rsid w:val="00D52B19"/>
    <w:rsid w:val="00E46118"/>
    <w:rsid w:val="00E55533"/>
    <w:rsid w:val="00E57B7D"/>
    <w:rsid w:val="00E73178"/>
    <w:rsid w:val="00F0666F"/>
    <w:rsid w:val="00F32FB8"/>
    <w:rsid w:val="00F44A3F"/>
    <w:rsid w:val="00FB25EC"/>
    <w:rsid w:val="00FD70CC"/>
    <w:rsid w:val="00FD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567"/>
        <w:tab w:val="left" w:pos="992"/>
      </w:tabs>
      <w:suppressAutoHyphens/>
      <w:spacing w:before="180" w:line="280" w:lineRule="exact"/>
      <w:jc w:val="both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keepLines/>
      <w:numPr>
        <w:numId w:val="1"/>
      </w:numPr>
      <w:autoSpaceDE w:val="0"/>
      <w:spacing w:before="360" w:line="360" w:lineRule="exact"/>
      <w:jc w:val="left"/>
      <w:outlineLvl w:val="0"/>
    </w:pPr>
    <w:rPr>
      <w:b/>
      <w:color w:val="000000"/>
      <w:sz w:val="28"/>
      <w:szCs w:val="20"/>
      <w:lang w:val="en-US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spacing w:before="300" w:after="120"/>
      <w:jc w:val="left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spacing w:before="240" w:after="120"/>
      <w:jc w:val="left"/>
      <w:outlineLvl w:val="2"/>
    </w:pPr>
    <w:rPr>
      <w:rFonts w:cs="Arial"/>
      <w:bCs/>
      <w:i/>
      <w:szCs w:val="26"/>
      <w:u w:val="single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tabs>
        <w:tab w:val="clear" w:pos="567"/>
        <w:tab w:val="clear" w:pos="992"/>
        <w:tab w:val="left" w:pos="-1276"/>
        <w:tab w:val="left" w:pos="-1188"/>
      </w:tabs>
      <w:spacing w:before="120" w:after="12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tabs>
        <w:tab w:val="clear" w:pos="567"/>
        <w:tab w:val="clear" w:pos="992"/>
        <w:tab w:val="left" w:pos="-3024"/>
      </w:tabs>
      <w:spacing w:before="120" w:after="12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pPr>
      <w:keepNext/>
      <w:numPr>
        <w:ilvl w:val="5"/>
        <w:numId w:val="1"/>
      </w:numPr>
      <w:tabs>
        <w:tab w:val="clear" w:pos="567"/>
        <w:tab w:val="clear" w:pos="992"/>
        <w:tab w:val="left" w:pos="-3616"/>
        <w:tab w:val="left" w:pos="-3456"/>
      </w:tabs>
      <w:spacing w:before="120" w:after="120"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tabs>
        <w:tab w:val="clear" w:pos="567"/>
        <w:tab w:val="clear" w:pos="992"/>
        <w:tab w:val="left" w:pos="-4192"/>
        <w:tab w:val="left" w:pos="-3888"/>
      </w:tabs>
      <w:spacing w:before="120" w:after="120"/>
      <w:outlineLvl w:val="6"/>
    </w:pPr>
    <w:rPr>
      <w:i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tabs>
        <w:tab w:val="clear" w:pos="567"/>
        <w:tab w:val="clear" w:pos="992"/>
        <w:tab w:val="left" w:pos="-4768"/>
        <w:tab w:val="left" w:pos="-4320"/>
      </w:tabs>
      <w:spacing w:before="120" w:after="120"/>
      <w:outlineLvl w:val="7"/>
    </w:pPr>
    <w:rPr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tabs>
        <w:tab w:val="clear" w:pos="567"/>
        <w:tab w:val="clear" w:pos="992"/>
        <w:tab w:val="left" w:pos="-5344"/>
        <w:tab w:val="left" w:pos="-4752"/>
      </w:tabs>
      <w:spacing w:before="120" w:after="12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paragraph" w:styleId="Header">
    <w:name w:val="header"/>
    <w:basedOn w:val="Normal"/>
    <w:pPr>
      <w:pBdr>
        <w:bottom w:val="single" w:sz="4" w:space="3" w:color="000000"/>
      </w:pBdr>
      <w:tabs>
        <w:tab w:val="clear" w:pos="567"/>
        <w:tab w:val="clear" w:pos="992"/>
        <w:tab w:val="center" w:pos="4153"/>
        <w:tab w:val="right" w:pos="8505"/>
      </w:tabs>
      <w:jc w:val="left"/>
    </w:pPr>
    <w:rPr>
      <w:sz w:val="19"/>
      <w:lang w:val="en-US"/>
    </w:rPr>
  </w:style>
  <w:style w:type="paragraph" w:styleId="Footer">
    <w:name w:val="footer"/>
    <w:basedOn w:val="Normal"/>
    <w:pPr>
      <w:pBdr>
        <w:top w:val="single" w:sz="4" w:space="3" w:color="000000"/>
      </w:pBdr>
      <w:tabs>
        <w:tab w:val="clear" w:pos="567"/>
        <w:tab w:val="clear" w:pos="992"/>
        <w:tab w:val="center" w:pos="4253"/>
        <w:tab w:val="right" w:pos="8505"/>
      </w:tabs>
      <w:jc w:val="left"/>
    </w:pPr>
    <w:rPr>
      <w:sz w:val="19"/>
      <w:lang w:val="en-US"/>
    </w:rPr>
  </w:style>
  <w:style w:type="character" w:styleId="PageNumber">
    <w:name w:val="page number"/>
    <w:basedOn w:val="DefaultParagraphFont"/>
  </w:style>
  <w:style w:type="paragraph" w:customStyle="1" w:styleId="ActionNumbered">
    <w:name w:val="Action Numbered"/>
    <w:basedOn w:val="Normal"/>
    <w:pPr>
      <w:spacing w:after="120"/>
      <w:ind w:right="284"/>
      <w:jc w:val="left"/>
    </w:pPr>
  </w:style>
  <w:style w:type="paragraph" w:styleId="ListBullet">
    <w:name w:val="List Bullet"/>
    <w:basedOn w:val="Normal"/>
    <w:pPr>
      <w:numPr>
        <w:numId w:val="5"/>
      </w:numPr>
      <w:spacing w:before="120" w:after="120"/>
      <w:jc w:val="left"/>
    </w:pPr>
  </w:style>
  <w:style w:type="paragraph" w:styleId="ListBullet2">
    <w:name w:val="List Bullet 2"/>
    <w:basedOn w:val="Normal"/>
    <w:pPr>
      <w:numPr>
        <w:numId w:val="6"/>
      </w:numPr>
      <w:tabs>
        <w:tab w:val="clear" w:pos="567"/>
        <w:tab w:val="clear" w:pos="992"/>
        <w:tab w:val="left" w:pos="-2976"/>
      </w:tabs>
      <w:spacing w:before="120" w:after="120"/>
      <w:jc w:val="left"/>
    </w:pPr>
  </w:style>
  <w:style w:type="paragraph" w:customStyle="1" w:styleId="Author">
    <w:name w:val="Author"/>
    <w:basedOn w:val="Normal"/>
    <w:pPr>
      <w:jc w:val="right"/>
    </w:pPr>
    <w:rPr>
      <w:sz w:val="19"/>
    </w:rPr>
  </w:style>
  <w:style w:type="paragraph" w:styleId="Title">
    <w:name w:val="Title"/>
    <w:basedOn w:val="Normal"/>
    <w:pPr>
      <w:spacing w:before="360" w:after="240" w:line="360" w:lineRule="exact"/>
      <w:jc w:val="left"/>
      <w:outlineLvl w:val="0"/>
    </w:pPr>
    <w:rPr>
      <w:b/>
      <w:kern w:val="3"/>
      <w:sz w:val="32"/>
      <w:szCs w:val="32"/>
    </w:rPr>
  </w:style>
  <w:style w:type="paragraph" w:customStyle="1" w:styleId="TableHead">
    <w:name w:val="Table Head"/>
    <w:basedOn w:val="Normal"/>
    <w:pPr>
      <w:spacing w:before="120" w:after="120" w:line="240" w:lineRule="exact"/>
      <w:jc w:val="left"/>
    </w:pPr>
    <w:rPr>
      <w:b/>
      <w:bCs/>
      <w:sz w:val="19"/>
    </w:rPr>
  </w:style>
  <w:style w:type="paragraph" w:customStyle="1" w:styleId="TableText">
    <w:name w:val="Table Text"/>
    <w:pPr>
      <w:tabs>
        <w:tab w:val="left" w:pos="284"/>
        <w:tab w:val="left" w:pos="567"/>
        <w:tab w:val="left" w:pos="992"/>
      </w:tabs>
      <w:suppressAutoHyphens/>
      <w:spacing w:before="120" w:after="120" w:line="240" w:lineRule="exact"/>
    </w:pPr>
    <w:rPr>
      <w:bCs/>
      <w:sz w:val="19"/>
      <w:lang w:eastAsia="en-US"/>
    </w:rPr>
  </w:style>
  <w:style w:type="paragraph" w:customStyle="1" w:styleId="TableBullet">
    <w:name w:val="Table Bullet"/>
    <w:basedOn w:val="TableText"/>
    <w:pPr>
      <w:numPr>
        <w:numId w:val="12"/>
      </w:numPr>
      <w:tabs>
        <w:tab w:val="clear" w:pos="284"/>
        <w:tab w:val="clear" w:pos="567"/>
        <w:tab w:val="clear" w:pos="992"/>
        <w:tab w:val="left" w:pos="-852"/>
        <w:tab w:val="left" w:pos="-776"/>
        <w:tab w:val="left" w:pos="-144"/>
      </w:tabs>
    </w:pPr>
  </w:style>
  <w:style w:type="paragraph" w:customStyle="1" w:styleId="ListNumbered">
    <w:name w:val="List Numbered"/>
    <w:basedOn w:val="Normal"/>
    <w:pPr>
      <w:numPr>
        <w:numId w:val="13"/>
      </w:numPr>
      <w:spacing w:before="120" w:after="120"/>
      <w:jc w:val="left"/>
    </w:pPr>
  </w:style>
  <w:style w:type="paragraph" w:customStyle="1" w:styleId="ListNumbered2">
    <w:name w:val="List Numbered 2"/>
    <w:basedOn w:val="Normal"/>
    <w:pPr>
      <w:tabs>
        <w:tab w:val="clear" w:pos="567"/>
        <w:tab w:val="clear" w:pos="992"/>
        <w:tab w:val="left" w:pos="0"/>
      </w:tabs>
      <w:spacing w:before="120" w:after="120"/>
      <w:jc w:val="left"/>
    </w:pPr>
    <w:rPr>
      <w:lang w:val="en-US"/>
    </w:rPr>
  </w:style>
  <w:style w:type="paragraph" w:customStyle="1" w:styleId="TableNumbered">
    <w:name w:val="Table Numbered"/>
    <w:basedOn w:val="TableText"/>
    <w:pPr>
      <w:numPr>
        <w:numId w:val="10"/>
      </w:numPr>
      <w:tabs>
        <w:tab w:val="clear" w:pos="284"/>
        <w:tab w:val="clear" w:pos="567"/>
        <w:tab w:val="clear" w:pos="992"/>
        <w:tab w:val="left" w:pos="-852"/>
        <w:tab w:val="left" w:pos="-776"/>
        <w:tab w:val="left" w:pos="-569"/>
      </w:tabs>
    </w:pPr>
  </w:style>
  <w:style w:type="paragraph" w:styleId="FootnoteText">
    <w:name w:val="footnote text"/>
    <w:basedOn w:val="Normal"/>
    <w:pPr>
      <w:tabs>
        <w:tab w:val="clear" w:pos="567"/>
        <w:tab w:val="left" w:pos="284"/>
      </w:tabs>
      <w:spacing w:before="0" w:line="240" w:lineRule="exact"/>
      <w:ind w:left="284" w:hanging="284"/>
      <w:jc w:val="left"/>
    </w:pPr>
    <w:rPr>
      <w:sz w:val="19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TOC1">
    <w:name w:val="toc 1"/>
    <w:basedOn w:val="Normal"/>
    <w:next w:val="Normal"/>
    <w:autoRedefine/>
    <w:pPr>
      <w:tabs>
        <w:tab w:val="clear" w:pos="992"/>
        <w:tab w:val="right" w:leader="dot" w:pos="8505"/>
      </w:tabs>
      <w:spacing w:before="120"/>
      <w:ind w:left="567" w:right="566" w:hanging="567"/>
    </w:pPr>
    <w:rPr>
      <w:szCs w:val="28"/>
    </w:rPr>
  </w:style>
  <w:style w:type="paragraph" w:styleId="TOC2">
    <w:name w:val="toc 2"/>
    <w:basedOn w:val="Normal"/>
    <w:next w:val="Normal"/>
    <w:autoRedefine/>
    <w:pPr>
      <w:tabs>
        <w:tab w:val="clear" w:pos="567"/>
        <w:tab w:val="clear" w:pos="992"/>
        <w:tab w:val="left" w:pos="1134"/>
        <w:tab w:val="right" w:leader="dot" w:pos="8505"/>
      </w:tabs>
      <w:spacing w:before="0"/>
      <w:ind w:left="1134" w:right="566" w:hanging="567"/>
    </w:pPr>
    <w:rPr>
      <w:sz w:val="20"/>
    </w:rPr>
  </w:style>
  <w:style w:type="paragraph" w:styleId="TOC3">
    <w:name w:val="toc 3"/>
    <w:basedOn w:val="Normal"/>
    <w:next w:val="Normal"/>
    <w:autoRedefine/>
    <w:pPr>
      <w:tabs>
        <w:tab w:val="clear" w:pos="567"/>
        <w:tab w:val="clear" w:pos="992"/>
        <w:tab w:val="left" w:pos="1701"/>
        <w:tab w:val="right" w:leader="dot" w:pos="8505"/>
      </w:tabs>
      <w:spacing w:before="0"/>
      <w:ind w:left="1701" w:right="567" w:hanging="567"/>
    </w:pPr>
    <w:rPr>
      <w:sz w:val="20"/>
    </w:rPr>
  </w:style>
  <w:style w:type="paragraph" w:styleId="TOC4">
    <w:name w:val="toc 4"/>
    <w:basedOn w:val="Normal"/>
    <w:next w:val="Normal"/>
    <w:autoRedefine/>
    <w:pPr>
      <w:tabs>
        <w:tab w:val="clear" w:pos="567"/>
        <w:tab w:val="clear" w:pos="992"/>
      </w:tabs>
      <w:ind w:left="720"/>
    </w:pPr>
  </w:style>
  <w:style w:type="paragraph" w:styleId="TOC5">
    <w:name w:val="toc 5"/>
    <w:basedOn w:val="Normal"/>
    <w:next w:val="Normal"/>
    <w:autoRedefine/>
    <w:pPr>
      <w:tabs>
        <w:tab w:val="clear" w:pos="567"/>
        <w:tab w:val="clear" w:pos="992"/>
      </w:tabs>
      <w:ind w:left="960"/>
    </w:pPr>
  </w:style>
  <w:style w:type="paragraph" w:styleId="TOC6">
    <w:name w:val="toc 6"/>
    <w:basedOn w:val="Normal"/>
    <w:next w:val="Normal"/>
    <w:autoRedefine/>
    <w:pPr>
      <w:tabs>
        <w:tab w:val="clear" w:pos="567"/>
        <w:tab w:val="clear" w:pos="992"/>
      </w:tabs>
      <w:ind w:left="1200"/>
    </w:pPr>
  </w:style>
  <w:style w:type="paragraph" w:styleId="TOC7">
    <w:name w:val="toc 7"/>
    <w:basedOn w:val="Normal"/>
    <w:next w:val="Normal"/>
    <w:autoRedefine/>
    <w:pPr>
      <w:tabs>
        <w:tab w:val="clear" w:pos="567"/>
        <w:tab w:val="clear" w:pos="992"/>
      </w:tabs>
      <w:ind w:left="1440"/>
    </w:pPr>
  </w:style>
  <w:style w:type="paragraph" w:styleId="TOC8">
    <w:name w:val="toc 8"/>
    <w:basedOn w:val="Normal"/>
    <w:next w:val="Normal"/>
    <w:autoRedefine/>
    <w:pPr>
      <w:tabs>
        <w:tab w:val="clear" w:pos="567"/>
        <w:tab w:val="clear" w:pos="992"/>
      </w:tabs>
      <w:ind w:left="1680"/>
    </w:pPr>
  </w:style>
  <w:style w:type="paragraph" w:styleId="TOC9">
    <w:name w:val="toc 9"/>
    <w:basedOn w:val="Normal"/>
    <w:next w:val="Normal"/>
    <w:autoRedefine/>
    <w:pPr>
      <w:tabs>
        <w:tab w:val="clear" w:pos="567"/>
        <w:tab w:val="clear" w:pos="992"/>
      </w:tabs>
      <w:ind w:left="19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ListCharacters">
    <w:name w:val="List Characters"/>
    <w:basedOn w:val="ListNumbered"/>
    <w:pPr>
      <w:numPr>
        <w:numId w:val="11"/>
      </w:numPr>
    </w:pPr>
  </w:style>
  <w:style w:type="paragraph" w:styleId="ListNumber">
    <w:name w:val="List Number"/>
    <w:basedOn w:val="Normal"/>
    <w:pPr>
      <w:numPr>
        <w:numId w:val="9"/>
      </w:numPr>
      <w:tabs>
        <w:tab w:val="clear" w:pos="567"/>
        <w:tab w:val="clear" w:pos="992"/>
        <w:tab w:val="left" w:pos="-852"/>
        <w:tab w:val="left" w:pos="-569"/>
        <w:tab w:val="left" w:pos="-144"/>
      </w:tabs>
    </w:pPr>
  </w:style>
  <w:style w:type="paragraph" w:customStyle="1" w:styleId="ActionSub-Point">
    <w:name w:val="Action Sub-Point"/>
    <w:basedOn w:val="ActionNumbered"/>
    <w:pPr>
      <w:numPr>
        <w:numId w:val="7"/>
      </w:numPr>
      <w:tabs>
        <w:tab w:val="clear" w:pos="567"/>
        <w:tab w:val="clear" w:pos="992"/>
        <w:tab w:val="left" w:pos="-567"/>
        <w:tab w:val="left" w:pos="-141"/>
      </w:tabs>
      <w:spacing w:before="120"/>
    </w:pPr>
  </w:style>
  <w:style w:type="paragraph" w:customStyle="1" w:styleId="BoxBanner">
    <w:name w:val="Box Banner"/>
    <w:basedOn w:val="Normal"/>
    <w:pPr>
      <w:pBdr>
        <w:top w:val="single" w:sz="4" w:space="14" w:color="000000"/>
        <w:left w:val="single" w:sz="4" w:space="0" w:color="000000"/>
        <w:bottom w:val="single" w:sz="4" w:space="12" w:color="000000"/>
        <w:right w:val="single" w:sz="4" w:space="0" w:color="000000"/>
      </w:pBdr>
      <w:tabs>
        <w:tab w:val="clear" w:pos="567"/>
        <w:tab w:val="clear" w:pos="992"/>
        <w:tab w:val="center" w:pos="4253"/>
      </w:tabs>
      <w:spacing w:before="0" w:line="320" w:lineRule="exact"/>
      <w:jc w:val="center"/>
    </w:pPr>
    <w:rPr>
      <w:bCs/>
      <w:caps/>
    </w:rPr>
  </w:style>
  <w:style w:type="paragraph" w:customStyle="1" w:styleId="ActionCharacter">
    <w:name w:val="Action Character"/>
    <w:basedOn w:val="Normal"/>
    <w:pPr>
      <w:numPr>
        <w:numId w:val="14"/>
      </w:numPr>
      <w:spacing w:after="120"/>
      <w:ind w:right="284"/>
      <w:jc w:val="left"/>
    </w:pPr>
  </w:style>
  <w:style w:type="paragraph" w:customStyle="1" w:styleId="BoxTitle">
    <w:name w:val="Box Title"/>
    <w:basedOn w:val="Normal"/>
    <w:pPr>
      <w:pBdr>
        <w:top w:val="single" w:sz="4" w:space="14" w:color="000000"/>
        <w:left w:val="single" w:sz="4" w:space="0" w:color="000000"/>
        <w:bottom w:val="single" w:sz="4" w:space="12" w:color="000000"/>
        <w:right w:val="single" w:sz="4" w:space="0" w:color="000000"/>
      </w:pBdr>
      <w:tabs>
        <w:tab w:val="clear" w:pos="567"/>
        <w:tab w:val="clear" w:pos="992"/>
      </w:tabs>
      <w:spacing w:before="320" w:after="320" w:line="400" w:lineRule="exact"/>
      <w:jc w:val="center"/>
    </w:pPr>
    <w:rPr>
      <w:b/>
      <w:bCs/>
      <w:sz w:val="32"/>
      <w:lang w:eastAsia="en-GB"/>
    </w:rPr>
  </w:style>
  <w:style w:type="paragraph" w:customStyle="1" w:styleId="BoxSub">
    <w:name w:val="Box Sub"/>
    <w:basedOn w:val="Normal"/>
    <w:pPr>
      <w:pBdr>
        <w:top w:val="single" w:sz="4" w:space="14" w:color="000000"/>
        <w:left w:val="single" w:sz="4" w:space="0" w:color="000000"/>
        <w:bottom w:val="single" w:sz="4" w:space="12" w:color="000000"/>
        <w:right w:val="single" w:sz="4" w:space="0" w:color="000000"/>
      </w:pBdr>
      <w:tabs>
        <w:tab w:val="clear" w:pos="567"/>
        <w:tab w:val="clear" w:pos="992"/>
      </w:tabs>
      <w:spacing w:before="0"/>
      <w:jc w:val="center"/>
    </w:pPr>
  </w:style>
  <w:style w:type="paragraph" w:customStyle="1" w:styleId="BoxCirculated">
    <w:name w:val="Box Circulated"/>
    <w:basedOn w:val="Normal"/>
    <w:pPr>
      <w:pBdr>
        <w:top w:val="single" w:sz="4" w:space="14" w:color="000000"/>
        <w:left w:val="single" w:sz="4" w:space="0" w:color="000000"/>
        <w:bottom w:val="single" w:sz="4" w:space="12" w:color="000000"/>
        <w:right w:val="single" w:sz="4" w:space="0" w:color="000000"/>
      </w:pBdr>
      <w:tabs>
        <w:tab w:val="clear" w:pos="567"/>
        <w:tab w:val="clear" w:pos="992"/>
      </w:tabs>
      <w:spacing w:before="120" w:line="240" w:lineRule="exact"/>
      <w:jc w:val="center"/>
    </w:pPr>
    <w:rPr>
      <w:i/>
      <w:iCs/>
      <w:sz w:val="19"/>
      <w:lang w:eastAsia="en-GB"/>
    </w:rPr>
  </w:style>
  <w:style w:type="paragraph" w:customStyle="1" w:styleId="ListCharacters2">
    <w:name w:val="List Characters 2"/>
    <w:basedOn w:val="Normal"/>
    <w:pPr>
      <w:numPr>
        <w:numId w:val="8"/>
      </w:numPr>
      <w:tabs>
        <w:tab w:val="clear" w:pos="567"/>
        <w:tab w:val="clear" w:pos="992"/>
        <w:tab w:val="left" w:pos="-1983"/>
      </w:tabs>
      <w:jc w:val="left"/>
    </w:pPr>
  </w:style>
  <w:style w:type="paragraph" w:styleId="ListParagraph">
    <w:name w:val="List Paragraph"/>
    <w:basedOn w:val="Normal"/>
    <w:pPr>
      <w:ind w:left="720"/>
    </w:p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numbering" w:customStyle="1" w:styleId="LFO16">
    <w:name w:val="LFO16"/>
    <w:basedOn w:val="NoList"/>
    <w:pPr>
      <w:numPr>
        <w:numId w:val="5"/>
      </w:numPr>
    </w:pPr>
  </w:style>
  <w:style w:type="numbering" w:customStyle="1" w:styleId="LFO18">
    <w:name w:val="LFO18"/>
    <w:basedOn w:val="NoList"/>
    <w:pPr>
      <w:numPr>
        <w:numId w:val="6"/>
      </w:numPr>
    </w:pPr>
  </w:style>
  <w:style w:type="numbering" w:customStyle="1" w:styleId="LFO20">
    <w:name w:val="LFO20"/>
    <w:basedOn w:val="NoList"/>
    <w:pPr>
      <w:numPr>
        <w:numId w:val="7"/>
      </w:numPr>
    </w:pPr>
  </w:style>
  <w:style w:type="numbering" w:customStyle="1" w:styleId="LFO28">
    <w:name w:val="LFO28"/>
    <w:basedOn w:val="NoList"/>
    <w:pPr>
      <w:numPr>
        <w:numId w:val="8"/>
      </w:numPr>
    </w:pPr>
  </w:style>
  <w:style w:type="numbering" w:customStyle="1" w:styleId="LFO34">
    <w:name w:val="LFO34"/>
    <w:basedOn w:val="NoList"/>
    <w:pPr>
      <w:numPr>
        <w:numId w:val="9"/>
      </w:numPr>
    </w:pPr>
  </w:style>
  <w:style w:type="numbering" w:customStyle="1" w:styleId="LFO39">
    <w:name w:val="LFO39"/>
    <w:basedOn w:val="NoList"/>
    <w:pPr>
      <w:numPr>
        <w:numId w:val="10"/>
      </w:numPr>
    </w:pPr>
  </w:style>
  <w:style w:type="numbering" w:customStyle="1" w:styleId="LFO40">
    <w:name w:val="LFO40"/>
    <w:basedOn w:val="NoList"/>
    <w:pPr>
      <w:numPr>
        <w:numId w:val="11"/>
      </w:numPr>
    </w:pPr>
  </w:style>
  <w:style w:type="numbering" w:customStyle="1" w:styleId="LFO42">
    <w:name w:val="LFO42"/>
    <w:basedOn w:val="NoList"/>
    <w:pPr>
      <w:numPr>
        <w:numId w:val="12"/>
      </w:numPr>
    </w:pPr>
  </w:style>
  <w:style w:type="numbering" w:customStyle="1" w:styleId="LFO43">
    <w:name w:val="LFO43"/>
    <w:basedOn w:val="NoList"/>
    <w:pPr>
      <w:numPr>
        <w:numId w:val="13"/>
      </w:numPr>
    </w:pPr>
  </w:style>
  <w:style w:type="numbering" w:customStyle="1" w:styleId="LFO47">
    <w:name w:val="LFO47"/>
    <w:basedOn w:val="NoList"/>
    <w:pPr>
      <w:numPr>
        <w:numId w:val="1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56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5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567"/>
        <w:tab w:val="left" w:pos="992"/>
      </w:tabs>
      <w:suppressAutoHyphens/>
      <w:spacing w:before="180" w:line="280" w:lineRule="exact"/>
      <w:jc w:val="both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keepLines/>
      <w:numPr>
        <w:numId w:val="1"/>
      </w:numPr>
      <w:autoSpaceDE w:val="0"/>
      <w:spacing w:before="360" w:line="360" w:lineRule="exact"/>
      <w:jc w:val="left"/>
      <w:outlineLvl w:val="0"/>
    </w:pPr>
    <w:rPr>
      <w:b/>
      <w:color w:val="000000"/>
      <w:sz w:val="28"/>
      <w:szCs w:val="20"/>
      <w:lang w:val="en-US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spacing w:before="300" w:after="120"/>
      <w:jc w:val="left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spacing w:before="240" w:after="120"/>
      <w:jc w:val="left"/>
      <w:outlineLvl w:val="2"/>
    </w:pPr>
    <w:rPr>
      <w:rFonts w:cs="Arial"/>
      <w:bCs/>
      <w:i/>
      <w:szCs w:val="26"/>
      <w:u w:val="single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tabs>
        <w:tab w:val="clear" w:pos="567"/>
        <w:tab w:val="clear" w:pos="992"/>
        <w:tab w:val="left" w:pos="-1276"/>
        <w:tab w:val="left" w:pos="-1188"/>
      </w:tabs>
      <w:spacing w:before="120" w:after="12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tabs>
        <w:tab w:val="clear" w:pos="567"/>
        <w:tab w:val="clear" w:pos="992"/>
        <w:tab w:val="left" w:pos="-3024"/>
      </w:tabs>
      <w:spacing w:before="120" w:after="12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pPr>
      <w:keepNext/>
      <w:numPr>
        <w:ilvl w:val="5"/>
        <w:numId w:val="1"/>
      </w:numPr>
      <w:tabs>
        <w:tab w:val="clear" w:pos="567"/>
        <w:tab w:val="clear" w:pos="992"/>
        <w:tab w:val="left" w:pos="-3616"/>
        <w:tab w:val="left" w:pos="-3456"/>
      </w:tabs>
      <w:spacing w:before="120" w:after="120"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tabs>
        <w:tab w:val="clear" w:pos="567"/>
        <w:tab w:val="clear" w:pos="992"/>
        <w:tab w:val="left" w:pos="-4192"/>
        <w:tab w:val="left" w:pos="-3888"/>
      </w:tabs>
      <w:spacing w:before="120" w:after="120"/>
      <w:outlineLvl w:val="6"/>
    </w:pPr>
    <w:rPr>
      <w:i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tabs>
        <w:tab w:val="clear" w:pos="567"/>
        <w:tab w:val="clear" w:pos="992"/>
        <w:tab w:val="left" w:pos="-4768"/>
        <w:tab w:val="left" w:pos="-4320"/>
      </w:tabs>
      <w:spacing w:before="120" w:after="120"/>
      <w:outlineLvl w:val="7"/>
    </w:pPr>
    <w:rPr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tabs>
        <w:tab w:val="clear" w:pos="567"/>
        <w:tab w:val="clear" w:pos="992"/>
        <w:tab w:val="left" w:pos="-5344"/>
        <w:tab w:val="left" w:pos="-4752"/>
      </w:tabs>
      <w:spacing w:before="120" w:after="12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paragraph" w:styleId="Header">
    <w:name w:val="header"/>
    <w:basedOn w:val="Normal"/>
    <w:pPr>
      <w:pBdr>
        <w:bottom w:val="single" w:sz="4" w:space="3" w:color="000000"/>
      </w:pBdr>
      <w:tabs>
        <w:tab w:val="clear" w:pos="567"/>
        <w:tab w:val="clear" w:pos="992"/>
        <w:tab w:val="center" w:pos="4153"/>
        <w:tab w:val="right" w:pos="8505"/>
      </w:tabs>
      <w:jc w:val="left"/>
    </w:pPr>
    <w:rPr>
      <w:sz w:val="19"/>
      <w:lang w:val="en-US"/>
    </w:rPr>
  </w:style>
  <w:style w:type="paragraph" w:styleId="Footer">
    <w:name w:val="footer"/>
    <w:basedOn w:val="Normal"/>
    <w:pPr>
      <w:pBdr>
        <w:top w:val="single" w:sz="4" w:space="3" w:color="000000"/>
      </w:pBdr>
      <w:tabs>
        <w:tab w:val="clear" w:pos="567"/>
        <w:tab w:val="clear" w:pos="992"/>
        <w:tab w:val="center" w:pos="4253"/>
        <w:tab w:val="right" w:pos="8505"/>
      </w:tabs>
      <w:jc w:val="left"/>
    </w:pPr>
    <w:rPr>
      <w:sz w:val="19"/>
      <w:lang w:val="en-US"/>
    </w:rPr>
  </w:style>
  <w:style w:type="character" w:styleId="PageNumber">
    <w:name w:val="page number"/>
    <w:basedOn w:val="DefaultParagraphFont"/>
  </w:style>
  <w:style w:type="paragraph" w:customStyle="1" w:styleId="ActionNumbered">
    <w:name w:val="Action Numbered"/>
    <w:basedOn w:val="Normal"/>
    <w:pPr>
      <w:spacing w:after="120"/>
      <w:ind w:right="284"/>
      <w:jc w:val="left"/>
    </w:pPr>
  </w:style>
  <w:style w:type="paragraph" w:styleId="ListBullet">
    <w:name w:val="List Bullet"/>
    <w:basedOn w:val="Normal"/>
    <w:pPr>
      <w:numPr>
        <w:numId w:val="5"/>
      </w:numPr>
      <w:spacing w:before="120" w:after="120"/>
      <w:jc w:val="left"/>
    </w:pPr>
  </w:style>
  <w:style w:type="paragraph" w:styleId="ListBullet2">
    <w:name w:val="List Bullet 2"/>
    <w:basedOn w:val="Normal"/>
    <w:pPr>
      <w:numPr>
        <w:numId w:val="6"/>
      </w:numPr>
      <w:tabs>
        <w:tab w:val="clear" w:pos="567"/>
        <w:tab w:val="clear" w:pos="992"/>
        <w:tab w:val="left" w:pos="-2976"/>
      </w:tabs>
      <w:spacing w:before="120" w:after="120"/>
      <w:jc w:val="left"/>
    </w:pPr>
  </w:style>
  <w:style w:type="paragraph" w:customStyle="1" w:styleId="Author">
    <w:name w:val="Author"/>
    <w:basedOn w:val="Normal"/>
    <w:pPr>
      <w:jc w:val="right"/>
    </w:pPr>
    <w:rPr>
      <w:sz w:val="19"/>
    </w:rPr>
  </w:style>
  <w:style w:type="paragraph" w:styleId="Title">
    <w:name w:val="Title"/>
    <w:basedOn w:val="Normal"/>
    <w:pPr>
      <w:spacing w:before="360" w:after="240" w:line="360" w:lineRule="exact"/>
      <w:jc w:val="left"/>
      <w:outlineLvl w:val="0"/>
    </w:pPr>
    <w:rPr>
      <w:b/>
      <w:kern w:val="3"/>
      <w:sz w:val="32"/>
      <w:szCs w:val="32"/>
    </w:rPr>
  </w:style>
  <w:style w:type="paragraph" w:customStyle="1" w:styleId="TableHead">
    <w:name w:val="Table Head"/>
    <w:basedOn w:val="Normal"/>
    <w:pPr>
      <w:spacing w:before="120" w:after="120" w:line="240" w:lineRule="exact"/>
      <w:jc w:val="left"/>
    </w:pPr>
    <w:rPr>
      <w:b/>
      <w:bCs/>
      <w:sz w:val="19"/>
    </w:rPr>
  </w:style>
  <w:style w:type="paragraph" w:customStyle="1" w:styleId="TableText">
    <w:name w:val="Table Text"/>
    <w:pPr>
      <w:tabs>
        <w:tab w:val="left" w:pos="284"/>
        <w:tab w:val="left" w:pos="567"/>
        <w:tab w:val="left" w:pos="992"/>
      </w:tabs>
      <w:suppressAutoHyphens/>
      <w:spacing w:before="120" w:after="120" w:line="240" w:lineRule="exact"/>
    </w:pPr>
    <w:rPr>
      <w:bCs/>
      <w:sz w:val="19"/>
      <w:lang w:eastAsia="en-US"/>
    </w:rPr>
  </w:style>
  <w:style w:type="paragraph" w:customStyle="1" w:styleId="TableBullet">
    <w:name w:val="Table Bullet"/>
    <w:basedOn w:val="TableText"/>
    <w:pPr>
      <w:numPr>
        <w:numId w:val="12"/>
      </w:numPr>
      <w:tabs>
        <w:tab w:val="clear" w:pos="284"/>
        <w:tab w:val="clear" w:pos="567"/>
        <w:tab w:val="clear" w:pos="992"/>
        <w:tab w:val="left" w:pos="-852"/>
        <w:tab w:val="left" w:pos="-776"/>
        <w:tab w:val="left" w:pos="-144"/>
      </w:tabs>
    </w:pPr>
  </w:style>
  <w:style w:type="paragraph" w:customStyle="1" w:styleId="ListNumbered">
    <w:name w:val="List Numbered"/>
    <w:basedOn w:val="Normal"/>
    <w:pPr>
      <w:numPr>
        <w:numId w:val="13"/>
      </w:numPr>
      <w:spacing w:before="120" w:after="120"/>
      <w:jc w:val="left"/>
    </w:pPr>
  </w:style>
  <w:style w:type="paragraph" w:customStyle="1" w:styleId="ListNumbered2">
    <w:name w:val="List Numbered 2"/>
    <w:basedOn w:val="Normal"/>
    <w:pPr>
      <w:tabs>
        <w:tab w:val="clear" w:pos="567"/>
        <w:tab w:val="clear" w:pos="992"/>
        <w:tab w:val="left" w:pos="0"/>
      </w:tabs>
      <w:spacing w:before="120" w:after="120"/>
      <w:jc w:val="left"/>
    </w:pPr>
    <w:rPr>
      <w:lang w:val="en-US"/>
    </w:rPr>
  </w:style>
  <w:style w:type="paragraph" w:customStyle="1" w:styleId="TableNumbered">
    <w:name w:val="Table Numbered"/>
    <w:basedOn w:val="TableText"/>
    <w:pPr>
      <w:numPr>
        <w:numId w:val="10"/>
      </w:numPr>
      <w:tabs>
        <w:tab w:val="clear" w:pos="284"/>
        <w:tab w:val="clear" w:pos="567"/>
        <w:tab w:val="clear" w:pos="992"/>
        <w:tab w:val="left" w:pos="-852"/>
        <w:tab w:val="left" w:pos="-776"/>
        <w:tab w:val="left" w:pos="-569"/>
      </w:tabs>
    </w:pPr>
  </w:style>
  <w:style w:type="paragraph" w:styleId="FootnoteText">
    <w:name w:val="footnote text"/>
    <w:basedOn w:val="Normal"/>
    <w:pPr>
      <w:tabs>
        <w:tab w:val="clear" w:pos="567"/>
        <w:tab w:val="left" w:pos="284"/>
      </w:tabs>
      <w:spacing w:before="0" w:line="240" w:lineRule="exact"/>
      <w:ind w:left="284" w:hanging="284"/>
      <w:jc w:val="left"/>
    </w:pPr>
    <w:rPr>
      <w:sz w:val="19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TOC1">
    <w:name w:val="toc 1"/>
    <w:basedOn w:val="Normal"/>
    <w:next w:val="Normal"/>
    <w:autoRedefine/>
    <w:pPr>
      <w:tabs>
        <w:tab w:val="clear" w:pos="992"/>
        <w:tab w:val="right" w:leader="dot" w:pos="8505"/>
      </w:tabs>
      <w:spacing w:before="120"/>
      <w:ind w:left="567" w:right="566" w:hanging="567"/>
    </w:pPr>
    <w:rPr>
      <w:szCs w:val="28"/>
    </w:rPr>
  </w:style>
  <w:style w:type="paragraph" w:styleId="TOC2">
    <w:name w:val="toc 2"/>
    <w:basedOn w:val="Normal"/>
    <w:next w:val="Normal"/>
    <w:autoRedefine/>
    <w:pPr>
      <w:tabs>
        <w:tab w:val="clear" w:pos="567"/>
        <w:tab w:val="clear" w:pos="992"/>
        <w:tab w:val="left" w:pos="1134"/>
        <w:tab w:val="right" w:leader="dot" w:pos="8505"/>
      </w:tabs>
      <w:spacing w:before="0"/>
      <w:ind w:left="1134" w:right="566" w:hanging="567"/>
    </w:pPr>
    <w:rPr>
      <w:sz w:val="20"/>
    </w:rPr>
  </w:style>
  <w:style w:type="paragraph" w:styleId="TOC3">
    <w:name w:val="toc 3"/>
    <w:basedOn w:val="Normal"/>
    <w:next w:val="Normal"/>
    <w:autoRedefine/>
    <w:pPr>
      <w:tabs>
        <w:tab w:val="clear" w:pos="567"/>
        <w:tab w:val="clear" w:pos="992"/>
        <w:tab w:val="left" w:pos="1701"/>
        <w:tab w:val="right" w:leader="dot" w:pos="8505"/>
      </w:tabs>
      <w:spacing w:before="0"/>
      <w:ind w:left="1701" w:right="567" w:hanging="567"/>
    </w:pPr>
    <w:rPr>
      <w:sz w:val="20"/>
    </w:rPr>
  </w:style>
  <w:style w:type="paragraph" w:styleId="TOC4">
    <w:name w:val="toc 4"/>
    <w:basedOn w:val="Normal"/>
    <w:next w:val="Normal"/>
    <w:autoRedefine/>
    <w:pPr>
      <w:tabs>
        <w:tab w:val="clear" w:pos="567"/>
        <w:tab w:val="clear" w:pos="992"/>
      </w:tabs>
      <w:ind w:left="720"/>
    </w:pPr>
  </w:style>
  <w:style w:type="paragraph" w:styleId="TOC5">
    <w:name w:val="toc 5"/>
    <w:basedOn w:val="Normal"/>
    <w:next w:val="Normal"/>
    <w:autoRedefine/>
    <w:pPr>
      <w:tabs>
        <w:tab w:val="clear" w:pos="567"/>
        <w:tab w:val="clear" w:pos="992"/>
      </w:tabs>
      <w:ind w:left="960"/>
    </w:pPr>
  </w:style>
  <w:style w:type="paragraph" w:styleId="TOC6">
    <w:name w:val="toc 6"/>
    <w:basedOn w:val="Normal"/>
    <w:next w:val="Normal"/>
    <w:autoRedefine/>
    <w:pPr>
      <w:tabs>
        <w:tab w:val="clear" w:pos="567"/>
        <w:tab w:val="clear" w:pos="992"/>
      </w:tabs>
      <w:ind w:left="1200"/>
    </w:pPr>
  </w:style>
  <w:style w:type="paragraph" w:styleId="TOC7">
    <w:name w:val="toc 7"/>
    <w:basedOn w:val="Normal"/>
    <w:next w:val="Normal"/>
    <w:autoRedefine/>
    <w:pPr>
      <w:tabs>
        <w:tab w:val="clear" w:pos="567"/>
        <w:tab w:val="clear" w:pos="992"/>
      </w:tabs>
      <w:ind w:left="1440"/>
    </w:pPr>
  </w:style>
  <w:style w:type="paragraph" w:styleId="TOC8">
    <w:name w:val="toc 8"/>
    <w:basedOn w:val="Normal"/>
    <w:next w:val="Normal"/>
    <w:autoRedefine/>
    <w:pPr>
      <w:tabs>
        <w:tab w:val="clear" w:pos="567"/>
        <w:tab w:val="clear" w:pos="992"/>
      </w:tabs>
      <w:ind w:left="1680"/>
    </w:pPr>
  </w:style>
  <w:style w:type="paragraph" w:styleId="TOC9">
    <w:name w:val="toc 9"/>
    <w:basedOn w:val="Normal"/>
    <w:next w:val="Normal"/>
    <w:autoRedefine/>
    <w:pPr>
      <w:tabs>
        <w:tab w:val="clear" w:pos="567"/>
        <w:tab w:val="clear" w:pos="992"/>
      </w:tabs>
      <w:ind w:left="19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ListCharacters">
    <w:name w:val="List Characters"/>
    <w:basedOn w:val="ListNumbered"/>
    <w:pPr>
      <w:numPr>
        <w:numId w:val="11"/>
      </w:numPr>
    </w:pPr>
  </w:style>
  <w:style w:type="paragraph" w:styleId="ListNumber">
    <w:name w:val="List Number"/>
    <w:basedOn w:val="Normal"/>
    <w:pPr>
      <w:numPr>
        <w:numId w:val="9"/>
      </w:numPr>
      <w:tabs>
        <w:tab w:val="clear" w:pos="567"/>
        <w:tab w:val="clear" w:pos="992"/>
        <w:tab w:val="left" w:pos="-852"/>
        <w:tab w:val="left" w:pos="-569"/>
        <w:tab w:val="left" w:pos="-144"/>
      </w:tabs>
    </w:pPr>
  </w:style>
  <w:style w:type="paragraph" w:customStyle="1" w:styleId="ActionSub-Point">
    <w:name w:val="Action Sub-Point"/>
    <w:basedOn w:val="ActionNumbered"/>
    <w:pPr>
      <w:numPr>
        <w:numId w:val="7"/>
      </w:numPr>
      <w:tabs>
        <w:tab w:val="clear" w:pos="567"/>
        <w:tab w:val="clear" w:pos="992"/>
        <w:tab w:val="left" w:pos="-567"/>
        <w:tab w:val="left" w:pos="-141"/>
      </w:tabs>
      <w:spacing w:before="120"/>
    </w:pPr>
  </w:style>
  <w:style w:type="paragraph" w:customStyle="1" w:styleId="BoxBanner">
    <w:name w:val="Box Banner"/>
    <w:basedOn w:val="Normal"/>
    <w:pPr>
      <w:pBdr>
        <w:top w:val="single" w:sz="4" w:space="14" w:color="000000"/>
        <w:left w:val="single" w:sz="4" w:space="0" w:color="000000"/>
        <w:bottom w:val="single" w:sz="4" w:space="12" w:color="000000"/>
        <w:right w:val="single" w:sz="4" w:space="0" w:color="000000"/>
      </w:pBdr>
      <w:tabs>
        <w:tab w:val="clear" w:pos="567"/>
        <w:tab w:val="clear" w:pos="992"/>
        <w:tab w:val="center" w:pos="4253"/>
      </w:tabs>
      <w:spacing w:before="0" w:line="320" w:lineRule="exact"/>
      <w:jc w:val="center"/>
    </w:pPr>
    <w:rPr>
      <w:bCs/>
      <w:caps/>
    </w:rPr>
  </w:style>
  <w:style w:type="paragraph" w:customStyle="1" w:styleId="ActionCharacter">
    <w:name w:val="Action Character"/>
    <w:basedOn w:val="Normal"/>
    <w:pPr>
      <w:numPr>
        <w:numId w:val="14"/>
      </w:numPr>
      <w:spacing w:after="120"/>
      <w:ind w:right="284"/>
      <w:jc w:val="left"/>
    </w:pPr>
  </w:style>
  <w:style w:type="paragraph" w:customStyle="1" w:styleId="BoxTitle">
    <w:name w:val="Box Title"/>
    <w:basedOn w:val="Normal"/>
    <w:pPr>
      <w:pBdr>
        <w:top w:val="single" w:sz="4" w:space="14" w:color="000000"/>
        <w:left w:val="single" w:sz="4" w:space="0" w:color="000000"/>
        <w:bottom w:val="single" w:sz="4" w:space="12" w:color="000000"/>
        <w:right w:val="single" w:sz="4" w:space="0" w:color="000000"/>
      </w:pBdr>
      <w:tabs>
        <w:tab w:val="clear" w:pos="567"/>
        <w:tab w:val="clear" w:pos="992"/>
      </w:tabs>
      <w:spacing w:before="320" w:after="320" w:line="400" w:lineRule="exact"/>
      <w:jc w:val="center"/>
    </w:pPr>
    <w:rPr>
      <w:b/>
      <w:bCs/>
      <w:sz w:val="32"/>
      <w:lang w:eastAsia="en-GB"/>
    </w:rPr>
  </w:style>
  <w:style w:type="paragraph" w:customStyle="1" w:styleId="BoxSub">
    <w:name w:val="Box Sub"/>
    <w:basedOn w:val="Normal"/>
    <w:pPr>
      <w:pBdr>
        <w:top w:val="single" w:sz="4" w:space="14" w:color="000000"/>
        <w:left w:val="single" w:sz="4" w:space="0" w:color="000000"/>
        <w:bottom w:val="single" w:sz="4" w:space="12" w:color="000000"/>
        <w:right w:val="single" w:sz="4" w:space="0" w:color="000000"/>
      </w:pBdr>
      <w:tabs>
        <w:tab w:val="clear" w:pos="567"/>
        <w:tab w:val="clear" w:pos="992"/>
      </w:tabs>
      <w:spacing w:before="0"/>
      <w:jc w:val="center"/>
    </w:pPr>
  </w:style>
  <w:style w:type="paragraph" w:customStyle="1" w:styleId="BoxCirculated">
    <w:name w:val="Box Circulated"/>
    <w:basedOn w:val="Normal"/>
    <w:pPr>
      <w:pBdr>
        <w:top w:val="single" w:sz="4" w:space="14" w:color="000000"/>
        <w:left w:val="single" w:sz="4" w:space="0" w:color="000000"/>
        <w:bottom w:val="single" w:sz="4" w:space="12" w:color="000000"/>
        <w:right w:val="single" w:sz="4" w:space="0" w:color="000000"/>
      </w:pBdr>
      <w:tabs>
        <w:tab w:val="clear" w:pos="567"/>
        <w:tab w:val="clear" w:pos="992"/>
      </w:tabs>
      <w:spacing w:before="120" w:line="240" w:lineRule="exact"/>
      <w:jc w:val="center"/>
    </w:pPr>
    <w:rPr>
      <w:i/>
      <w:iCs/>
      <w:sz w:val="19"/>
      <w:lang w:eastAsia="en-GB"/>
    </w:rPr>
  </w:style>
  <w:style w:type="paragraph" w:customStyle="1" w:styleId="ListCharacters2">
    <w:name w:val="List Characters 2"/>
    <w:basedOn w:val="Normal"/>
    <w:pPr>
      <w:numPr>
        <w:numId w:val="8"/>
      </w:numPr>
      <w:tabs>
        <w:tab w:val="clear" w:pos="567"/>
        <w:tab w:val="clear" w:pos="992"/>
        <w:tab w:val="left" w:pos="-1983"/>
      </w:tabs>
      <w:jc w:val="left"/>
    </w:pPr>
  </w:style>
  <w:style w:type="paragraph" w:styleId="ListParagraph">
    <w:name w:val="List Paragraph"/>
    <w:basedOn w:val="Normal"/>
    <w:pPr>
      <w:ind w:left="720"/>
    </w:p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numbering" w:customStyle="1" w:styleId="LFO16">
    <w:name w:val="LFO16"/>
    <w:basedOn w:val="NoList"/>
    <w:pPr>
      <w:numPr>
        <w:numId w:val="5"/>
      </w:numPr>
    </w:pPr>
  </w:style>
  <w:style w:type="numbering" w:customStyle="1" w:styleId="LFO18">
    <w:name w:val="LFO18"/>
    <w:basedOn w:val="NoList"/>
    <w:pPr>
      <w:numPr>
        <w:numId w:val="6"/>
      </w:numPr>
    </w:pPr>
  </w:style>
  <w:style w:type="numbering" w:customStyle="1" w:styleId="LFO20">
    <w:name w:val="LFO20"/>
    <w:basedOn w:val="NoList"/>
    <w:pPr>
      <w:numPr>
        <w:numId w:val="7"/>
      </w:numPr>
    </w:pPr>
  </w:style>
  <w:style w:type="numbering" w:customStyle="1" w:styleId="LFO28">
    <w:name w:val="LFO28"/>
    <w:basedOn w:val="NoList"/>
    <w:pPr>
      <w:numPr>
        <w:numId w:val="8"/>
      </w:numPr>
    </w:pPr>
  </w:style>
  <w:style w:type="numbering" w:customStyle="1" w:styleId="LFO34">
    <w:name w:val="LFO34"/>
    <w:basedOn w:val="NoList"/>
    <w:pPr>
      <w:numPr>
        <w:numId w:val="9"/>
      </w:numPr>
    </w:pPr>
  </w:style>
  <w:style w:type="numbering" w:customStyle="1" w:styleId="LFO39">
    <w:name w:val="LFO39"/>
    <w:basedOn w:val="NoList"/>
    <w:pPr>
      <w:numPr>
        <w:numId w:val="10"/>
      </w:numPr>
    </w:pPr>
  </w:style>
  <w:style w:type="numbering" w:customStyle="1" w:styleId="LFO40">
    <w:name w:val="LFO40"/>
    <w:basedOn w:val="NoList"/>
    <w:pPr>
      <w:numPr>
        <w:numId w:val="11"/>
      </w:numPr>
    </w:pPr>
  </w:style>
  <w:style w:type="numbering" w:customStyle="1" w:styleId="LFO42">
    <w:name w:val="LFO42"/>
    <w:basedOn w:val="NoList"/>
    <w:pPr>
      <w:numPr>
        <w:numId w:val="12"/>
      </w:numPr>
    </w:pPr>
  </w:style>
  <w:style w:type="numbering" w:customStyle="1" w:styleId="LFO43">
    <w:name w:val="LFO43"/>
    <w:basedOn w:val="NoList"/>
    <w:pPr>
      <w:numPr>
        <w:numId w:val="13"/>
      </w:numPr>
    </w:pPr>
  </w:style>
  <w:style w:type="numbering" w:customStyle="1" w:styleId="LFO47">
    <w:name w:val="LFO47"/>
    <w:basedOn w:val="NoList"/>
    <w:pPr>
      <w:numPr>
        <w:numId w:val="1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56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5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yoshida\LOCALS~1\Temp\notesE8DBF2\IASC%20Subsidiary%20Bodies%202012%20Annual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0AE86-AD98-4F4E-834B-96867111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IASC Subsidiary Bodies 2012 Annual Report Template.dotx</Template>
  <TotalTime>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INTER–AGENCY STANDING COMMITTEE WORKING GROUP</vt:lpstr>
    </vt:vector>
  </TitlesOfParts>
  <Company>OCHA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INTER–AGENCY STANDING COMMITTEE WORKING GROUP</dc:title>
  <dc:creator>YOSHIDA</dc:creator>
  <cp:lastModifiedBy>Katja LAURILA</cp:lastModifiedBy>
  <cp:revision>2</cp:revision>
  <cp:lastPrinted>2013-01-16T17:27:00Z</cp:lastPrinted>
  <dcterms:created xsi:type="dcterms:W3CDTF">2013-02-04T10:59:00Z</dcterms:created>
  <dcterms:modified xsi:type="dcterms:W3CDTF">2013-02-04T10:59:00Z</dcterms:modified>
</cp:coreProperties>
</file>