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ED0F" w14:textId="1A40967A" w:rsidR="0070282B" w:rsidRDefault="0070282B" w:rsidP="00702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Best Practices to Accelerate Implementation of CERF Projects</w:t>
      </w:r>
    </w:p>
    <w:p w14:paraId="0E8921B9" w14:textId="74A33821" w:rsidR="00AC29E3" w:rsidRPr="005A261C" w:rsidRDefault="005A261C" w:rsidP="005A2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61C">
        <w:rPr>
          <w:rFonts w:ascii="Times New Roman" w:hAnsi="Times New Roman" w:cs="Times New Roman"/>
          <w:b/>
          <w:sz w:val="24"/>
          <w:szCs w:val="24"/>
          <w:u w:val="single"/>
        </w:rPr>
        <w:t>DRAFT FOR DISCUSSION ONLY</w:t>
      </w:r>
    </w:p>
    <w:p w14:paraId="0204B1D1" w14:textId="61C610BA" w:rsidR="005A261C" w:rsidRPr="006735C5" w:rsidRDefault="009D7B0D" w:rsidP="005A26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4A3D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August </w:t>
      </w:r>
      <w:r w:rsidR="004A3DBC">
        <w:rPr>
          <w:rFonts w:ascii="Times New Roman" w:hAnsi="Times New Roman" w:cs="Times New Roman"/>
          <w:i/>
          <w:sz w:val="24"/>
          <w:szCs w:val="24"/>
        </w:rPr>
        <w:t>2014</w:t>
      </w:r>
    </w:p>
    <w:p w14:paraId="53AB9083" w14:textId="5D19CFE2" w:rsidR="00B964E0" w:rsidRDefault="005506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Preparedness</w:t>
      </w:r>
    </w:p>
    <w:p w14:paraId="0D5F9F1C" w14:textId="2B68EDCB" w:rsidR="009C5B87" w:rsidRPr="005506E2" w:rsidRDefault="009C5B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In the Field</w:t>
      </w:r>
    </w:p>
    <w:p w14:paraId="77D3DEAF" w14:textId="3DAC561E" w:rsidR="00794E1A" w:rsidRDefault="007A6A7C" w:rsidP="00D27F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015D">
        <w:rPr>
          <w:rFonts w:ascii="Times New Roman" w:hAnsi="Times New Roman" w:cs="Times New Roman"/>
          <w:i/>
          <w:sz w:val="24"/>
          <w:szCs w:val="24"/>
          <w:lang w:val="en-US"/>
        </w:rPr>
        <w:t>Map potential NGO partners</w:t>
      </w:r>
      <w:r w:rsidRPr="00AF01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27FFC">
        <w:rPr>
          <w:rFonts w:ascii="Times New Roman" w:hAnsi="Times New Roman" w:cs="Times New Roman"/>
          <w:sz w:val="24"/>
          <w:szCs w:val="24"/>
          <w:lang w:val="en-US"/>
        </w:rPr>
        <w:t>Map potential NGOs and CSOs for emergency partnerships as part of early warning/emergency preparedness exercises (UNICEF</w:t>
      </w:r>
      <w:r w:rsidR="00F55CE8">
        <w:rPr>
          <w:rFonts w:ascii="Times New Roman" w:hAnsi="Times New Roman" w:cs="Times New Roman"/>
          <w:sz w:val="24"/>
          <w:szCs w:val="24"/>
          <w:lang w:val="en-US"/>
        </w:rPr>
        <w:t>, WFP</w:t>
      </w:r>
      <w:r w:rsidR="00D27FF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01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11725A5" w14:textId="77777777" w:rsidR="00EF1E8E" w:rsidRDefault="00EF1E8E" w:rsidP="00EF1E8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612CB66" w14:textId="5E9B4F64" w:rsidR="00B251A3" w:rsidRDefault="00770B66" w:rsidP="00E23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Annual NGO consul</w:t>
      </w:r>
      <w:r w:rsidR="00F338B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ation</w:t>
      </w:r>
      <w:r w:rsidR="00EF1E8E" w:rsidRPr="00EF1E8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EF1E8E" w:rsidRPr="00EF1E8E">
        <w:rPr>
          <w:rFonts w:ascii="Times New Roman" w:hAnsi="Times New Roman" w:cs="Times New Roman"/>
          <w:sz w:val="24"/>
          <w:szCs w:val="24"/>
          <w:lang w:val="en-US"/>
        </w:rPr>
        <w:t xml:space="preserve"> Hold annual consultations/contracting with 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 xml:space="preserve">current and prospective </w:t>
      </w:r>
      <w:r w:rsidR="00EF1E8E" w:rsidRPr="00EF1E8E">
        <w:rPr>
          <w:rFonts w:ascii="Times New Roman" w:hAnsi="Times New Roman" w:cs="Times New Roman"/>
          <w:sz w:val="24"/>
          <w:szCs w:val="24"/>
          <w:lang w:val="en-US"/>
        </w:rPr>
        <w:t>NGO partners instead of on an as-needed basis to prepare for anticipated or possible crises in the coming year</w:t>
      </w:r>
      <w:r w:rsidR="00E44581">
        <w:rPr>
          <w:rFonts w:ascii="Times New Roman" w:hAnsi="Times New Roman" w:cs="Times New Roman"/>
          <w:sz w:val="24"/>
          <w:szCs w:val="24"/>
          <w:lang w:val="en-US"/>
        </w:rPr>
        <w:t xml:space="preserve"> (UNHCR)</w:t>
      </w:r>
      <w:r w:rsidR="00EF1E8E" w:rsidRPr="00EF1E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8B9D1D" w14:textId="77777777" w:rsidR="00EF1E8E" w:rsidRPr="00EF1E8E" w:rsidRDefault="00EF1E8E" w:rsidP="00EF1E8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A11CA37" w14:textId="31B9E2C4" w:rsidR="00794E1A" w:rsidRPr="00B251A3" w:rsidRDefault="00794E1A" w:rsidP="00AF0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Create a contingency </w:t>
      </w:r>
      <w:r w:rsidR="00E44581">
        <w:rPr>
          <w:rFonts w:ascii="Times New Roman" w:hAnsi="Times New Roman" w:cs="Times New Roman"/>
          <w:i/>
          <w:sz w:val="24"/>
          <w:szCs w:val="24"/>
          <w:lang w:val="en-US"/>
        </w:rPr>
        <w:t>Agency-NGO agreement</w:t>
      </w:r>
      <w:r w:rsidRPr="00794E1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19B">
        <w:rPr>
          <w:rFonts w:ascii="Times New Roman" w:hAnsi="Times New Roman" w:cs="Times New Roman"/>
          <w:sz w:val="24"/>
          <w:szCs w:val="24"/>
        </w:rPr>
        <w:t xml:space="preserve">This is an </w:t>
      </w:r>
      <w:r>
        <w:rPr>
          <w:rFonts w:ascii="Times New Roman" w:hAnsi="Times New Roman" w:cs="Times New Roman"/>
          <w:sz w:val="24"/>
          <w:szCs w:val="24"/>
        </w:rPr>
        <w:t>agreement with an NGO partner agreeing to provide supplies and money up to a certain threshold.  It is reviewed and renewed annually.  On</w:t>
      </w:r>
      <w:r w:rsidR="00B251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the </w:t>
      </w:r>
      <w:r w:rsidR="00E44581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 xml:space="preserve">is activated, the NGO provides a detailed budget during an initial rapid assessment, and the </w:t>
      </w:r>
      <w:r w:rsidR="00E44581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>can allow for reimbursement of expenses prior to activation</w:t>
      </w:r>
      <w:r w:rsidR="00D27FFC">
        <w:rPr>
          <w:rFonts w:ascii="Times New Roman" w:hAnsi="Times New Roman" w:cs="Times New Roman"/>
          <w:sz w:val="24"/>
          <w:szCs w:val="24"/>
        </w:rPr>
        <w:t xml:space="preserve"> (UNICEF</w:t>
      </w:r>
      <w:r w:rsidR="00770B66">
        <w:rPr>
          <w:rFonts w:ascii="Times New Roman" w:hAnsi="Times New Roman" w:cs="Times New Roman"/>
          <w:sz w:val="24"/>
          <w:szCs w:val="24"/>
        </w:rPr>
        <w:t xml:space="preserve"> – WASH Cluster Lead)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788BB" w14:textId="77777777" w:rsidR="00B251A3" w:rsidRDefault="00B251A3" w:rsidP="00B251A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A8D8D00" w14:textId="4248FD26" w:rsidR="00B251A3" w:rsidRPr="005A261C" w:rsidRDefault="00794E1A" w:rsidP="00173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26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Add contingency plans to development </w:t>
      </w:r>
      <w:r w:rsidR="00E44581">
        <w:rPr>
          <w:rFonts w:ascii="Times New Roman" w:hAnsi="Times New Roman" w:cs="Times New Roman"/>
          <w:i/>
          <w:sz w:val="24"/>
          <w:szCs w:val="24"/>
          <w:lang w:val="en-US"/>
        </w:rPr>
        <w:t>Agency-NGO agreements</w:t>
      </w:r>
      <w:r w:rsidRPr="005A261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A6A7C" w:rsidRPr="005A2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261C">
        <w:rPr>
          <w:rFonts w:ascii="Times New Roman" w:hAnsi="Times New Roman" w:cs="Times New Roman"/>
          <w:sz w:val="24"/>
          <w:szCs w:val="24"/>
        </w:rPr>
        <w:t>Emergency preparedness and response activities can be included as part of regular</w:t>
      </w:r>
      <w:r w:rsidR="009C5B87">
        <w:rPr>
          <w:rFonts w:ascii="Times New Roman" w:hAnsi="Times New Roman" w:cs="Times New Roman"/>
          <w:sz w:val="24"/>
          <w:szCs w:val="24"/>
        </w:rPr>
        <w:t xml:space="preserve"> humanitarian</w:t>
      </w:r>
      <w:r w:rsidRPr="005A261C">
        <w:rPr>
          <w:rFonts w:ascii="Times New Roman" w:hAnsi="Times New Roman" w:cs="Times New Roman"/>
          <w:sz w:val="24"/>
          <w:szCs w:val="24"/>
        </w:rPr>
        <w:t xml:space="preserve">/development-type agreements in the regions where the partnership is active.  These portions of the </w:t>
      </w:r>
      <w:r w:rsidR="00DC2AB4">
        <w:rPr>
          <w:rFonts w:ascii="Times New Roman" w:hAnsi="Times New Roman" w:cs="Times New Roman"/>
          <w:sz w:val="24"/>
          <w:szCs w:val="24"/>
        </w:rPr>
        <w:t xml:space="preserve">agreements </w:t>
      </w:r>
      <w:r w:rsidRPr="005A261C">
        <w:rPr>
          <w:rFonts w:ascii="Times New Roman" w:hAnsi="Times New Roman" w:cs="Times New Roman"/>
          <w:sz w:val="24"/>
          <w:szCs w:val="24"/>
        </w:rPr>
        <w:t>would only be activated in the case of emergencies</w:t>
      </w:r>
      <w:r w:rsidR="00DC2AB4">
        <w:rPr>
          <w:rFonts w:ascii="Times New Roman" w:hAnsi="Times New Roman" w:cs="Times New Roman"/>
          <w:sz w:val="24"/>
          <w:szCs w:val="24"/>
        </w:rPr>
        <w:t xml:space="preserve"> (</w:t>
      </w:r>
      <w:r w:rsidR="005506E2">
        <w:rPr>
          <w:rFonts w:ascii="Times New Roman" w:hAnsi="Times New Roman" w:cs="Times New Roman"/>
          <w:sz w:val="24"/>
          <w:szCs w:val="24"/>
        </w:rPr>
        <w:t xml:space="preserve">UNHCR, </w:t>
      </w:r>
      <w:r w:rsidR="00DC2AB4">
        <w:rPr>
          <w:rFonts w:ascii="Times New Roman" w:hAnsi="Times New Roman" w:cs="Times New Roman"/>
          <w:sz w:val="24"/>
          <w:szCs w:val="24"/>
        </w:rPr>
        <w:t>UNICEF</w:t>
      </w:r>
      <w:r w:rsidR="00770B66">
        <w:rPr>
          <w:rFonts w:ascii="Times New Roman" w:hAnsi="Times New Roman" w:cs="Times New Roman"/>
          <w:sz w:val="24"/>
          <w:szCs w:val="24"/>
        </w:rPr>
        <w:t xml:space="preserve"> – WASH Cluster Lead</w:t>
      </w:r>
      <w:r w:rsidR="00DC2AB4">
        <w:rPr>
          <w:rFonts w:ascii="Times New Roman" w:hAnsi="Times New Roman" w:cs="Times New Roman"/>
          <w:sz w:val="24"/>
          <w:szCs w:val="24"/>
        </w:rPr>
        <w:t>)</w:t>
      </w:r>
      <w:r w:rsidRPr="005A26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67050D" w14:textId="77777777" w:rsidR="00B251A3" w:rsidRDefault="00B251A3" w:rsidP="00B251A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E4A166D" w14:textId="4D1AC834" w:rsidR="009C5B87" w:rsidRPr="00B251A3" w:rsidRDefault="009C5B87" w:rsidP="005506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Headquarters</w:t>
      </w:r>
    </w:p>
    <w:p w14:paraId="0239AB94" w14:textId="79E132D5" w:rsidR="00AF015D" w:rsidRDefault="00AF015D" w:rsidP="00AF0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F015D">
        <w:rPr>
          <w:rFonts w:ascii="Times New Roman" w:hAnsi="Times New Roman" w:cs="Times New Roman"/>
          <w:i/>
          <w:sz w:val="24"/>
          <w:szCs w:val="24"/>
          <w:lang w:val="en-US"/>
        </w:rPr>
        <w:t>Create e-resource toolkit</w:t>
      </w:r>
      <w:r w:rsidR="00794E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(HQ level activity)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45F5"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toolkit on the intranet to assist offices with best practices to respond rapidly to emergencies, including guides and sample contingency </w:t>
      </w:r>
      <w:r w:rsidR="00DE45F5">
        <w:rPr>
          <w:rFonts w:ascii="Times New Roman" w:hAnsi="Times New Roman" w:cs="Times New Roman"/>
          <w:sz w:val="24"/>
          <w:szCs w:val="24"/>
          <w:lang w:val="en-US"/>
        </w:rPr>
        <w:t xml:space="preserve">agency-NGO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agreements </w:t>
      </w:r>
      <w:r w:rsidR="00DE45F5">
        <w:rPr>
          <w:rFonts w:ascii="Times New Roman" w:hAnsi="Times New Roman" w:cs="Times New Roman"/>
          <w:sz w:val="24"/>
          <w:szCs w:val="24"/>
          <w:lang w:val="en-US"/>
        </w:rPr>
        <w:t>(UNICEF)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51D0A1" w14:textId="77777777" w:rsidR="0086411F" w:rsidRPr="0086411F" w:rsidRDefault="0086411F" w:rsidP="0086411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CD1EBD9" w14:textId="7F62DE7C" w:rsidR="0086411F" w:rsidRPr="00817A93" w:rsidRDefault="0086411F" w:rsidP="00AF0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411F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Provide training to all CO </w:t>
      </w:r>
      <w:r w:rsidR="00481FB9">
        <w:rPr>
          <w:rFonts w:ascii="Times New Roman" w:hAnsi="Times New Roman" w:cs="Times New Roman"/>
          <w:sz w:val="24"/>
          <w:szCs w:val="24"/>
          <w:lang w:val="en-US"/>
        </w:rPr>
        <w:t>Representatives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cluster coordinators on country-based pooled funding</w:t>
      </w:r>
      <w:r w:rsidR="0045458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CERF</w:t>
      </w:r>
      <w:r w:rsidR="00DC2AB4">
        <w:rPr>
          <w:rFonts w:ascii="Times New Roman" w:hAnsi="Times New Roman" w:cs="Times New Roman"/>
          <w:sz w:val="24"/>
          <w:szCs w:val="24"/>
          <w:lang w:val="en-US"/>
        </w:rPr>
        <w:t xml:space="preserve"> (UNHCR)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F17F28" w14:textId="77777777" w:rsidR="00817A93" w:rsidRPr="00817A93" w:rsidRDefault="00817A93" w:rsidP="00817A93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43936A1" w14:textId="4831DEEB" w:rsidR="00817A93" w:rsidRPr="0086411F" w:rsidRDefault="00817A93" w:rsidP="00AF0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NGO Guidance on Agency Website: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Place standard UN Agency-NGO agreement templates and guidance in multiple language</w:t>
      </w:r>
      <w:r w:rsidR="0045458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agency website to allow NGOs to gain familiarity with agency practices (WFP)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309467" w14:textId="77777777" w:rsidR="00F338B2" w:rsidRDefault="00F338B2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CBA27B5" w14:textId="77777777" w:rsidR="00F338B2" w:rsidRDefault="00F338B2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50CAEF3" w14:textId="450724F8" w:rsidR="00E51947" w:rsidRDefault="00E5194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Early in Emergency/Escalation</w:t>
      </w:r>
    </w:p>
    <w:p w14:paraId="1752FD36" w14:textId="470EFC35" w:rsidR="007452EF" w:rsidRDefault="00454586" w:rsidP="007452EF">
      <w:pPr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NGOs, in clusters, the inter-cluster group and the HCT, should participate in CERF prioritization processes. In addition, UN agencies </w:t>
      </w:r>
      <w:r w:rsidR="008A28FF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="007452EF">
        <w:rPr>
          <w:rFonts w:ascii="Times New Roman" w:hAnsi="Times New Roman" w:cs="Times New Roman"/>
          <w:i/>
          <w:sz w:val="24"/>
          <w:szCs w:val="24"/>
          <w:lang w:val="en-US"/>
        </w:rPr>
        <w:t>ngage partners early in identification and prioritization of projects for a CERF submission.  The following steps can help speed up project implementation.</w:t>
      </w:r>
    </w:p>
    <w:p w14:paraId="709DAF04" w14:textId="2118FEDE" w:rsidR="00D27011" w:rsidRPr="007452EF" w:rsidRDefault="00E51947" w:rsidP="007452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452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Consult early and often with </w:t>
      </w:r>
      <w:r w:rsidR="009C5B87">
        <w:rPr>
          <w:rFonts w:ascii="Times New Roman" w:hAnsi="Times New Roman" w:cs="Times New Roman"/>
          <w:i/>
          <w:sz w:val="24"/>
          <w:szCs w:val="24"/>
          <w:lang w:val="en-US"/>
        </w:rPr>
        <w:t>partners</w:t>
      </w:r>
      <w:r w:rsidR="009C5B87" w:rsidRPr="007452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452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481FB9" w:rsidRPr="007452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7452EF">
        <w:rPr>
          <w:rFonts w:ascii="Times New Roman" w:hAnsi="Times New Roman" w:cs="Times New Roman"/>
          <w:i/>
          <w:sz w:val="24"/>
          <w:szCs w:val="24"/>
          <w:lang w:val="en-US"/>
        </w:rPr>
        <w:t>proposal</w:t>
      </w:r>
      <w:r w:rsidR="0004519E" w:rsidRPr="007452E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C30A6" w:rsidRPr="007452EF">
        <w:rPr>
          <w:rFonts w:ascii="Times New Roman" w:hAnsi="Times New Roman" w:cs="Times New Roman"/>
          <w:sz w:val="24"/>
          <w:szCs w:val="24"/>
          <w:lang w:val="en-US"/>
        </w:rPr>
        <w:t xml:space="preserve"> Ensure projec</w:t>
      </w:r>
      <w:r w:rsidR="007452EF">
        <w:rPr>
          <w:rFonts w:ascii="Times New Roman" w:hAnsi="Times New Roman" w:cs="Times New Roman"/>
          <w:sz w:val="24"/>
          <w:szCs w:val="24"/>
          <w:lang w:val="en-US"/>
        </w:rPr>
        <w:t>ts are planned jointly.  S</w:t>
      </w:r>
      <w:r w:rsidR="00AC30A6" w:rsidRPr="007452EF">
        <w:rPr>
          <w:rFonts w:ascii="Times New Roman" w:hAnsi="Times New Roman" w:cs="Times New Roman"/>
          <w:sz w:val="24"/>
          <w:szCs w:val="24"/>
          <w:lang w:val="en-US"/>
        </w:rPr>
        <w:t>et expectations ar</w:t>
      </w:r>
      <w:r w:rsidR="00481FB9" w:rsidRPr="007452EF">
        <w:rPr>
          <w:rFonts w:ascii="Times New Roman" w:hAnsi="Times New Roman" w:cs="Times New Roman"/>
          <w:sz w:val="24"/>
          <w:szCs w:val="24"/>
          <w:lang w:val="en-US"/>
        </w:rPr>
        <w:t xml:space="preserve">ound CERF requirements and </w:t>
      </w:r>
      <w:r w:rsidR="007452EF">
        <w:rPr>
          <w:rFonts w:ascii="Times New Roman" w:hAnsi="Times New Roman" w:cs="Times New Roman"/>
          <w:sz w:val="24"/>
          <w:szCs w:val="24"/>
          <w:lang w:val="en-US"/>
        </w:rPr>
        <w:t xml:space="preserve">clarify that the project may not be </w:t>
      </w:r>
      <w:r w:rsidR="005506E2">
        <w:rPr>
          <w:rFonts w:ascii="Times New Roman" w:hAnsi="Times New Roman" w:cs="Times New Roman"/>
          <w:sz w:val="24"/>
          <w:szCs w:val="24"/>
          <w:lang w:val="en-US"/>
        </w:rPr>
        <w:t xml:space="preserve">funded even if it is included in a CERF application </w:t>
      </w:r>
      <w:r w:rsidR="00770B66" w:rsidRPr="007452EF">
        <w:rPr>
          <w:rFonts w:ascii="Times New Roman" w:hAnsi="Times New Roman" w:cs="Times New Roman"/>
          <w:sz w:val="24"/>
          <w:szCs w:val="24"/>
          <w:lang w:val="en-US"/>
        </w:rPr>
        <w:t xml:space="preserve">(NRC, World Vision and </w:t>
      </w:r>
      <w:proofErr w:type="spellStart"/>
      <w:r w:rsidR="00770B66" w:rsidRPr="007452EF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proofErr w:type="spellEnd"/>
      <w:r w:rsidR="00770B66" w:rsidRPr="007452E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0C2F706" w14:textId="77777777" w:rsidR="00EF1E8E" w:rsidRDefault="00EF1E8E" w:rsidP="00EF1E8E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213E360" w14:textId="56F63BE0" w:rsidR="00E51947" w:rsidRPr="00EF1E8E" w:rsidRDefault="00E51947" w:rsidP="00E519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Work out contract details with </w:t>
      </w:r>
      <w:r w:rsidR="009C5B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partners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 create system profile</w:t>
      </w:r>
      <w:r w:rsidR="00AC30A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A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D69">
        <w:rPr>
          <w:rFonts w:ascii="Times New Roman" w:hAnsi="Times New Roman" w:cs="Times New Roman"/>
          <w:sz w:val="24"/>
          <w:szCs w:val="24"/>
          <w:lang w:val="en-US"/>
        </w:rPr>
        <w:t>Document detailed project proposal and budget, determine currency of agreement, create profile of NGO in agency payment system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 xml:space="preserve"> (WHO)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314F7B" w14:textId="77777777" w:rsidR="00EF1E8E" w:rsidRDefault="00EF1E8E" w:rsidP="00EF1E8E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4A63BAD" w14:textId="0D661736" w:rsidR="00E51947" w:rsidRPr="0086411F" w:rsidRDefault="0004519E" w:rsidP="00E519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Share agency-NGO agreement template for NGO HQ review:</w:t>
      </w:r>
      <w:r w:rsidR="009D2D69">
        <w:rPr>
          <w:rFonts w:ascii="Times New Roman" w:hAnsi="Times New Roman" w:cs="Times New Roman"/>
          <w:sz w:val="24"/>
          <w:szCs w:val="24"/>
          <w:lang w:val="en-US"/>
        </w:rPr>
        <w:t xml:space="preserve"> For international NGOs that require HQ approval of agreements, share blank agency-NGO template with HQ for early review</w:t>
      </w:r>
      <w:r w:rsidR="00D27011">
        <w:rPr>
          <w:rFonts w:ascii="Times New Roman" w:hAnsi="Times New Roman" w:cs="Times New Roman"/>
          <w:sz w:val="24"/>
          <w:szCs w:val="24"/>
          <w:lang w:val="en-US"/>
        </w:rPr>
        <w:t xml:space="preserve"> if these agreements are not already publically available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 xml:space="preserve"> (WHO</w:t>
      </w:r>
      <w:r w:rsidR="00481FB9">
        <w:rPr>
          <w:rFonts w:ascii="Times New Roman" w:hAnsi="Times New Roman" w:cs="Times New Roman"/>
          <w:sz w:val="24"/>
          <w:szCs w:val="24"/>
          <w:lang w:val="en-US"/>
        </w:rPr>
        <w:t>, WFP share</w:t>
      </w:r>
      <w:r w:rsidR="00817A93">
        <w:rPr>
          <w:rFonts w:ascii="Times New Roman" w:hAnsi="Times New Roman" w:cs="Times New Roman"/>
          <w:sz w:val="24"/>
          <w:szCs w:val="24"/>
          <w:lang w:val="en-US"/>
        </w:rPr>
        <w:t xml:space="preserve"> on their external website</w:t>
      </w:r>
      <w:r w:rsidR="00481F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361457" w14:textId="77777777" w:rsidR="0086411F" w:rsidRPr="0086411F" w:rsidRDefault="0086411F" w:rsidP="0086411F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6EAF142" w14:textId="76A88B47" w:rsidR="0086411F" w:rsidRPr="00E51947" w:rsidRDefault="0086411F" w:rsidP="00E519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Start projects before CERF approval: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CERF funding represents only a small portion of 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 xml:space="preserve">UN agency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emergency response funds, projects that will be undertaken without CERF funding can begin while waiting for 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 xml:space="preserve">CERF fund </w:t>
      </w:r>
      <w:r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 xml:space="preserve"> (UNHCR</w:t>
      </w:r>
      <w:r w:rsidR="00817A93">
        <w:rPr>
          <w:rFonts w:ascii="Times New Roman" w:hAnsi="Times New Roman" w:cs="Times New Roman"/>
          <w:sz w:val="24"/>
          <w:szCs w:val="24"/>
          <w:lang w:val="en-US"/>
        </w:rPr>
        <w:t>, WFP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1C8DC" w14:textId="77777777" w:rsidR="00F338B2" w:rsidRDefault="00F338B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977F6CC" w14:textId="3FDA4848" w:rsidR="007A6A7C" w:rsidRDefault="009C5B8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UN </w:t>
      </w:r>
      <w:r w:rsidR="00AF015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HQ disburses CERF funds to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UN </w:t>
      </w:r>
      <w:r w:rsidR="00AF015D">
        <w:rPr>
          <w:rFonts w:ascii="Times New Roman" w:hAnsi="Times New Roman" w:cs="Times New Roman"/>
          <w:sz w:val="24"/>
          <w:szCs w:val="24"/>
          <w:u w:val="single"/>
          <w:lang w:val="en-US"/>
        </w:rPr>
        <w:t>CO</w:t>
      </w:r>
    </w:p>
    <w:p w14:paraId="78466D2D" w14:textId="3AF40C25" w:rsidR="0086411F" w:rsidRPr="0086411F" w:rsidRDefault="00EF1E8E" w:rsidP="008641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Streamline </w:t>
      </w:r>
      <w:r w:rsidR="009C5B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HQ processes: </w:t>
      </w:r>
      <w:r>
        <w:rPr>
          <w:rFonts w:ascii="Times New Roman" w:hAnsi="Times New Roman" w:cs="Times New Roman"/>
          <w:sz w:val="24"/>
          <w:szCs w:val="24"/>
          <w:lang w:val="en-US"/>
        </w:rPr>
        <w:t>Some agencies are able to counter-sign CERF letter</w:t>
      </w:r>
      <w:r w:rsidR="00481FB9">
        <w:rPr>
          <w:rFonts w:ascii="Times New Roman" w:hAnsi="Times New Roman" w:cs="Times New Roman"/>
          <w:sz w:val="24"/>
          <w:szCs w:val="24"/>
          <w:lang w:val="en-US"/>
        </w:rPr>
        <w:t>s immediately, while others take longer.  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specific to each agency, but </w:t>
      </w:r>
      <w:r w:rsidR="00770B66">
        <w:rPr>
          <w:rFonts w:ascii="Times New Roman" w:hAnsi="Times New Roman" w:cs="Times New Roman"/>
          <w:sz w:val="24"/>
          <w:szCs w:val="24"/>
          <w:lang w:val="en-US"/>
        </w:rPr>
        <w:t xml:space="preserve">ideas to accelerate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include: delegating signature authority, setting clear steps for the approval process, involving fewer people 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1FB9">
        <w:rPr>
          <w:rFonts w:ascii="Times New Roman" w:hAnsi="Times New Roman" w:cs="Times New Roman"/>
          <w:sz w:val="24"/>
          <w:szCs w:val="24"/>
          <w:lang w:val="en-US"/>
        </w:rPr>
        <w:t xml:space="preserve">UNHCR and 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>UNICEF)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8F277E" w14:textId="77777777" w:rsidR="0086411F" w:rsidRPr="0086411F" w:rsidRDefault="0086411F" w:rsidP="0086411F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7AC94F9" w14:textId="04E9E906" w:rsidR="0086411F" w:rsidRPr="0086411F" w:rsidRDefault="0086411F" w:rsidP="008641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="00770B6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financing:</w:t>
      </w:r>
      <w:r w:rsidRPr="0086411F">
        <w:rPr>
          <w:rFonts w:ascii="Times New Roman" w:hAnsi="Times New Roman" w:cs="Times New Roman"/>
          <w:sz w:val="24"/>
          <w:szCs w:val="24"/>
          <w:lang w:val="en-US"/>
        </w:rPr>
        <w:t xml:space="preserve"> Allow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agency to advance money to the NGO as soon as the CERF approval letter is received in HQ before the money is actually received by the agency</w:t>
      </w:r>
      <w:r w:rsidR="002868B8">
        <w:rPr>
          <w:rFonts w:ascii="Times New Roman" w:hAnsi="Times New Roman" w:cs="Times New Roman"/>
          <w:sz w:val="24"/>
          <w:szCs w:val="24"/>
          <w:lang w:val="en-US"/>
        </w:rPr>
        <w:t>.  Agency can work with donors to use incoming contributions to offset internal advances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 xml:space="preserve"> (UNHCR</w:t>
      </w:r>
      <w:r w:rsidR="002868B8">
        <w:rPr>
          <w:rFonts w:ascii="Times New Roman" w:hAnsi="Times New Roman" w:cs="Times New Roman"/>
          <w:sz w:val="24"/>
          <w:szCs w:val="24"/>
          <w:lang w:val="en-US"/>
        </w:rPr>
        <w:t>, WFP</w:t>
      </w:r>
      <w:r w:rsidR="00D42F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4586">
        <w:rPr>
          <w:rFonts w:ascii="Times New Roman" w:hAnsi="Times New Roman" w:cs="Times New Roman"/>
          <w:sz w:val="24"/>
          <w:szCs w:val="24"/>
          <w:lang w:val="en-US"/>
        </w:rPr>
        <w:t xml:space="preserve"> Implementation of CERF projects can start up to six weeks before disbursement.</w:t>
      </w:r>
    </w:p>
    <w:p w14:paraId="6AD47C68" w14:textId="149FFFFC" w:rsidR="00AF015D" w:rsidRPr="005A261C" w:rsidRDefault="009C5B87" w:rsidP="005A261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="00AF015D" w:rsidRPr="005A26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 negotiates </w:t>
      </w:r>
      <w:r w:rsidR="00D42F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Agency-NGO </w:t>
      </w:r>
      <w:r w:rsidR="005278F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Partnership </w:t>
      </w:r>
      <w:r w:rsidR="00D42F4E">
        <w:rPr>
          <w:rFonts w:ascii="Times New Roman" w:hAnsi="Times New Roman" w:cs="Times New Roman"/>
          <w:sz w:val="24"/>
          <w:szCs w:val="24"/>
          <w:u w:val="single"/>
          <w:lang w:val="en-US"/>
        </w:rPr>
        <w:t>Agreement</w:t>
      </w:r>
    </w:p>
    <w:p w14:paraId="631BEBAE" w14:textId="3F82A9E7" w:rsidR="005278FA" w:rsidRDefault="00AF015D" w:rsidP="005278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63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Short form </w:t>
      </w:r>
      <w:r w:rsidR="00D42F4E">
        <w:rPr>
          <w:rFonts w:ascii="Times New Roman" w:hAnsi="Times New Roman" w:cs="Times New Roman"/>
          <w:i/>
          <w:sz w:val="24"/>
          <w:szCs w:val="24"/>
          <w:lang w:val="en-US"/>
        </w:rPr>
        <w:t>Agency-NGO Agreement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27FDD">
        <w:rPr>
          <w:rFonts w:ascii="Times New Roman" w:hAnsi="Times New Roman" w:cs="Times New Roman"/>
          <w:sz w:val="24"/>
          <w:szCs w:val="24"/>
          <w:lang w:val="en-US"/>
        </w:rPr>
        <w:t>During L3 emergencies, CO Representatives can authorize a shortened form of the Agency-NGO Agreement (UNICEF)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6CB2C7" w14:textId="77777777" w:rsidR="005278FA" w:rsidRDefault="005278FA" w:rsidP="005278F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D4CBEAE" w14:textId="0AB8B7D3" w:rsidR="005278FA" w:rsidRPr="005278FA" w:rsidRDefault="005278FA" w:rsidP="005278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Initial contracting mechanism</w:t>
      </w:r>
      <w:r w:rsidRPr="005278F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 a simpler, faster partnership contracting mechanism for the initial response period to allow for fast initial response while longer-term arrangements are negotiated (under discussion at WFP)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80B394" w14:textId="77777777" w:rsidR="002868B8" w:rsidRPr="00A16217" w:rsidRDefault="002868B8" w:rsidP="002868B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06C58C1" w14:textId="1A6D51E8" w:rsidR="00644A07" w:rsidRDefault="00AF015D" w:rsidP="005A26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2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Amend </w:t>
      </w:r>
      <w:r w:rsidR="00E27F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existing Agency-NGO Agreements with </w:t>
      </w:r>
      <w:r w:rsidRPr="00A16217">
        <w:rPr>
          <w:rFonts w:ascii="Times New Roman" w:hAnsi="Times New Roman" w:cs="Times New Roman"/>
          <w:i/>
          <w:sz w:val="24"/>
          <w:szCs w:val="24"/>
          <w:lang w:val="en-US"/>
        </w:rPr>
        <w:t>current partners</w:t>
      </w:r>
      <w:r w:rsidRPr="00A16217">
        <w:rPr>
          <w:rFonts w:ascii="Times New Roman" w:hAnsi="Times New Roman" w:cs="Times New Roman"/>
          <w:sz w:val="24"/>
          <w:szCs w:val="24"/>
          <w:lang w:val="en-US"/>
        </w:rPr>
        <w:t>: If activities are in the same sector, these will not need an additional technica</w:t>
      </w:r>
      <w:r w:rsidR="005A261C" w:rsidRPr="00A16217">
        <w:rPr>
          <w:rFonts w:ascii="Times New Roman" w:hAnsi="Times New Roman" w:cs="Times New Roman"/>
          <w:sz w:val="24"/>
          <w:szCs w:val="24"/>
          <w:lang w:val="en-US"/>
        </w:rPr>
        <w:t>l assessment</w:t>
      </w:r>
      <w:r w:rsidR="00F55CE8">
        <w:rPr>
          <w:rFonts w:ascii="Times New Roman" w:hAnsi="Times New Roman" w:cs="Times New Roman"/>
          <w:sz w:val="24"/>
          <w:szCs w:val="24"/>
          <w:lang w:val="en-US"/>
        </w:rPr>
        <w:t xml:space="preserve"> (UNICEF</w:t>
      </w:r>
      <w:r w:rsidR="00F338B2">
        <w:rPr>
          <w:rFonts w:ascii="Times New Roman" w:hAnsi="Times New Roman" w:cs="Times New Roman"/>
          <w:sz w:val="24"/>
          <w:szCs w:val="24"/>
          <w:lang w:val="en-US"/>
        </w:rPr>
        <w:t xml:space="preserve"> in L3s</w:t>
      </w:r>
      <w:r w:rsidR="005278FA">
        <w:rPr>
          <w:rFonts w:ascii="Times New Roman" w:hAnsi="Times New Roman" w:cs="Times New Roman"/>
          <w:sz w:val="24"/>
          <w:szCs w:val="24"/>
          <w:lang w:val="en-US"/>
        </w:rPr>
        <w:t>, WFP</w:t>
      </w:r>
      <w:r w:rsidR="00F55C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1621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3283AD82" w14:textId="77777777" w:rsidR="001715DE" w:rsidRPr="004A3DBC" w:rsidRDefault="001715DE" w:rsidP="004A3DB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A867002" w14:textId="4AE6C718" w:rsidR="001715DE" w:rsidRPr="00A16217" w:rsidRDefault="001715DE" w:rsidP="005A26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3D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Track </w:t>
      </w:r>
      <w:r w:rsidR="004A3DBC" w:rsidRPr="004A3DBC">
        <w:rPr>
          <w:rFonts w:ascii="Times New Roman" w:hAnsi="Times New Roman" w:cs="Times New Roman"/>
          <w:i/>
          <w:sz w:val="24"/>
          <w:szCs w:val="24"/>
          <w:lang w:val="en-US"/>
        </w:rPr>
        <w:t>disbursement rates</w:t>
      </w:r>
      <w:r w:rsidR="004A3DBC">
        <w:rPr>
          <w:rFonts w:ascii="Times New Roman" w:hAnsi="Times New Roman" w:cs="Times New Roman"/>
          <w:sz w:val="24"/>
          <w:szCs w:val="24"/>
          <w:lang w:val="en-US"/>
        </w:rPr>
        <w:t xml:space="preserve">: Track </w:t>
      </w:r>
      <w:r>
        <w:rPr>
          <w:rFonts w:ascii="Times New Roman" w:hAnsi="Times New Roman" w:cs="Times New Roman"/>
          <w:sz w:val="24"/>
          <w:szCs w:val="24"/>
          <w:lang w:val="en-US"/>
        </w:rPr>
        <w:t>speed of disbursement of CERF sub-grants to NGOs and start of NGO implementation of CERF-funded activities. Set benchmarks to reduce the number of working days for sub-grant disbursement (WHO).</w:t>
      </w:r>
    </w:p>
    <w:p w14:paraId="3029C26A" w14:textId="77777777" w:rsidR="00F338B2" w:rsidRDefault="00F338B2" w:rsidP="005A261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B01403C" w14:textId="13D1A124" w:rsidR="00644A07" w:rsidRPr="005A261C" w:rsidRDefault="001C637D" w:rsidP="005A261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C637D">
        <w:rPr>
          <w:rFonts w:ascii="Times New Roman" w:hAnsi="Times New Roman" w:cs="Times New Roman"/>
          <w:sz w:val="24"/>
          <w:szCs w:val="24"/>
          <w:u w:val="single"/>
          <w:lang w:val="en-US"/>
        </w:rPr>
        <w:t>Project implementation</w:t>
      </w:r>
    </w:p>
    <w:p w14:paraId="4A0A01D5" w14:textId="44DD346C" w:rsidR="00682613" w:rsidRDefault="001C637D" w:rsidP="001C63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Provide detailed budget: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7B4" w:rsidRPr="001C637D">
        <w:rPr>
          <w:rFonts w:ascii="Times New Roman" w:hAnsi="Times New Roman" w:cs="Times New Roman"/>
          <w:sz w:val="24"/>
          <w:szCs w:val="24"/>
          <w:lang w:val="en-US"/>
        </w:rPr>
        <w:t>For contingency agreements, NGO provides detailed budget</w:t>
      </w:r>
      <w:r w:rsidR="008A28FF">
        <w:rPr>
          <w:rFonts w:ascii="Times New Roman" w:hAnsi="Times New Roman" w:cs="Times New Roman"/>
          <w:sz w:val="24"/>
          <w:szCs w:val="24"/>
          <w:lang w:val="en-US"/>
        </w:rPr>
        <w:t xml:space="preserve"> to UN agency</w:t>
      </w:r>
      <w:r w:rsidR="008A28FF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4137B4" w:rsidRPr="001C637D">
        <w:rPr>
          <w:rFonts w:ascii="Times New Roman" w:hAnsi="Times New Roman" w:cs="Times New Roman"/>
          <w:sz w:val="24"/>
          <w:szCs w:val="24"/>
          <w:lang w:val="en-US"/>
        </w:rPr>
        <w:t xml:space="preserve"> after initial rapid 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(using the agreed upon supply and financial maximums).  This allows for the activation of the </w:t>
      </w:r>
      <w:r w:rsidR="00F55CE8">
        <w:rPr>
          <w:rFonts w:ascii="Times New Roman" w:hAnsi="Times New Roman" w:cs="Times New Roman"/>
          <w:sz w:val="24"/>
          <w:szCs w:val="24"/>
          <w:lang w:val="en-US"/>
        </w:rPr>
        <w:t xml:space="preserve">Agency-NGO Agreement </w:t>
      </w:r>
      <w:r>
        <w:rPr>
          <w:rFonts w:ascii="Times New Roman" w:hAnsi="Times New Roman" w:cs="Times New Roman"/>
          <w:sz w:val="24"/>
          <w:szCs w:val="24"/>
          <w:lang w:val="en-US"/>
        </w:rPr>
        <w:t>and the start of project activities before the detailed budget is available</w:t>
      </w:r>
      <w:r w:rsidR="00F55CE8">
        <w:rPr>
          <w:rFonts w:ascii="Times New Roman" w:hAnsi="Times New Roman" w:cs="Times New Roman"/>
          <w:sz w:val="24"/>
          <w:szCs w:val="24"/>
          <w:lang w:val="en-US"/>
        </w:rPr>
        <w:t xml:space="preserve"> (UNICEF</w:t>
      </w:r>
      <w:r w:rsidR="005278FA">
        <w:rPr>
          <w:rFonts w:ascii="Times New Roman" w:hAnsi="Times New Roman" w:cs="Times New Roman"/>
          <w:sz w:val="24"/>
          <w:szCs w:val="24"/>
          <w:lang w:val="en-US"/>
        </w:rPr>
        <w:t>, WFP</w:t>
      </w:r>
      <w:r w:rsidR="00F55CE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1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9E47B1" w14:textId="77777777" w:rsidR="00EF1E8E" w:rsidRPr="001C637D" w:rsidRDefault="00EF1E8E" w:rsidP="00EF1E8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CF51F84" w14:textId="793C3AA9" w:rsidR="00682613" w:rsidRPr="001C637D" w:rsidRDefault="001C637D" w:rsidP="001C63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Reimburse emergency expenses: </w:t>
      </w:r>
      <w:r w:rsidR="004137B4" w:rsidRPr="001C637D">
        <w:rPr>
          <w:rFonts w:ascii="Times New Roman" w:hAnsi="Times New Roman" w:cs="Times New Roman"/>
          <w:sz w:val="24"/>
          <w:szCs w:val="24"/>
          <w:lang w:val="en-US"/>
        </w:rPr>
        <w:t xml:space="preserve">Contingency agreements can allow for reimbursement of emergency expenses that were incurred prior to activation of </w:t>
      </w:r>
      <w:r w:rsidR="00481FB9">
        <w:rPr>
          <w:rFonts w:ascii="Times New Roman" w:hAnsi="Times New Roman" w:cs="Times New Roman"/>
          <w:sz w:val="24"/>
          <w:szCs w:val="24"/>
          <w:lang w:val="en-US"/>
        </w:rPr>
        <w:t>Agency-NGO Agreement (</w:t>
      </w:r>
      <w:r w:rsidR="005278FA">
        <w:rPr>
          <w:rFonts w:ascii="Times New Roman" w:hAnsi="Times New Roman" w:cs="Times New Roman"/>
          <w:sz w:val="24"/>
          <w:szCs w:val="24"/>
          <w:lang w:val="en-US"/>
        </w:rPr>
        <w:t>WFP</w:t>
      </w:r>
      <w:r w:rsidR="00F55C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142F74" w14:textId="77777777" w:rsidR="00F338B2" w:rsidRDefault="00F338B2" w:rsidP="005A261C">
      <w:pPr>
        <w:rPr>
          <w:rFonts w:ascii="Times New Roman" w:hAnsi="Times New Roman" w:cs="Times New Roman"/>
          <w:b/>
          <w:sz w:val="24"/>
          <w:szCs w:val="24"/>
        </w:rPr>
      </w:pPr>
    </w:p>
    <w:p w14:paraId="46B211D2" w14:textId="77777777" w:rsidR="005A261C" w:rsidRDefault="005A261C" w:rsidP="005A261C">
      <w:pPr>
        <w:rPr>
          <w:rFonts w:ascii="Times New Roman" w:hAnsi="Times New Roman" w:cs="Times New Roman"/>
          <w:b/>
          <w:sz w:val="24"/>
          <w:szCs w:val="24"/>
        </w:rPr>
      </w:pPr>
      <w:r w:rsidRPr="001C637D">
        <w:rPr>
          <w:rFonts w:ascii="Times New Roman" w:hAnsi="Times New Roman" w:cs="Times New Roman"/>
          <w:b/>
          <w:sz w:val="24"/>
          <w:szCs w:val="24"/>
        </w:rPr>
        <w:t>Points for Discussion</w:t>
      </w:r>
    </w:p>
    <w:p w14:paraId="1BF9FA63" w14:textId="0D7AA237" w:rsidR="0086411F" w:rsidRDefault="0086411F" w:rsidP="00100E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06E2">
        <w:rPr>
          <w:rFonts w:ascii="Times New Roman" w:hAnsi="Times New Roman" w:cs="Times New Roman"/>
          <w:i/>
          <w:sz w:val="24"/>
          <w:szCs w:val="24"/>
        </w:rPr>
        <w:t xml:space="preserve">Differing </w:t>
      </w:r>
      <w:r w:rsidR="009C5B87" w:rsidRPr="005506E2">
        <w:rPr>
          <w:rFonts w:ascii="Times New Roman" w:hAnsi="Times New Roman" w:cs="Times New Roman"/>
          <w:i/>
          <w:sz w:val="24"/>
          <w:szCs w:val="24"/>
        </w:rPr>
        <w:t xml:space="preserve">UN </w:t>
      </w:r>
      <w:r w:rsidRPr="005506E2">
        <w:rPr>
          <w:rFonts w:ascii="Times New Roman" w:hAnsi="Times New Roman" w:cs="Times New Roman"/>
          <w:i/>
          <w:sz w:val="24"/>
          <w:szCs w:val="24"/>
        </w:rPr>
        <w:t>agency requirements create confusion:</w:t>
      </w:r>
      <w:r w:rsidRPr="005506E2">
        <w:rPr>
          <w:rFonts w:ascii="Times New Roman" w:hAnsi="Times New Roman" w:cs="Times New Roman"/>
          <w:sz w:val="24"/>
          <w:szCs w:val="24"/>
        </w:rPr>
        <w:t xml:space="preserve"> Each agency has different requirements and procedures for </w:t>
      </w:r>
      <w:r w:rsidR="008F2774">
        <w:rPr>
          <w:rFonts w:ascii="Times New Roman" w:hAnsi="Times New Roman" w:cs="Times New Roman"/>
          <w:sz w:val="24"/>
          <w:szCs w:val="24"/>
        </w:rPr>
        <w:t xml:space="preserve">implementing </w:t>
      </w:r>
      <w:r w:rsidRPr="005506E2">
        <w:rPr>
          <w:rFonts w:ascii="Times New Roman" w:hAnsi="Times New Roman" w:cs="Times New Roman"/>
          <w:sz w:val="24"/>
          <w:szCs w:val="24"/>
        </w:rPr>
        <w:t xml:space="preserve">CERF </w:t>
      </w:r>
      <w:r w:rsidR="008F2774">
        <w:rPr>
          <w:rFonts w:ascii="Times New Roman" w:hAnsi="Times New Roman" w:cs="Times New Roman"/>
          <w:sz w:val="24"/>
          <w:szCs w:val="24"/>
        </w:rPr>
        <w:t>projects</w:t>
      </w:r>
      <w:r w:rsidRPr="005506E2">
        <w:rPr>
          <w:rFonts w:ascii="Times New Roman" w:hAnsi="Times New Roman" w:cs="Times New Roman"/>
          <w:sz w:val="24"/>
          <w:szCs w:val="24"/>
        </w:rPr>
        <w:t>.  In practice, NGOs must treat each UN agency</w:t>
      </w:r>
      <w:r w:rsidR="008F2774">
        <w:rPr>
          <w:rFonts w:ascii="Times New Roman" w:hAnsi="Times New Roman" w:cs="Times New Roman"/>
          <w:sz w:val="24"/>
          <w:szCs w:val="24"/>
        </w:rPr>
        <w:t>’s</w:t>
      </w:r>
      <w:r w:rsidRPr="005506E2">
        <w:rPr>
          <w:rFonts w:ascii="Times New Roman" w:hAnsi="Times New Roman" w:cs="Times New Roman"/>
          <w:sz w:val="24"/>
          <w:szCs w:val="24"/>
        </w:rPr>
        <w:t xml:space="preserve"> </w:t>
      </w:r>
      <w:r w:rsidR="008F2774">
        <w:rPr>
          <w:rFonts w:ascii="Times New Roman" w:hAnsi="Times New Roman" w:cs="Times New Roman"/>
          <w:sz w:val="24"/>
          <w:szCs w:val="24"/>
        </w:rPr>
        <w:t>onward disbursement</w:t>
      </w:r>
      <w:r w:rsidR="008A28FF">
        <w:rPr>
          <w:rFonts w:ascii="Times New Roman" w:hAnsi="Times New Roman" w:cs="Times New Roman"/>
          <w:sz w:val="24"/>
          <w:szCs w:val="24"/>
        </w:rPr>
        <w:t xml:space="preserve"> of</w:t>
      </w:r>
      <w:r w:rsidR="008F2774" w:rsidRPr="005506E2">
        <w:rPr>
          <w:rFonts w:ascii="Times New Roman" w:hAnsi="Times New Roman" w:cs="Times New Roman"/>
          <w:sz w:val="24"/>
          <w:szCs w:val="24"/>
        </w:rPr>
        <w:t xml:space="preserve"> </w:t>
      </w:r>
      <w:r w:rsidRPr="005506E2">
        <w:rPr>
          <w:rFonts w:ascii="Times New Roman" w:hAnsi="Times New Roman" w:cs="Times New Roman"/>
          <w:sz w:val="24"/>
          <w:szCs w:val="24"/>
        </w:rPr>
        <w:t>CERF funds as a separate donor</w:t>
      </w:r>
      <w:r w:rsidR="00424A48" w:rsidRPr="005506E2">
        <w:rPr>
          <w:rFonts w:ascii="Times New Roman" w:hAnsi="Times New Roman" w:cs="Times New Roman"/>
          <w:sz w:val="24"/>
          <w:szCs w:val="24"/>
        </w:rPr>
        <w:t>.</w:t>
      </w:r>
      <w:r w:rsidR="005278FA" w:rsidRPr="00550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13F97" w14:textId="77777777" w:rsidR="005506E2" w:rsidRPr="005506E2" w:rsidRDefault="005506E2" w:rsidP="005506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626EF2" w14:textId="353649BA" w:rsidR="005A261C" w:rsidRDefault="005A261C" w:rsidP="005A26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Annual NGO reviews: </w:t>
      </w:r>
      <w:r w:rsidRPr="00794E1A">
        <w:rPr>
          <w:rFonts w:ascii="Times New Roman" w:hAnsi="Times New Roman" w:cs="Times New Roman"/>
          <w:sz w:val="24"/>
          <w:szCs w:val="24"/>
        </w:rPr>
        <w:t xml:space="preserve">UNHCR </w:t>
      </w:r>
      <w:r w:rsidR="005278FA">
        <w:rPr>
          <w:rFonts w:ascii="Times New Roman" w:hAnsi="Times New Roman" w:cs="Times New Roman"/>
          <w:sz w:val="24"/>
          <w:szCs w:val="24"/>
        </w:rPr>
        <w:t xml:space="preserve">has </w:t>
      </w:r>
      <w:r w:rsidRPr="00794E1A">
        <w:rPr>
          <w:rFonts w:ascii="Times New Roman" w:hAnsi="Times New Roman" w:cs="Times New Roman"/>
          <w:sz w:val="24"/>
          <w:szCs w:val="24"/>
        </w:rPr>
        <w:t>shortened disbursement-to-implementation times, at le</w:t>
      </w:r>
      <w:r>
        <w:rPr>
          <w:rFonts w:ascii="Times New Roman" w:hAnsi="Times New Roman" w:cs="Times New Roman"/>
          <w:sz w:val="24"/>
          <w:szCs w:val="24"/>
        </w:rPr>
        <w:t>ast in part because they issue</w:t>
      </w:r>
      <w:r w:rsidRPr="00794E1A">
        <w:rPr>
          <w:rFonts w:ascii="Times New Roman" w:hAnsi="Times New Roman" w:cs="Times New Roman"/>
          <w:sz w:val="24"/>
          <w:szCs w:val="24"/>
        </w:rPr>
        <w:t xml:space="preserve"> NGO ag</w:t>
      </w:r>
      <w:r>
        <w:rPr>
          <w:rFonts w:ascii="Times New Roman" w:hAnsi="Times New Roman" w:cs="Times New Roman"/>
          <w:sz w:val="24"/>
          <w:szCs w:val="24"/>
        </w:rPr>
        <w:t>reements on an annual cycle</w:t>
      </w:r>
      <w:r w:rsidRPr="00794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How does this work in practice, and how can they predict what funding they will receive?  How do these partnerships take </w:t>
      </w:r>
      <w:r w:rsidR="00A16217">
        <w:rPr>
          <w:rFonts w:ascii="Times New Roman" w:hAnsi="Times New Roman" w:cs="Times New Roman"/>
          <w:sz w:val="24"/>
          <w:szCs w:val="24"/>
        </w:rPr>
        <w:t>crisis escalations/</w:t>
      </w:r>
      <w:r>
        <w:rPr>
          <w:rFonts w:ascii="Times New Roman" w:hAnsi="Times New Roman" w:cs="Times New Roman"/>
          <w:sz w:val="24"/>
          <w:szCs w:val="24"/>
        </w:rPr>
        <w:t>rapid-onset emergencies into account?</w:t>
      </w:r>
    </w:p>
    <w:p w14:paraId="53BE58C5" w14:textId="77777777" w:rsidR="00EF1E8E" w:rsidRDefault="00EF1E8E" w:rsidP="00EF1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8B7B9" w14:textId="235C645D" w:rsidR="00A16217" w:rsidRDefault="00A16217" w:rsidP="005A26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Relationship Building</w:t>
      </w:r>
      <w:r w:rsidR="003127EF">
        <w:rPr>
          <w:rFonts w:ascii="Times New Roman" w:hAnsi="Times New Roman" w:cs="Times New Roman"/>
          <w:i/>
          <w:sz w:val="24"/>
          <w:szCs w:val="24"/>
        </w:rPr>
        <w:t xml:space="preserve"> and Communication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How do we incentivize relationship building w</w:t>
      </w:r>
      <w:r w:rsidR="00481FB9">
        <w:rPr>
          <w:rFonts w:ascii="Times New Roman" w:hAnsi="Times New Roman" w:cs="Times New Roman"/>
          <w:sz w:val="24"/>
          <w:szCs w:val="24"/>
        </w:rPr>
        <w:t>ith potential partners so</w:t>
      </w:r>
      <w:r>
        <w:rPr>
          <w:rFonts w:ascii="Times New Roman" w:hAnsi="Times New Roman" w:cs="Times New Roman"/>
          <w:sz w:val="24"/>
          <w:szCs w:val="24"/>
        </w:rPr>
        <w:t xml:space="preserve"> that the right relationships are in place when a crisis/escalation occurs?</w:t>
      </w:r>
      <w:r w:rsidR="003127EF">
        <w:rPr>
          <w:rFonts w:ascii="Times New Roman" w:hAnsi="Times New Roman" w:cs="Times New Roman"/>
          <w:sz w:val="24"/>
          <w:szCs w:val="24"/>
        </w:rPr>
        <w:t xml:space="preserve">  How do UN agencies involve NGOs early in the CERF </w:t>
      </w:r>
      <w:r w:rsidR="003127EF">
        <w:rPr>
          <w:rFonts w:ascii="Times New Roman" w:hAnsi="Times New Roman" w:cs="Times New Roman"/>
          <w:sz w:val="24"/>
          <w:szCs w:val="24"/>
        </w:rPr>
        <w:lastRenderedPageBreak/>
        <w:t>discussion process and how can UN agencies</w:t>
      </w:r>
      <w:r w:rsidR="007108E3">
        <w:rPr>
          <w:rFonts w:ascii="Times New Roman" w:hAnsi="Times New Roman" w:cs="Times New Roman"/>
          <w:sz w:val="24"/>
          <w:szCs w:val="24"/>
        </w:rPr>
        <w:t>, as well as the HC, HCT and OCHA,</w:t>
      </w:r>
      <w:r w:rsidR="003127EF">
        <w:rPr>
          <w:rFonts w:ascii="Times New Roman" w:hAnsi="Times New Roman" w:cs="Times New Roman"/>
          <w:sz w:val="24"/>
          <w:szCs w:val="24"/>
        </w:rPr>
        <w:t xml:space="preserve"> better notify NGOs when CERF </w:t>
      </w:r>
      <w:r w:rsidR="0078257B">
        <w:rPr>
          <w:rFonts w:ascii="Times New Roman" w:hAnsi="Times New Roman" w:cs="Times New Roman"/>
          <w:sz w:val="24"/>
          <w:szCs w:val="24"/>
        </w:rPr>
        <w:t>money is allocated</w:t>
      </w:r>
      <w:r w:rsidR="003127EF">
        <w:rPr>
          <w:rFonts w:ascii="Times New Roman" w:hAnsi="Times New Roman" w:cs="Times New Roman"/>
          <w:sz w:val="24"/>
          <w:szCs w:val="24"/>
        </w:rPr>
        <w:t>?</w:t>
      </w:r>
    </w:p>
    <w:p w14:paraId="5B1E89AA" w14:textId="77777777" w:rsidR="0086411F" w:rsidRDefault="0086411F" w:rsidP="008641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7DF9C" w14:textId="1E294410" w:rsidR="0086411F" w:rsidRDefault="0086411F" w:rsidP="005A26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Prepositioning vs.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Transparency:</w:t>
      </w:r>
      <w:r>
        <w:rPr>
          <w:rFonts w:ascii="Times New Roman" w:hAnsi="Times New Roman" w:cs="Times New Roman"/>
          <w:sz w:val="24"/>
          <w:szCs w:val="24"/>
        </w:rPr>
        <w:t xml:space="preserve"> How can we balance the needs of responding quickly to emergencies by leveraging existing relationships with NGOs and ensure that agreements are transparent</w:t>
      </w:r>
      <w:r w:rsidR="0004145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D8872" w14:textId="77777777" w:rsidR="00037141" w:rsidRPr="00037141" w:rsidRDefault="00037141" w:rsidP="000371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2AD8D7" w14:textId="6303A4A8" w:rsidR="00037141" w:rsidRDefault="00037141" w:rsidP="005A26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Cluster vs. Agency:</w:t>
      </w:r>
      <w:r>
        <w:rPr>
          <w:rFonts w:ascii="Times New Roman" w:hAnsi="Times New Roman" w:cs="Times New Roman"/>
          <w:sz w:val="24"/>
          <w:szCs w:val="24"/>
        </w:rPr>
        <w:t xml:space="preserve"> How can we ensure that cluster leads can adequately and appropriately represent cluster needs, particularly if these are in conflict with their agency’s rules or programming?</w:t>
      </w:r>
    </w:p>
    <w:p w14:paraId="56E8E938" w14:textId="77777777" w:rsidR="00075D59" w:rsidRPr="00075D59" w:rsidRDefault="00075D59" w:rsidP="00075D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57085E" w14:textId="05F45C47" w:rsidR="00075D59" w:rsidRPr="005278FA" w:rsidRDefault="00075D59" w:rsidP="005A26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075D59">
        <w:rPr>
          <w:rFonts w:ascii="Times New Roman" w:hAnsi="Times New Roman" w:cs="Times New Roman"/>
          <w:i/>
          <w:sz w:val="24"/>
          <w:szCs w:val="24"/>
        </w:rPr>
        <w:t>Local vs. International NGOs:</w:t>
      </w:r>
      <w:r>
        <w:rPr>
          <w:rFonts w:ascii="Times New Roman" w:hAnsi="Times New Roman" w:cs="Times New Roman"/>
          <w:sz w:val="24"/>
          <w:szCs w:val="24"/>
        </w:rPr>
        <w:t xml:space="preserve"> CERF funding can be a powerful way to increase the capacity of national and local NGOs.  In at least one case, an RC required agencies receiving CERF funds from a UFE envelope to implement through local partners.  </w:t>
      </w:r>
      <w:r w:rsidR="009D5FC5">
        <w:rPr>
          <w:rFonts w:ascii="Times New Roman" w:hAnsi="Times New Roman" w:cs="Times New Roman"/>
          <w:sz w:val="24"/>
          <w:szCs w:val="24"/>
        </w:rPr>
        <w:t>How can local NGOs be included in the CERF process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D40111" w14:textId="77777777" w:rsidR="005278FA" w:rsidRPr="005278FA" w:rsidRDefault="005278FA" w:rsidP="005278F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63B6267" w14:textId="77777777" w:rsidR="005A261C" w:rsidRPr="00B251A3" w:rsidRDefault="005A261C" w:rsidP="005A2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3AD372" w14:textId="77777777" w:rsidR="005A261C" w:rsidRDefault="005A261C" w:rsidP="005A261C">
      <w:pPr>
        <w:rPr>
          <w:rFonts w:ascii="Times New Roman" w:hAnsi="Times New Roman" w:cs="Times New Roman"/>
          <w:b/>
          <w:sz w:val="24"/>
          <w:szCs w:val="24"/>
        </w:rPr>
      </w:pPr>
    </w:p>
    <w:p w14:paraId="62C714AB" w14:textId="77777777" w:rsidR="00821B6E" w:rsidRDefault="00821B6E">
      <w:pPr>
        <w:rPr>
          <w:rFonts w:ascii="Times New Roman" w:hAnsi="Times New Roman" w:cs="Times New Roman"/>
          <w:b/>
          <w:sz w:val="24"/>
          <w:szCs w:val="24"/>
        </w:rPr>
      </w:pPr>
    </w:p>
    <w:sectPr w:rsidR="00821B6E" w:rsidSect="00C55E3A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56236" w14:textId="77777777" w:rsidR="0011611C" w:rsidRDefault="0011611C" w:rsidP="00AC29E3">
      <w:pPr>
        <w:spacing w:after="0" w:line="240" w:lineRule="auto"/>
      </w:pPr>
      <w:r>
        <w:separator/>
      </w:r>
    </w:p>
  </w:endnote>
  <w:endnote w:type="continuationSeparator" w:id="0">
    <w:p w14:paraId="3634153E" w14:textId="77777777" w:rsidR="0011611C" w:rsidRDefault="0011611C" w:rsidP="00AC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51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040D0" w14:textId="4751FE1C" w:rsidR="005A261C" w:rsidRDefault="005A2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4C94A" w14:textId="77777777" w:rsidR="005A261C" w:rsidRDefault="005A2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BD91D" w14:textId="77777777" w:rsidR="0011611C" w:rsidRDefault="0011611C" w:rsidP="00AC29E3">
      <w:pPr>
        <w:spacing w:after="0" w:line="240" w:lineRule="auto"/>
      </w:pPr>
      <w:r>
        <w:separator/>
      </w:r>
    </w:p>
  </w:footnote>
  <w:footnote w:type="continuationSeparator" w:id="0">
    <w:p w14:paraId="79C5EA13" w14:textId="77777777" w:rsidR="0011611C" w:rsidRDefault="0011611C" w:rsidP="00AC29E3">
      <w:pPr>
        <w:spacing w:after="0" w:line="240" w:lineRule="auto"/>
      </w:pPr>
      <w:r>
        <w:continuationSeparator/>
      </w:r>
    </w:p>
  </w:footnote>
  <w:footnote w:id="1">
    <w:p w14:paraId="7530FDDB" w14:textId="06C7E278" w:rsidR="008A28FF" w:rsidRPr="009D5FC5" w:rsidRDefault="008A28F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Detailed budgets for sub-grants are not required for CERF proposals.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240"/>
    <w:multiLevelType w:val="hybridMultilevel"/>
    <w:tmpl w:val="2D78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613"/>
    <w:multiLevelType w:val="hybridMultilevel"/>
    <w:tmpl w:val="D430AB34"/>
    <w:lvl w:ilvl="0" w:tplc="96F8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8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25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8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65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8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60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C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63385D"/>
    <w:multiLevelType w:val="hybridMultilevel"/>
    <w:tmpl w:val="223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A2E96"/>
    <w:multiLevelType w:val="hybridMultilevel"/>
    <w:tmpl w:val="EE9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57BE3"/>
    <w:multiLevelType w:val="hybridMultilevel"/>
    <w:tmpl w:val="EC9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3EB"/>
    <w:multiLevelType w:val="hybridMultilevel"/>
    <w:tmpl w:val="91E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7B76"/>
    <w:multiLevelType w:val="hybridMultilevel"/>
    <w:tmpl w:val="6CA0AAC2"/>
    <w:lvl w:ilvl="0" w:tplc="7CBA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4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E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62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4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8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2B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EF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2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B9250E"/>
    <w:multiLevelType w:val="hybridMultilevel"/>
    <w:tmpl w:val="648237E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D5C2D13"/>
    <w:multiLevelType w:val="hybridMultilevel"/>
    <w:tmpl w:val="B84C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F0226"/>
    <w:multiLevelType w:val="hybridMultilevel"/>
    <w:tmpl w:val="A86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42EC"/>
    <w:multiLevelType w:val="hybridMultilevel"/>
    <w:tmpl w:val="41D4B3A0"/>
    <w:lvl w:ilvl="0" w:tplc="6E1A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A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A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A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06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C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C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6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A0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893C86"/>
    <w:multiLevelType w:val="hybridMultilevel"/>
    <w:tmpl w:val="30A0CCE8"/>
    <w:lvl w:ilvl="0" w:tplc="631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2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66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8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D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E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49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E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8B3558"/>
    <w:multiLevelType w:val="hybridMultilevel"/>
    <w:tmpl w:val="6224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8"/>
    <w:rsid w:val="00037141"/>
    <w:rsid w:val="00041451"/>
    <w:rsid w:val="0004519E"/>
    <w:rsid w:val="00075D59"/>
    <w:rsid w:val="000F7941"/>
    <w:rsid w:val="0011611C"/>
    <w:rsid w:val="00146C9F"/>
    <w:rsid w:val="00157B99"/>
    <w:rsid w:val="001715DE"/>
    <w:rsid w:val="001823AD"/>
    <w:rsid w:val="0018389C"/>
    <w:rsid w:val="001C637D"/>
    <w:rsid w:val="001D0370"/>
    <w:rsid w:val="001F39DD"/>
    <w:rsid w:val="002556F9"/>
    <w:rsid w:val="00272126"/>
    <w:rsid w:val="002868B8"/>
    <w:rsid w:val="002D38FB"/>
    <w:rsid w:val="003127EF"/>
    <w:rsid w:val="0038249C"/>
    <w:rsid w:val="003A427D"/>
    <w:rsid w:val="003E28BC"/>
    <w:rsid w:val="004137B4"/>
    <w:rsid w:val="00424A48"/>
    <w:rsid w:val="00454586"/>
    <w:rsid w:val="00481FB9"/>
    <w:rsid w:val="004A3DBC"/>
    <w:rsid w:val="004E1C9E"/>
    <w:rsid w:val="005278FA"/>
    <w:rsid w:val="005506E2"/>
    <w:rsid w:val="005A261C"/>
    <w:rsid w:val="0063139A"/>
    <w:rsid w:val="00644A07"/>
    <w:rsid w:val="00660CF2"/>
    <w:rsid w:val="006735C5"/>
    <w:rsid w:val="00682613"/>
    <w:rsid w:val="0070282B"/>
    <w:rsid w:val="007108E3"/>
    <w:rsid w:val="007452EF"/>
    <w:rsid w:val="00770B66"/>
    <w:rsid w:val="0078257B"/>
    <w:rsid w:val="00794E1A"/>
    <w:rsid w:val="007A23F4"/>
    <w:rsid w:val="007A6A7C"/>
    <w:rsid w:val="00817A93"/>
    <w:rsid w:val="00821B6E"/>
    <w:rsid w:val="0086411F"/>
    <w:rsid w:val="008A28FF"/>
    <w:rsid w:val="008F2774"/>
    <w:rsid w:val="008F5618"/>
    <w:rsid w:val="00907117"/>
    <w:rsid w:val="0097636C"/>
    <w:rsid w:val="009C5B87"/>
    <w:rsid w:val="009D2D69"/>
    <w:rsid w:val="009D5FC5"/>
    <w:rsid w:val="009D7B0D"/>
    <w:rsid w:val="00A16217"/>
    <w:rsid w:val="00A17BD9"/>
    <w:rsid w:val="00A3074E"/>
    <w:rsid w:val="00A409B8"/>
    <w:rsid w:val="00A707CD"/>
    <w:rsid w:val="00A915F3"/>
    <w:rsid w:val="00AC29E3"/>
    <w:rsid w:val="00AC30A6"/>
    <w:rsid w:val="00AF015D"/>
    <w:rsid w:val="00B057E9"/>
    <w:rsid w:val="00B1083B"/>
    <w:rsid w:val="00B24328"/>
    <w:rsid w:val="00B251A3"/>
    <w:rsid w:val="00B964E0"/>
    <w:rsid w:val="00BE30ED"/>
    <w:rsid w:val="00C45DEF"/>
    <w:rsid w:val="00C55E3A"/>
    <w:rsid w:val="00C82C0D"/>
    <w:rsid w:val="00C9714C"/>
    <w:rsid w:val="00CB0CD1"/>
    <w:rsid w:val="00D14B8E"/>
    <w:rsid w:val="00D25FA4"/>
    <w:rsid w:val="00D27011"/>
    <w:rsid w:val="00D27FFC"/>
    <w:rsid w:val="00D42F4E"/>
    <w:rsid w:val="00D71D43"/>
    <w:rsid w:val="00D74A23"/>
    <w:rsid w:val="00DA11DF"/>
    <w:rsid w:val="00DC2AB4"/>
    <w:rsid w:val="00DD3790"/>
    <w:rsid w:val="00DE45F5"/>
    <w:rsid w:val="00E050DC"/>
    <w:rsid w:val="00E27FDD"/>
    <w:rsid w:val="00E3429C"/>
    <w:rsid w:val="00E44581"/>
    <w:rsid w:val="00E51947"/>
    <w:rsid w:val="00EF1E8E"/>
    <w:rsid w:val="00F121AA"/>
    <w:rsid w:val="00F20EB5"/>
    <w:rsid w:val="00F338B2"/>
    <w:rsid w:val="00F55CE8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9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2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9E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29E3"/>
  </w:style>
  <w:style w:type="paragraph" w:styleId="BalloonText">
    <w:name w:val="Balloon Text"/>
    <w:basedOn w:val="Normal"/>
    <w:link w:val="BalloonTextChar"/>
    <w:uiPriority w:val="99"/>
    <w:semiHidden/>
    <w:unhideWhenUsed/>
    <w:rsid w:val="001F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0C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C"/>
  </w:style>
  <w:style w:type="paragraph" w:styleId="Footer">
    <w:name w:val="footer"/>
    <w:basedOn w:val="Normal"/>
    <w:link w:val="FooterChar"/>
    <w:uiPriority w:val="99"/>
    <w:unhideWhenUsed/>
    <w:rsid w:val="005A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9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2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9E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29E3"/>
  </w:style>
  <w:style w:type="paragraph" w:styleId="BalloonText">
    <w:name w:val="Balloon Text"/>
    <w:basedOn w:val="Normal"/>
    <w:link w:val="BalloonTextChar"/>
    <w:uiPriority w:val="99"/>
    <w:semiHidden/>
    <w:unhideWhenUsed/>
    <w:rsid w:val="001F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0C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C"/>
  </w:style>
  <w:style w:type="paragraph" w:styleId="Footer">
    <w:name w:val="footer"/>
    <w:basedOn w:val="Normal"/>
    <w:link w:val="FooterChar"/>
    <w:uiPriority w:val="99"/>
    <w:unhideWhenUsed/>
    <w:rsid w:val="005A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8950-18E1-4FE0-87A7-936D143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Gunton</dc:creator>
  <cp:lastModifiedBy>Nicolas Rost</cp:lastModifiedBy>
  <cp:revision>2</cp:revision>
  <cp:lastPrinted>2014-06-19T18:12:00Z</cp:lastPrinted>
  <dcterms:created xsi:type="dcterms:W3CDTF">2014-09-09T16:01:00Z</dcterms:created>
  <dcterms:modified xsi:type="dcterms:W3CDTF">2014-09-09T16:01:00Z</dcterms:modified>
</cp:coreProperties>
</file>