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0AB" w14:textId="77777777" w:rsidR="002F4C7D" w:rsidRPr="009A7F01" w:rsidRDefault="002F4C7D" w:rsidP="00180B84">
      <w:pPr>
        <w:pStyle w:val="Box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/>
        <w:rPr>
          <w:sz w:val="24"/>
        </w:rPr>
      </w:pPr>
      <w:r w:rsidRPr="009A7F01">
        <w:rPr>
          <w:caps/>
          <w:sz w:val="24"/>
        </w:rPr>
        <w:t>IASC</w:t>
      </w:r>
      <w:r w:rsidRPr="009A7F01">
        <w:rPr>
          <w:sz w:val="24"/>
        </w:rPr>
        <w:t xml:space="preserve"> PRINCIPALS AD HOC MEETING </w:t>
      </w:r>
    </w:p>
    <w:p w14:paraId="09C375B3" w14:textId="3B8BA5F9" w:rsidR="002F4C7D" w:rsidRPr="009A7F01" w:rsidRDefault="002F6856" w:rsidP="00180B84">
      <w:pPr>
        <w:pStyle w:val="Box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aps/>
          <w:sz w:val="24"/>
        </w:rPr>
      </w:pPr>
      <w:r>
        <w:rPr>
          <w:caps/>
          <w:sz w:val="24"/>
        </w:rPr>
        <w:t>SUDAN</w:t>
      </w:r>
    </w:p>
    <w:p w14:paraId="2A8702A2" w14:textId="11D4A8CE" w:rsidR="002F4C7D" w:rsidRPr="009A7F01" w:rsidRDefault="00AD74FB" w:rsidP="00180B84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 xml:space="preserve">10 April </w:t>
      </w:r>
      <w:r w:rsidR="002F4C7D" w:rsidRPr="009A7F01">
        <w:rPr>
          <w:sz w:val="24"/>
        </w:rPr>
        <w:t>2014</w:t>
      </w:r>
    </w:p>
    <w:p w14:paraId="187CD9F2" w14:textId="77777777" w:rsidR="002F4C7D" w:rsidRPr="00D86BC4" w:rsidRDefault="002F4C7D" w:rsidP="00180B84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n-GB"/>
        </w:rPr>
      </w:pPr>
    </w:p>
    <w:p w14:paraId="08C1CB45" w14:textId="69AAC4FB" w:rsidR="002F4C7D" w:rsidRDefault="002F4C7D" w:rsidP="008C689E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B7EEF">
        <w:rPr>
          <w:b/>
          <w:bCs/>
          <w:sz w:val="28"/>
        </w:rPr>
        <w:t>Final</w:t>
      </w:r>
      <w:r w:rsidR="008C689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Action Points</w:t>
      </w:r>
    </w:p>
    <w:p w14:paraId="738F83AB" w14:textId="77777777" w:rsidR="00544197" w:rsidRDefault="00544197" w:rsidP="008C689E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b/>
          <w:bCs/>
          <w:sz w:val="26"/>
        </w:rPr>
      </w:pPr>
    </w:p>
    <w:p w14:paraId="4E82191B" w14:textId="4C2BE998" w:rsidR="00BB0D4F" w:rsidRPr="00BB0D4F" w:rsidRDefault="00BB0D4F" w:rsidP="00544197">
      <w:pPr>
        <w:spacing w:after="120" w:line="276" w:lineRule="auto"/>
        <w:jc w:val="left"/>
        <w:rPr>
          <w:rFonts w:ascii="Times New Roman" w:hAnsi="Times New Roman"/>
          <w:b/>
          <w:i/>
          <w:sz w:val="26"/>
          <w:szCs w:val="26"/>
          <w:u w:val="single"/>
        </w:rPr>
      </w:pPr>
      <w:r w:rsidRPr="00BB0D4F">
        <w:rPr>
          <w:rFonts w:ascii="Times New Roman" w:hAnsi="Times New Roman"/>
          <w:b/>
          <w:i/>
          <w:sz w:val="26"/>
          <w:szCs w:val="26"/>
          <w:u w:val="single"/>
        </w:rPr>
        <w:t>Summary of Discussions:</w:t>
      </w:r>
    </w:p>
    <w:p w14:paraId="5F6CDDC3" w14:textId="13FEF2BA" w:rsidR="00BB0D4F" w:rsidRPr="00BB0D4F" w:rsidRDefault="00AD74FB" w:rsidP="00544197">
      <w:pPr>
        <w:spacing w:after="120" w:line="276" w:lineRule="auto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The IASC discussed the humanitarian situation in Sudan.  The </w:t>
      </w:r>
      <w:r w:rsidR="00EB04A8">
        <w:rPr>
          <w:rFonts w:ascii="Times New Roman" w:hAnsi="Times New Roman"/>
          <w:i/>
          <w:sz w:val="26"/>
          <w:szCs w:val="26"/>
        </w:rPr>
        <w:t xml:space="preserve">Resident Coordinator / </w:t>
      </w:r>
      <w:r w:rsidRPr="00BB0D4F">
        <w:rPr>
          <w:rFonts w:ascii="Times New Roman" w:hAnsi="Times New Roman"/>
          <w:i/>
          <w:sz w:val="26"/>
          <w:szCs w:val="26"/>
        </w:rPr>
        <w:t xml:space="preserve">Humanitarian Coordinator </w:t>
      </w:r>
      <w:r w:rsidR="00EB04A8">
        <w:rPr>
          <w:rFonts w:ascii="Times New Roman" w:hAnsi="Times New Roman"/>
          <w:i/>
          <w:sz w:val="26"/>
          <w:szCs w:val="26"/>
        </w:rPr>
        <w:t>(RC/HC)</w:t>
      </w:r>
      <w:r w:rsidR="00E017E5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 xml:space="preserve">highlighted </w:t>
      </w:r>
      <w:r w:rsidR="00DF6388" w:rsidRPr="00BB0D4F">
        <w:rPr>
          <w:rFonts w:ascii="Times New Roman" w:hAnsi="Times New Roman"/>
          <w:i/>
          <w:sz w:val="26"/>
          <w:szCs w:val="26"/>
        </w:rPr>
        <w:t xml:space="preserve">the main </w:t>
      </w:r>
      <w:r w:rsidRPr="00BB0D4F">
        <w:rPr>
          <w:rFonts w:ascii="Times New Roman" w:hAnsi="Times New Roman"/>
          <w:i/>
          <w:sz w:val="26"/>
          <w:szCs w:val="26"/>
        </w:rPr>
        <w:t xml:space="preserve">challenges </w:t>
      </w:r>
      <w:r w:rsidR="00DF6388" w:rsidRPr="00BB0D4F">
        <w:rPr>
          <w:rFonts w:ascii="Times New Roman" w:hAnsi="Times New Roman"/>
          <w:i/>
          <w:sz w:val="26"/>
          <w:szCs w:val="26"/>
        </w:rPr>
        <w:t xml:space="preserve">faced by the HCT </w:t>
      </w:r>
      <w:r w:rsidRPr="00BB0D4F">
        <w:rPr>
          <w:rFonts w:ascii="Times New Roman" w:hAnsi="Times New Roman"/>
          <w:i/>
          <w:sz w:val="26"/>
          <w:szCs w:val="26"/>
        </w:rPr>
        <w:t xml:space="preserve">and the Chair of the Emergency Directors briefed </w:t>
      </w:r>
      <w:r w:rsidR="00E017E5">
        <w:rPr>
          <w:rFonts w:ascii="Times New Roman" w:hAnsi="Times New Roman"/>
          <w:i/>
          <w:sz w:val="26"/>
          <w:szCs w:val="26"/>
        </w:rPr>
        <w:t xml:space="preserve">the meeting </w:t>
      </w:r>
      <w:r w:rsidRPr="00BB0D4F">
        <w:rPr>
          <w:rFonts w:ascii="Times New Roman" w:hAnsi="Times New Roman"/>
          <w:i/>
          <w:sz w:val="26"/>
          <w:szCs w:val="26"/>
        </w:rPr>
        <w:t xml:space="preserve">on the Emergency </w:t>
      </w:r>
      <w:r w:rsidR="00DF6388" w:rsidRPr="00BB0D4F">
        <w:rPr>
          <w:rFonts w:ascii="Times New Roman" w:hAnsi="Times New Roman"/>
          <w:i/>
          <w:sz w:val="26"/>
          <w:szCs w:val="26"/>
        </w:rPr>
        <w:t>D</w:t>
      </w:r>
      <w:r w:rsidRPr="00BB0D4F">
        <w:rPr>
          <w:rFonts w:ascii="Times New Roman" w:hAnsi="Times New Roman"/>
          <w:i/>
          <w:sz w:val="26"/>
          <w:szCs w:val="26"/>
        </w:rPr>
        <w:t>irectors’ mission to Sudan in March</w:t>
      </w:r>
      <w:r w:rsidR="00DF6388" w:rsidRPr="00BB0D4F">
        <w:rPr>
          <w:rFonts w:ascii="Times New Roman" w:hAnsi="Times New Roman"/>
          <w:i/>
          <w:sz w:val="26"/>
          <w:szCs w:val="26"/>
        </w:rPr>
        <w:t xml:space="preserve"> (cf. report)</w:t>
      </w:r>
      <w:r w:rsidRPr="00BB0D4F">
        <w:rPr>
          <w:rFonts w:ascii="Times New Roman" w:hAnsi="Times New Roman"/>
          <w:i/>
          <w:sz w:val="26"/>
          <w:szCs w:val="26"/>
        </w:rPr>
        <w:t>. The Chair facilitated a discussion focused on what more could be done to address the complex challenges faced in Sudan.</w:t>
      </w:r>
    </w:p>
    <w:p w14:paraId="44D255BB" w14:textId="7F8AE401" w:rsidR="00BB0D4F" w:rsidRDefault="00D9240F" w:rsidP="00544197">
      <w:pPr>
        <w:spacing w:after="120" w:line="276" w:lineRule="auto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Participants noted the sharp deterioration in the humanitarian </w:t>
      </w:r>
      <w:r w:rsidR="006B7EEF">
        <w:rPr>
          <w:rFonts w:ascii="Times New Roman" w:hAnsi="Times New Roman"/>
          <w:i/>
          <w:sz w:val="26"/>
          <w:szCs w:val="26"/>
        </w:rPr>
        <w:t xml:space="preserve">and human rights </w:t>
      </w:r>
      <w:r w:rsidRPr="00BB0D4F">
        <w:rPr>
          <w:rFonts w:ascii="Times New Roman" w:hAnsi="Times New Roman"/>
          <w:i/>
          <w:sz w:val="26"/>
          <w:szCs w:val="26"/>
        </w:rPr>
        <w:t xml:space="preserve">situation in Darfur and </w:t>
      </w:r>
      <w:r w:rsidR="00E017E5">
        <w:rPr>
          <w:rFonts w:ascii="Times New Roman" w:hAnsi="Times New Roman"/>
          <w:i/>
          <w:sz w:val="26"/>
          <w:szCs w:val="26"/>
        </w:rPr>
        <w:t>agreed</w:t>
      </w:r>
      <w:r w:rsidRPr="00BB0D4F">
        <w:rPr>
          <w:rFonts w:ascii="Times New Roman" w:hAnsi="Times New Roman"/>
          <w:i/>
          <w:sz w:val="26"/>
          <w:szCs w:val="26"/>
        </w:rPr>
        <w:t xml:space="preserve"> that Sudan was slipping from the international radar. </w:t>
      </w:r>
      <w:r w:rsidR="0087190A" w:rsidRPr="00BB0D4F">
        <w:rPr>
          <w:rFonts w:ascii="Times New Roman" w:hAnsi="Times New Roman"/>
          <w:i/>
          <w:sz w:val="26"/>
          <w:szCs w:val="26"/>
        </w:rPr>
        <w:t xml:space="preserve">Malnutrition rates are of great concern as </w:t>
      </w:r>
      <w:r w:rsidR="00913FF3">
        <w:rPr>
          <w:rFonts w:ascii="Times New Roman" w:hAnsi="Times New Roman"/>
          <w:i/>
          <w:sz w:val="26"/>
          <w:szCs w:val="26"/>
        </w:rPr>
        <w:t>are worrisome food security indicators and</w:t>
      </w:r>
      <w:r w:rsidR="0087190A" w:rsidRPr="00BB0D4F">
        <w:rPr>
          <w:rFonts w:ascii="Times New Roman" w:hAnsi="Times New Roman"/>
          <w:i/>
          <w:sz w:val="26"/>
          <w:szCs w:val="26"/>
        </w:rPr>
        <w:t xml:space="preserve"> rising food prices.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 xml:space="preserve">The operating environment continues to be highly complex, </w:t>
      </w:r>
      <w:r w:rsidR="00913FF3">
        <w:rPr>
          <w:rFonts w:ascii="Times New Roman" w:hAnsi="Times New Roman"/>
          <w:i/>
          <w:sz w:val="26"/>
          <w:szCs w:val="26"/>
        </w:rPr>
        <w:t xml:space="preserve">in conjunction with </w:t>
      </w:r>
      <w:r w:rsidRPr="00BB0D4F">
        <w:rPr>
          <w:rFonts w:ascii="Times New Roman" w:hAnsi="Times New Roman"/>
          <w:i/>
          <w:sz w:val="26"/>
          <w:szCs w:val="26"/>
        </w:rPr>
        <w:t xml:space="preserve">communication challenges between partners and the Government and within the humanitarian community itself. </w:t>
      </w:r>
    </w:p>
    <w:p w14:paraId="21D4A27E" w14:textId="0E5A07AE" w:rsidR="00BB0D4F" w:rsidRDefault="00D9240F" w:rsidP="00544197">
      <w:pPr>
        <w:spacing w:after="120" w:line="276" w:lineRule="auto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>There is a need for humanitarian partners to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overcome </w:t>
      </w:r>
      <w:r w:rsidR="00913FF3">
        <w:rPr>
          <w:rFonts w:ascii="Times New Roman" w:hAnsi="Times New Roman"/>
          <w:i/>
          <w:sz w:val="26"/>
          <w:szCs w:val="26"/>
        </w:rPr>
        <w:t>rising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frustration, rebuild trust</w:t>
      </w:r>
      <w:r w:rsidRPr="00BB0D4F">
        <w:rPr>
          <w:rFonts w:ascii="Times New Roman" w:hAnsi="Times New Roman"/>
          <w:i/>
          <w:sz w:val="26"/>
          <w:szCs w:val="26"/>
        </w:rPr>
        <w:t xml:space="preserve"> and come together around a common vision </w:t>
      </w:r>
      <w:r w:rsidR="00E017E5">
        <w:rPr>
          <w:rFonts w:ascii="Times New Roman" w:hAnsi="Times New Roman"/>
          <w:i/>
          <w:sz w:val="26"/>
          <w:szCs w:val="26"/>
        </w:rPr>
        <w:t>for</w:t>
      </w:r>
      <w:r w:rsidR="00E017E5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>Sudan. This vision must be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E017E5">
        <w:rPr>
          <w:rFonts w:ascii="Times New Roman" w:hAnsi="Times New Roman"/>
          <w:i/>
          <w:sz w:val="26"/>
          <w:szCs w:val="26"/>
        </w:rPr>
        <w:t>set out</w:t>
      </w:r>
      <w:r w:rsidRPr="00BB0D4F">
        <w:rPr>
          <w:rFonts w:ascii="Times New Roman" w:hAnsi="Times New Roman"/>
          <w:i/>
          <w:sz w:val="26"/>
          <w:szCs w:val="26"/>
        </w:rPr>
        <w:t xml:space="preserve"> by the HCT</w:t>
      </w:r>
      <w:r w:rsidR="00874D98" w:rsidRPr="00BB0D4F">
        <w:rPr>
          <w:rFonts w:ascii="Times New Roman" w:hAnsi="Times New Roman"/>
          <w:i/>
          <w:sz w:val="26"/>
          <w:szCs w:val="26"/>
        </w:rPr>
        <w:t>. Key messages from the HCT are required to inform sustained advocacy at multiple levels in support of resource mobilization and expansion of operating space</w:t>
      </w:r>
      <w:r w:rsidRPr="00BB0D4F">
        <w:rPr>
          <w:rFonts w:ascii="Times New Roman" w:hAnsi="Times New Roman"/>
          <w:i/>
          <w:sz w:val="26"/>
          <w:szCs w:val="26"/>
        </w:rPr>
        <w:t xml:space="preserve">. On </w:t>
      </w:r>
      <w:r w:rsidR="00874D98" w:rsidRPr="00BB0D4F">
        <w:rPr>
          <w:rFonts w:ascii="Times New Roman" w:hAnsi="Times New Roman"/>
          <w:i/>
          <w:sz w:val="26"/>
          <w:szCs w:val="26"/>
        </w:rPr>
        <w:t>the issue of a common vision</w:t>
      </w:r>
      <w:r w:rsidRPr="00BB0D4F">
        <w:rPr>
          <w:rFonts w:ascii="Times New Roman" w:hAnsi="Times New Roman"/>
          <w:i/>
          <w:sz w:val="26"/>
          <w:szCs w:val="26"/>
        </w:rPr>
        <w:t xml:space="preserve">, the RC/HC noted that a process of revision of the Strategic Response Plan had been launched. </w:t>
      </w:r>
      <w:r w:rsidR="00BB0D4F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 xml:space="preserve">Participants welcomed this and the deployment of a Senior Transformative Agenda Implementation Team as a </w:t>
      </w:r>
      <w:r w:rsidR="00E017E5">
        <w:rPr>
          <w:rFonts w:ascii="Times New Roman" w:hAnsi="Times New Roman"/>
          <w:i/>
          <w:sz w:val="26"/>
          <w:szCs w:val="26"/>
        </w:rPr>
        <w:t xml:space="preserve">result </w:t>
      </w:r>
      <w:r w:rsidRPr="00BB0D4F">
        <w:rPr>
          <w:rFonts w:ascii="Times New Roman" w:hAnsi="Times New Roman"/>
          <w:i/>
          <w:sz w:val="26"/>
          <w:szCs w:val="26"/>
        </w:rPr>
        <w:t>of the recent mission of the Emergenc</w:t>
      </w:r>
      <w:r w:rsidR="00874D98" w:rsidRPr="00BB0D4F">
        <w:rPr>
          <w:rFonts w:ascii="Times New Roman" w:hAnsi="Times New Roman"/>
          <w:i/>
          <w:sz w:val="26"/>
          <w:szCs w:val="26"/>
        </w:rPr>
        <w:t>y Directors.</w:t>
      </w:r>
      <w:r w:rsidR="00BB0D4F">
        <w:rPr>
          <w:rFonts w:ascii="Times New Roman" w:hAnsi="Times New Roman"/>
          <w:i/>
          <w:sz w:val="26"/>
          <w:szCs w:val="26"/>
        </w:rPr>
        <w:t xml:space="preserve"> 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There was concern about the capacity </w:t>
      </w:r>
      <w:r w:rsidR="006B7EEF">
        <w:rPr>
          <w:rFonts w:ascii="Times New Roman" w:hAnsi="Times New Roman"/>
          <w:i/>
          <w:sz w:val="26"/>
          <w:szCs w:val="26"/>
        </w:rPr>
        <w:t xml:space="preserve">and lack of access 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of UNAMID to effectively protect civilians </w:t>
      </w:r>
      <w:r w:rsidR="00E017E5">
        <w:rPr>
          <w:rFonts w:ascii="Times New Roman" w:hAnsi="Times New Roman"/>
          <w:i/>
          <w:sz w:val="26"/>
          <w:szCs w:val="26"/>
        </w:rPr>
        <w:t>given the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increas</w:t>
      </w:r>
      <w:r w:rsidR="00E017E5">
        <w:rPr>
          <w:rFonts w:ascii="Times New Roman" w:hAnsi="Times New Roman"/>
          <w:i/>
          <w:sz w:val="26"/>
          <w:szCs w:val="26"/>
        </w:rPr>
        <w:t>e in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 human rights violations</w:t>
      </w:r>
      <w:r w:rsidR="0087190A" w:rsidRPr="00BB0D4F">
        <w:rPr>
          <w:rFonts w:ascii="Times New Roman" w:hAnsi="Times New Roman"/>
          <w:i/>
          <w:sz w:val="26"/>
          <w:szCs w:val="26"/>
        </w:rPr>
        <w:t>, including gender-based violence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. </w:t>
      </w:r>
    </w:p>
    <w:p w14:paraId="68976A33" w14:textId="1184CA05" w:rsidR="00FA0FDA" w:rsidRDefault="00E017E5" w:rsidP="00544197">
      <w:pPr>
        <w:spacing w:after="120" w:line="276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The HC described t</w:t>
      </w:r>
      <w:r w:rsidR="00FA0FDA" w:rsidRPr="00BB0D4F">
        <w:rPr>
          <w:rFonts w:ascii="Times New Roman" w:hAnsi="Times New Roman"/>
          <w:i/>
          <w:sz w:val="26"/>
          <w:szCs w:val="26"/>
        </w:rPr>
        <w:t xml:space="preserve">he situation </w:t>
      </w:r>
      <w:r>
        <w:rPr>
          <w:rFonts w:ascii="Times New Roman" w:hAnsi="Times New Roman"/>
          <w:i/>
          <w:sz w:val="26"/>
          <w:szCs w:val="26"/>
        </w:rPr>
        <w:t>as</w:t>
      </w:r>
      <w:r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FA0FDA" w:rsidRPr="00BB0D4F">
        <w:rPr>
          <w:rFonts w:ascii="Times New Roman" w:hAnsi="Times New Roman"/>
          <w:i/>
          <w:sz w:val="26"/>
          <w:szCs w:val="26"/>
        </w:rPr>
        <w:t xml:space="preserve">close </w:t>
      </w:r>
      <w:r w:rsidR="00C913B4">
        <w:rPr>
          <w:rFonts w:ascii="Times New Roman" w:hAnsi="Times New Roman"/>
          <w:i/>
          <w:sz w:val="26"/>
          <w:szCs w:val="26"/>
        </w:rPr>
        <w:t>to</w:t>
      </w:r>
      <w:r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FA0FDA" w:rsidRPr="00BB0D4F">
        <w:rPr>
          <w:rFonts w:ascii="Times New Roman" w:hAnsi="Times New Roman"/>
          <w:i/>
          <w:sz w:val="26"/>
          <w:szCs w:val="26"/>
        </w:rPr>
        <w:t>a</w:t>
      </w:r>
      <w:r>
        <w:rPr>
          <w:rFonts w:ascii="Times New Roman" w:hAnsi="Times New Roman"/>
          <w:i/>
          <w:sz w:val="26"/>
          <w:szCs w:val="26"/>
        </w:rPr>
        <w:t>n</w:t>
      </w:r>
      <w:r w:rsidR="00FA0FDA" w:rsidRPr="00BB0D4F">
        <w:rPr>
          <w:rFonts w:ascii="Times New Roman" w:hAnsi="Times New Roman"/>
          <w:i/>
          <w:sz w:val="26"/>
          <w:szCs w:val="26"/>
        </w:rPr>
        <w:t xml:space="preserve"> L3 </w:t>
      </w:r>
      <w:r w:rsidR="00D13D47" w:rsidRPr="00BB0D4F">
        <w:rPr>
          <w:rFonts w:ascii="Times New Roman" w:hAnsi="Times New Roman"/>
          <w:i/>
          <w:sz w:val="26"/>
          <w:szCs w:val="26"/>
        </w:rPr>
        <w:t>crisis</w:t>
      </w:r>
      <w:r>
        <w:rPr>
          <w:rFonts w:ascii="Times New Roman" w:hAnsi="Times New Roman"/>
          <w:i/>
          <w:sz w:val="26"/>
          <w:szCs w:val="26"/>
        </w:rPr>
        <w:t>. P</w:t>
      </w:r>
      <w:r w:rsidR="005F3065">
        <w:rPr>
          <w:rFonts w:ascii="Times New Roman" w:hAnsi="Times New Roman"/>
          <w:i/>
          <w:sz w:val="26"/>
          <w:szCs w:val="26"/>
        </w:rPr>
        <w:t xml:space="preserve">articipants felt that </w:t>
      </w:r>
      <w:r w:rsidR="00A619C8">
        <w:rPr>
          <w:rFonts w:ascii="Times New Roman" w:hAnsi="Times New Roman"/>
          <w:i/>
          <w:sz w:val="26"/>
          <w:szCs w:val="26"/>
        </w:rPr>
        <w:t>the declaration of a</w:t>
      </w:r>
      <w:r>
        <w:rPr>
          <w:rFonts w:ascii="Times New Roman" w:hAnsi="Times New Roman"/>
          <w:i/>
          <w:sz w:val="26"/>
          <w:szCs w:val="26"/>
        </w:rPr>
        <w:t>n</w:t>
      </w:r>
      <w:r w:rsidR="00A619C8">
        <w:rPr>
          <w:rFonts w:ascii="Times New Roman" w:hAnsi="Times New Roman"/>
          <w:i/>
          <w:sz w:val="26"/>
          <w:szCs w:val="26"/>
        </w:rPr>
        <w:t xml:space="preserve"> L3 would not necessar</w:t>
      </w:r>
      <w:r>
        <w:rPr>
          <w:rFonts w:ascii="Times New Roman" w:hAnsi="Times New Roman"/>
          <w:i/>
          <w:sz w:val="26"/>
          <w:szCs w:val="26"/>
        </w:rPr>
        <w:t>ily</w:t>
      </w:r>
      <w:r w:rsidR="00A619C8">
        <w:rPr>
          <w:rFonts w:ascii="Times New Roman" w:hAnsi="Times New Roman"/>
          <w:i/>
          <w:sz w:val="26"/>
          <w:szCs w:val="26"/>
        </w:rPr>
        <w:t xml:space="preserve"> trigger better access or better funding</w:t>
      </w:r>
      <w:r>
        <w:rPr>
          <w:rFonts w:ascii="Times New Roman" w:hAnsi="Times New Roman"/>
          <w:i/>
          <w:sz w:val="26"/>
          <w:szCs w:val="26"/>
        </w:rPr>
        <w:t xml:space="preserve"> and thought that</w:t>
      </w:r>
      <w:r w:rsidR="00A619C8">
        <w:rPr>
          <w:rFonts w:ascii="Times New Roman" w:hAnsi="Times New Roman"/>
          <w:i/>
          <w:sz w:val="26"/>
          <w:szCs w:val="26"/>
        </w:rPr>
        <w:t xml:space="preserve"> the current level of access would make it</w:t>
      </w:r>
      <w:r w:rsidR="00FA0FDA" w:rsidRPr="00BB0D4F">
        <w:rPr>
          <w:rFonts w:ascii="Times New Roman" w:hAnsi="Times New Roman"/>
          <w:i/>
          <w:sz w:val="26"/>
          <w:szCs w:val="26"/>
        </w:rPr>
        <w:t xml:space="preserve"> difficult to deliver the L3 type of response required.  </w:t>
      </w:r>
    </w:p>
    <w:p w14:paraId="26DAEF78" w14:textId="77777777" w:rsidR="006B7EEF" w:rsidRDefault="006B7EEF" w:rsidP="00544197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2EE567DE" w14:textId="77777777" w:rsidR="00370FE3" w:rsidRDefault="00370FE3" w:rsidP="00544197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382185AB" w14:textId="77777777" w:rsidR="006B7EEF" w:rsidRDefault="006B7EEF" w:rsidP="00544197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33DB63C6" w14:textId="0689468E" w:rsidR="00BB0D4F" w:rsidRPr="00BB0D4F" w:rsidRDefault="00BB0D4F" w:rsidP="00544197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BB0D4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Action Points:</w:t>
      </w:r>
    </w:p>
    <w:p w14:paraId="598F30FD" w14:textId="75DD65C4" w:rsidR="002F6856" w:rsidRPr="00BB0D4F" w:rsidRDefault="00FA0FDA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Request </w:t>
      </w:r>
      <w:r w:rsidR="00EB04A8">
        <w:rPr>
          <w:rFonts w:ascii="Times New Roman" w:hAnsi="Times New Roman"/>
          <w:i/>
          <w:sz w:val="26"/>
          <w:szCs w:val="26"/>
        </w:rPr>
        <w:t xml:space="preserve">the </w:t>
      </w:r>
      <w:r w:rsidRPr="00BB0D4F">
        <w:rPr>
          <w:rFonts w:ascii="Times New Roman" w:hAnsi="Times New Roman"/>
          <w:i/>
          <w:sz w:val="26"/>
          <w:szCs w:val="26"/>
        </w:rPr>
        <w:t xml:space="preserve">HCT to 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continue with </w:t>
      </w:r>
      <w:r w:rsidR="00BB0D4F">
        <w:rPr>
          <w:rFonts w:ascii="Times New Roman" w:hAnsi="Times New Roman"/>
          <w:i/>
          <w:sz w:val="26"/>
          <w:szCs w:val="26"/>
        </w:rPr>
        <w:t xml:space="preserve">the </w:t>
      </w:r>
      <w:r w:rsidR="00874D98" w:rsidRPr="00BB0D4F">
        <w:rPr>
          <w:rFonts w:ascii="Times New Roman" w:hAnsi="Times New Roman"/>
          <w:i/>
          <w:sz w:val="26"/>
          <w:szCs w:val="26"/>
        </w:rPr>
        <w:t xml:space="preserve">planned revision of </w:t>
      </w:r>
      <w:r w:rsidR="00E017E5">
        <w:rPr>
          <w:rFonts w:ascii="Times New Roman" w:hAnsi="Times New Roman"/>
          <w:i/>
          <w:sz w:val="26"/>
          <w:szCs w:val="26"/>
        </w:rPr>
        <w:t xml:space="preserve">the </w:t>
      </w:r>
      <w:r w:rsidR="00874D98" w:rsidRPr="00BB0D4F">
        <w:rPr>
          <w:rFonts w:ascii="Times New Roman" w:hAnsi="Times New Roman"/>
          <w:i/>
          <w:sz w:val="26"/>
          <w:szCs w:val="26"/>
        </w:rPr>
        <w:t>Strategic Response Plan</w:t>
      </w:r>
      <w:r w:rsidR="00BB0D4F">
        <w:rPr>
          <w:rFonts w:ascii="Times New Roman" w:hAnsi="Times New Roman"/>
          <w:i/>
          <w:sz w:val="26"/>
          <w:szCs w:val="26"/>
        </w:rPr>
        <w:t>,</w:t>
      </w:r>
      <w:r w:rsidR="00751DFC" w:rsidRPr="00BB0D4F">
        <w:rPr>
          <w:rFonts w:ascii="Times New Roman" w:hAnsi="Times New Roman"/>
          <w:i/>
          <w:sz w:val="26"/>
          <w:szCs w:val="26"/>
        </w:rPr>
        <w:t xml:space="preserve"> setting a clear common vision for humanitarian action in Sudan</w:t>
      </w:r>
      <w:r w:rsidR="00BB0D4F">
        <w:rPr>
          <w:rFonts w:ascii="Times New Roman" w:hAnsi="Times New Roman"/>
          <w:i/>
          <w:sz w:val="26"/>
          <w:szCs w:val="26"/>
        </w:rPr>
        <w:t xml:space="preserve"> based on </w:t>
      </w:r>
      <w:r w:rsidR="00913FF3">
        <w:rPr>
          <w:rFonts w:ascii="Times New Roman" w:hAnsi="Times New Roman"/>
          <w:i/>
          <w:sz w:val="26"/>
          <w:szCs w:val="26"/>
        </w:rPr>
        <w:t xml:space="preserve">mounting challenges in Darfur and in relation to the influx of South Sudanese, taking into account </w:t>
      </w:r>
      <w:r w:rsidR="00BB0D4F">
        <w:rPr>
          <w:rFonts w:ascii="Times New Roman" w:hAnsi="Times New Roman"/>
          <w:i/>
          <w:sz w:val="26"/>
          <w:szCs w:val="26"/>
        </w:rPr>
        <w:t xml:space="preserve">the broader context and relationships with </w:t>
      </w:r>
      <w:proofErr w:type="spellStart"/>
      <w:r w:rsidR="00BB0D4F">
        <w:rPr>
          <w:rFonts w:ascii="Times New Roman" w:hAnsi="Times New Roman"/>
          <w:i/>
          <w:sz w:val="26"/>
          <w:szCs w:val="26"/>
        </w:rPr>
        <w:t>neighbouring</w:t>
      </w:r>
      <w:proofErr w:type="spellEnd"/>
      <w:r w:rsidR="00BB0D4F">
        <w:rPr>
          <w:rFonts w:ascii="Times New Roman" w:hAnsi="Times New Roman"/>
          <w:i/>
          <w:sz w:val="26"/>
          <w:szCs w:val="26"/>
        </w:rPr>
        <w:t xml:space="preserve"> countries</w:t>
      </w:r>
      <w:r w:rsidRPr="00BB0D4F">
        <w:rPr>
          <w:rFonts w:ascii="Times New Roman" w:hAnsi="Times New Roman"/>
          <w:i/>
          <w:sz w:val="26"/>
          <w:szCs w:val="26"/>
        </w:rPr>
        <w:t>.</w:t>
      </w:r>
      <w:r w:rsidR="00BB0D4F">
        <w:rPr>
          <w:rFonts w:ascii="Times New Roman" w:hAnsi="Times New Roman"/>
          <w:i/>
          <w:sz w:val="26"/>
          <w:szCs w:val="26"/>
        </w:rPr>
        <w:t xml:space="preserve"> </w:t>
      </w:r>
      <w:r w:rsidR="00D13D47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D13D47" w:rsidRPr="00BB0D4F">
        <w:rPr>
          <w:rFonts w:ascii="Times New Roman" w:hAnsi="Times New Roman"/>
          <w:b/>
          <w:i/>
          <w:sz w:val="26"/>
          <w:szCs w:val="26"/>
          <w:u w:val="single"/>
        </w:rPr>
        <w:t>Action by</w:t>
      </w:r>
      <w:r w:rsidR="00D13D47" w:rsidRPr="00BB0D4F">
        <w:rPr>
          <w:rFonts w:ascii="Times New Roman" w:hAnsi="Times New Roman"/>
          <w:i/>
          <w:sz w:val="26"/>
          <w:szCs w:val="26"/>
        </w:rPr>
        <w:t xml:space="preserve">: </w:t>
      </w:r>
      <w:r w:rsidR="00BB0D4F">
        <w:rPr>
          <w:rFonts w:ascii="Times New Roman" w:hAnsi="Times New Roman"/>
          <w:i/>
          <w:sz w:val="26"/>
          <w:szCs w:val="26"/>
        </w:rPr>
        <w:t>HCT</w:t>
      </w:r>
      <w:r w:rsidR="00D13D47" w:rsidRPr="00BB0D4F">
        <w:rPr>
          <w:rFonts w:ascii="Times New Roman" w:hAnsi="Times New Roman"/>
          <w:i/>
          <w:sz w:val="26"/>
          <w:szCs w:val="26"/>
        </w:rPr>
        <w:t xml:space="preserve"> by 31 May.</w:t>
      </w:r>
    </w:p>
    <w:p w14:paraId="4554D1DE" w14:textId="03CE70B1" w:rsidR="00874D98" w:rsidRPr="00BB0D4F" w:rsidRDefault="00874D98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Request </w:t>
      </w:r>
      <w:r w:rsidR="00EB04A8">
        <w:rPr>
          <w:rFonts w:ascii="Times New Roman" w:hAnsi="Times New Roman"/>
          <w:i/>
          <w:sz w:val="26"/>
          <w:szCs w:val="26"/>
        </w:rPr>
        <w:t xml:space="preserve">the </w:t>
      </w:r>
      <w:r w:rsidRPr="00BB0D4F">
        <w:rPr>
          <w:rFonts w:ascii="Times New Roman" w:hAnsi="Times New Roman"/>
          <w:i/>
          <w:sz w:val="26"/>
          <w:szCs w:val="26"/>
        </w:rPr>
        <w:t xml:space="preserve">HCT to develop common key messages to inform </w:t>
      </w:r>
      <w:r w:rsidR="00126A1F" w:rsidRPr="00BB0D4F">
        <w:rPr>
          <w:rFonts w:ascii="Times New Roman" w:hAnsi="Times New Roman"/>
          <w:i/>
          <w:sz w:val="26"/>
          <w:szCs w:val="26"/>
        </w:rPr>
        <w:t>public and private advocacy on resource mobilization, protection</w:t>
      </w:r>
      <w:r w:rsidR="006B7EEF">
        <w:rPr>
          <w:rFonts w:ascii="Times New Roman" w:hAnsi="Times New Roman"/>
          <w:i/>
          <w:sz w:val="26"/>
          <w:szCs w:val="26"/>
        </w:rPr>
        <w:t>, including on the need to prevent and respond to violations of international human rights and humanitarian law,</w:t>
      </w:r>
      <w:r w:rsidR="00126A1F" w:rsidRPr="00BB0D4F">
        <w:rPr>
          <w:rFonts w:ascii="Times New Roman" w:hAnsi="Times New Roman"/>
          <w:i/>
          <w:sz w:val="26"/>
          <w:szCs w:val="26"/>
        </w:rPr>
        <w:t xml:space="preserve"> and expansion of operational space. </w:t>
      </w:r>
      <w:r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2B5FF1" w:rsidRPr="00BB0D4F">
        <w:rPr>
          <w:rFonts w:ascii="Times New Roman" w:hAnsi="Times New Roman"/>
          <w:b/>
          <w:i/>
          <w:sz w:val="26"/>
          <w:szCs w:val="26"/>
          <w:u w:val="single"/>
        </w:rPr>
        <w:t>Action by</w:t>
      </w:r>
      <w:r w:rsidR="002B5FF1" w:rsidRPr="00BB0D4F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2B5FF1" w:rsidRPr="005F3065">
        <w:rPr>
          <w:rFonts w:ascii="Times New Roman" w:hAnsi="Times New Roman"/>
          <w:i/>
          <w:sz w:val="26"/>
          <w:szCs w:val="26"/>
        </w:rPr>
        <w:t>HCT by 30 April</w:t>
      </w:r>
    </w:p>
    <w:p w14:paraId="55C42693" w14:textId="58EB0FB2" w:rsidR="002B5FF1" w:rsidRPr="00BB0D4F" w:rsidRDefault="002B5FF1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>Request</w:t>
      </w:r>
      <w:r w:rsidR="00EB04A8">
        <w:rPr>
          <w:rFonts w:ascii="Times New Roman" w:hAnsi="Times New Roman"/>
          <w:i/>
          <w:sz w:val="26"/>
          <w:szCs w:val="26"/>
        </w:rPr>
        <w:t xml:space="preserve"> the</w:t>
      </w:r>
      <w:r w:rsidRPr="00BB0D4F">
        <w:rPr>
          <w:rFonts w:ascii="Times New Roman" w:hAnsi="Times New Roman"/>
          <w:i/>
          <w:sz w:val="26"/>
          <w:szCs w:val="26"/>
        </w:rPr>
        <w:t xml:space="preserve"> HCT to</w:t>
      </w:r>
      <w:r w:rsidR="00751DFC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>develop a</w:t>
      </w:r>
      <w:r w:rsidR="005F3065">
        <w:rPr>
          <w:rFonts w:ascii="Times New Roman" w:hAnsi="Times New Roman"/>
          <w:i/>
          <w:sz w:val="26"/>
          <w:szCs w:val="26"/>
        </w:rPr>
        <w:t xml:space="preserve"> new </w:t>
      </w:r>
      <w:r w:rsidR="005F3065" w:rsidRPr="00BB0D4F">
        <w:rPr>
          <w:rFonts w:ascii="Times New Roman" w:hAnsi="Times New Roman"/>
          <w:i/>
          <w:sz w:val="26"/>
          <w:szCs w:val="26"/>
        </w:rPr>
        <w:t>advocacy</w:t>
      </w:r>
      <w:r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E017E5">
        <w:rPr>
          <w:rFonts w:ascii="Times New Roman" w:hAnsi="Times New Roman"/>
          <w:i/>
          <w:sz w:val="26"/>
          <w:szCs w:val="26"/>
        </w:rPr>
        <w:t xml:space="preserve">action </w:t>
      </w:r>
      <w:r w:rsidRPr="00BB0D4F">
        <w:rPr>
          <w:rFonts w:ascii="Times New Roman" w:hAnsi="Times New Roman"/>
          <w:i/>
          <w:sz w:val="26"/>
          <w:szCs w:val="26"/>
        </w:rPr>
        <w:t xml:space="preserve">plan including diplomatic engagement </w:t>
      </w:r>
      <w:r w:rsidR="00E017E5">
        <w:rPr>
          <w:rFonts w:ascii="Times New Roman" w:hAnsi="Times New Roman"/>
          <w:i/>
          <w:sz w:val="26"/>
          <w:szCs w:val="26"/>
        </w:rPr>
        <w:t xml:space="preserve">with </w:t>
      </w:r>
      <w:r w:rsidRPr="00BB0D4F">
        <w:rPr>
          <w:rFonts w:ascii="Times New Roman" w:hAnsi="Times New Roman"/>
          <w:i/>
          <w:sz w:val="26"/>
          <w:szCs w:val="26"/>
        </w:rPr>
        <w:t>influential Member States and public messagin</w:t>
      </w:r>
      <w:r w:rsidR="00370FE3">
        <w:rPr>
          <w:rFonts w:ascii="Times New Roman" w:hAnsi="Times New Roman"/>
          <w:i/>
          <w:sz w:val="26"/>
          <w:szCs w:val="26"/>
        </w:rPr>
        <w:t>g, incorporating key milestones</w:t>
      </w:r>
      <w:r w:rsidRPr="00BB0D4F">
        <w:rPr>
          <w:rFonts w:ascii="Times New Roman" w:hAnsi="Times New Roman"/>
          <w:i/>
          <w:sz w:val="26"/>
          <w:szCs w:val="26"/>
        </w:rPr>
        <w:t xml:space="preserve">. </w:t>
      </w:r>
      <w:r w:rsidRPr="00BB0D4F">
        <w:rPr>
          <w:rFonts w:ascii="Times New Roman" w:hAnsi="Times New Roman"/>
          <w:b/>
          <w:i/>
          <w:sz w:val="26"/>
          <w:szCs w:val="26"/>
        </w:rPr>
        <w:t xml:space="preserve">Action by: </w:t>
      </w:r>
      <w:r w:rsidRPr="005F3065">
        <w:rPr>
          <w:rFonts w:ascii="Times New Roman" w:hAnsi="Times New Roman"/>
          <w:i/>
          <w:sz w:val="26"/>
          <w:szCs w:val="26"/>
        </w:rPr>
        <w:t>HCT by 31 May</w:t>
      </w:r>
    </w:p>
    <w:p w14:paraId="5875B2B5" w14:textId="2DB70F73" w:rsidR="00DF6388" w:rsidRPr="00BB0D4F" w:rsidRDefault="00DF6388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Request the HCT to implement </w:t>
      </w:r>
      <w:r w:rsidR="00EB04A8">
        <w:rPr>
          <w:rFonts w:ascii="Times New Roman" w:hAnsi="Times New Roman"/>
          <w:i/>
          <w:sz w:val="26"/>
          <w:szCs w:val="26"/>
        </w:rPr>
        <w:t xml:space="preserve">the </w:t>
      </w:r>
      <w:r w:rsidR="00751DFC" w:rsidRPr="00BB0D4F">
        <w:rPr>
          <w:rFonts w:ascii="Times New Roman" w:hAnsi="Times New Roman"/>
          <w:i/>
          <w:sz w:val="26"/>
          <w:szCs w:val="26"/>
        </w:rPr>
        <w:t>recommendations of the EDG mission including by working closely with the STAIT</w:t>
      </w:r>
      <w:r w:rsidRPr="00BB0D4F">
        <w:rPr>
          <w:rFonts w:ascii="Times New Roman" w:hAnsi="Times New Roman"/>
          <w:i/>
          <w:sz w:val="26"/>
          <w:szCs w:val="26"/>
        </w:rPr>
        <w:t xml:space="preserve">. </w:t>
      </w:r>
      <w:r w:rsidRPr="00BB0D4F">
        <w:rPr>
          <w:rFonts w:ascii="Times New Roman" w:hAnsi="Times New Roman"/>
          <w:b/>
          <w:i/>
          <w:sz w:val="26"/>
          <w:szCs w:val="26"/>
          <w:u w:val="single"/>
        </w:rPr>
        <w:t>Action by</w:t>
      </w:r>
      <w:r w:rsidR="00BB0D4F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Pr="00BB0D4F">
        <w:rPr>
          <w:rFonts w:ascii="Times New Roman" w:hAnsi="Times New Roman"/>
          <w:i/>
          <w:sz w:val="26"/>
          <w:szCs w:val="26"/>
        </w:rPr>
        <w:t xml:space="preserve"> the </w:t>
      </w:r>
      <w:r w:rsidR="00EB04A8">
        <w:rPr>
          <w:rFonts w:ascii="Times New Roman" w:hAnsi="Times New Roman"/>
          <w:i/>
          <w:sz w:val="26"/>
          <w:szCs w:val="26"/>
        </w:rPr>
        <w:t>RC/</w:t>
      </w:r>
      <w:r w:rsidRPr="00BB0D4F">
        <w:rPr>
          <w:rFonts w:ascii="Times New Roman" w:hAnsi="Times New Roman"/>
          <w:i/>
          <w:sz w:val="26"/>
          <w:szCs w:val="26"/>
        </w:rPr>
        <w:t>HC to report to the EDG by end of July.</w:t>
      </w:r>
    </w:p>
    <w:p w14:paraId="3AB5DB78" w14:textId="4EBA8D77" w:rsidR="00DF6388" w:rsidRPr="00BB0D4F" w:rsidRDefault="00DF6388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>Request OCHA</w:t>
      </w:r>
      <w:r w:rsidR="00913FF3">
        <w:rPr>
          <w:rFonts w:ascii="Times New Roman" w:hAnsi="Times New Roman"/>
          <w:i/>
          <w:sz w:val="26"/>
          <w:szCs w:val="26"/>
        </w:rPr>
        <w:t xml:space="preserve">, </w:t>
      </w:r>
      <w:r w:rsidR="005F3065">
        <w:rPr>
          <w:rFonts w:ascii="Times New Roman" w:hAnsi="Times New Roman"/>
          <w:i/>
          <w:sz w:val="26"/>
          <w:szCs w:val="26"/>
        </w:rPr>
        <w:t>the RC/HC</w:t>
      </w:r>
      <w:r w:rsidR="00913FF3">
        <w:rPr>
          <w:rFonts w:ascii="Times New Roman" w:hAnsi="Times New Roman"/>
          <w:i/>
          <w:sz w:val="26"/>
          <w:szCs w:val="26"/>
        </w:rPr>
        <w:t xml:space="preserve"> and the INGO community to further enhance </w:t>
      </w:r>
      <w:r w:rsidRPr="00BB0D4F">
        <w:rPr>
          <w:rFonts w:ascii="Times New Roman" w:hAnsi="Times New Roman"/>
          <w:i/>
          <w:sz w:val="26"/>
          <w:szCs w:val="26"/>
        </w:rPr>
        <w:t xml:space="preserve">coordination </w:t>
      </w:r>
      <w:r w:rsidR="00913FF3">
        <w:rPr>
          <w:rFonts w:ascii="Times New Roman" w:hAnsi="Times New Roman"/>
          <w:i/>
          <w:sz w:val="26"/>
          <w:szCs w:val="26"/>
        </w:rPr>
        <w:t xml:space="preserve">and communication </w:t>
      </w:r>
      <w:r w:rsidRPr="00BB0D4F">
        <w:rPr>
          <w:rFonts w:ascii="Times New Roman" w:hAnsi="Times New Roman"/>
          <w:i/>
          <w:sz w:val="26"/>
          <w:szCs w:val="26"/>
        </w:rPr>
        <w:t>to improve the dialogue and overcome issues that are hampering collaboration and information-sharing</w:t>
      </w:r>
      <w:r w:rsidR="00CF2B62">
        <w:rPr>
          <w:rFonts w:ascii="Times New Roman" w:hAnsi="Times New Roman"/>
          <w:i/>
          <w:sz w:val="26"/>
          <w:szCs w:val="26"/>
        </w:rPr>
        <w:t xml:space="preserve"> in Sudan</w:t>
      </w:r>
      <w:r w:rsidR="00913FF3">
        <w:rPr>
          <w:rFonts w:ascii="Times New Roman" w:hAnsi="Times New Roman"/>
          <w:i/>
          <w:sz w:val="26"/>
          <w:szCs w:val="26"/>
        </w:rPr>
        <w:t xml:space="preserve"> in an inclusive and collaborative manner</w:t>
      </w:r>
      <w:r w:rsidRPr="00BB0D4F">
        <w:rPr>
          <w:rFonts w:ascii="Times New Roman" w:hAnsi="Times New Roman"/>
          <w:i/>
          <w:sz w:val="26"/>
          <w:szCs w:val="26"/>
        </w:rPr>
        <w:t xml:space="preserve">. </w:t>
      </w:r>
      <w:r w:rsidRPr="00BB0D4F">
        <w:rPr>
          <w:rFonts w:ascii="Times New Roman" w:hAnsi="Times New Roman"/>
          <w:b/>
          <w:i/>
          <w:sz w:val="26"/>
          <w:szCs w:val="26"/>
          <w:u w:val="single"/>
        </w:rPr>
        <w:t>Action by</w:t>
      </w:r>
      <w:r w:rsidRPr="00BB0D4F">
        <w:rPr>
          <w:rFonts w:ascii="Times New Roman" w:hAnsi="Times New Roman"/>
          <w:i/>
          <w:sz w:val="26"/>
          <w:szCs w:val="26"/>
        </w:rPr>
        <w:t>: OCHA</w:t>
      </w:r>
      <w:r w:rsidR="005F3065">
        <w:rPr>
          <w:rFonts w:ascii="Times New Roman" w:hAnsi="Times New Roman"/>
          <w:i/>
          <w:sz w:val="26"/>
          <w:szCs w:val="26"/>
        </w:rPr>
        <w:t xml:space="preserve"> and the RC/HC</w:t>
      </w:r>
      <w:r w:rsidR="00D13D47" w:rsidRPr="00BB0D4F">
        <w:rPr>
          <w:rFonts w:ascii="Times New Roman" w:hAnsi="Times New Roman"/>
          <w:i/>
          <w:sz w:val="26"/>
          <w:szCs w:val="26"/>
        </w:rPr>
        <w:t xml:space="preserve"> by end of May</w:t>
      </w:r>
      <w:r w:rsidRPr="00BB0D4F">
        <w:rPr>
          <w:rFonts w:ascii="Times New Roman" w:hAnsi="Times New Roman"/>
          <w:i/>
          <w:sz w:val="26"/>
          <w:szCs w:val="26"/>
        </w:rPr>
        <w:t xml:space="preserve">. </w:t>
      </w:r>
    </w:p>
    <w:p w14:paraId="623359F6" w14:textId="310223F2" w:rsidR="002F6856" w:rsidRPr="00BB0D4F" w:rsidRDefault="00EB04A8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E</w:t>
      </w:r>
      <w:r w:rsidR="00ED2778" w:rsidRPr="00BB0D4F">
        <w:rPr>
          <w:rFonts w:ascii="Times New Roman" w:hAnsi="Times New Roman"/>
          <w:i/>
          <w:sz w:val="26"/>
          <w:szCs w:val="26"/>
        </w:rPr>
        <w:t xml:space="preserve">xplore the </w:t>
      </w:r>
      <w:r w:rsidR="00680700" w:rsidRPr="00BB0D4F">
        <w:rPr>
          <w:rFonts w:ascii="Times New Roman" w:hAnsi="Times New Roman"/>
          <w:i/>
          <w:sz w:val="26"/>
          <w:szCs w:val="26"/>
        </w:rPr>
        <w:t>option</w:t>
      </w:r>
      <w:r w:rsidR="00ED2778" w:rsidRPr="00BB0D4F">
        <w:rPr>
          <w:rFonts w:ascii="Times New Roman" w:hAnsi="Times New Roman"/>
          <w:i/>
          <w:sz w:val="26"/>
          <w:szCs w:val="26"/>
        </w:rPr>
        <w:t xml:space="preserve"> of </w:t>
      </w:r>
      <w:r w:rsidR="00680700" w:rsidRPr="00BB0D4F">
        <w:rPr>
          <w:rFonts w:ascii="Times New Roman" w:hAnsi="Times New Roman"/>
          <w:i/>
          <w:sz w:val="26"/>
          <w:szCs w:val="26"/>
        </w:rPr>
        <w:t>appointing</w:t>
      </w:r>
      <w:r w:rsidR="00ED2778" w:rsidRPr="00BB0D4F">
        <w:rPr>
          <w:rFonts w:ascii="Times New Roman" w:hAnsi="Times New Roman"/>
          <w:i/>
          <w:sz w:val="26"/>
          <w:szCs w:val="26"/>
        </w:rPr>
        <w:t xml:space="preserve"> a </w:t>
      </w:r>
      <w:r w:rsidR="00DF6388" w:rsidRPr="00BB0D4F">
        <w:rPr>
          <w:rFonts w:ascii="Times New Roman" w:hAnsi="Times New Roman"/>
          <w:i/>
          <w:sz w:val="26"/>
          <w:szCs w:val="26"/>
        </w:rPr>
        <w:t>Deputy Humanitarian Coordinator for Sudan or for Darfur exclusively</w:t>
      </w:r>
      <w:r w:rsidR="00ED2778" w:rsidRPr="00BB0D4F">
        <w:rPr>
          <w:rFonts w:ascii="Times New Roman" w:hAnsi="Times New Roman"/>
          <w:i/>
          <w:sz w:val="26"/>
          <w:szCs w:val="26"/>
        </w:rPr>
        <w:t xml:space="preserve">. </w:t>
      </w:r>
      <w:r w:rsidR="00ED2778" w:rsidRPr="00BB0D4F">
        <w:rPr>
          <w:rFonts w:ascii="Times New Roman" w:hAnsi="Times New Roman"/>
          <w:b/>
          <w:i/>
          <w:sz w:val="26"/>
          <w:szCs w:val="26"/>
          <w:u w:val="single"/>
        </w:rPr>
        <w:t>Action by:</w:t>
      </w:r>
      <w:r w:rsidR="00ED2778" w:rsidRPr="00BB0D4F">
        <w:rPr>
          <w:rFonts w:ascii="Times New Roman" w:hAnsi="Times New Roman"/>
          <w:i/>
          <w:sz w:val="26"/>
          <w:szCs w:val="26"/>
        </w:rPr>
        <w:t xml:space="preserve"> ERC </w:t>
      </w:r>
      <w:r w:rsidR="00DF6388" w:rsidRPr="00BB0D4F">
        <w:rPr>
          <w:rFonts w:ascii="Times New Roman" w:hAnsi="Times New Roman"/>
          <w:i/>
          <w:sz w:val="26"/>
          <w:szCs w:val="26"/>
        </w:rPr>
        <w:t xml:space="preserve">by June </w:t>
      </w:r>
      <w:r w:rsidR="00E002BA" w:rsidRPr="00BB0D4F">
        <w:rPr>
          <w:rFonts w:ascii="Times New Roman" w:hAnsi="Times New Roman"/>
          <w:i/>
          <w:sz w:val="26"/>
          <w:szCs w:val="26"/>
        </w:rPr>
        <w:t>2014</w:t>
      </w:r>
      <w:r w:rsidR="00ED2778" w:rsidRPr="00BB0D4F">
        <w:rPr>
          <w:rFonts w:ascii="Times New Roman" w:hAnsi="Times New Roman"/>
          <w:i/>
          <w:sz w:val="26"/>
          <w:szCs w:val="26"/>
        </w:rPr>
        <w:t>.</w:t>
      </w:r>
    </w:p>
    <w:p w14:paraId="670F24EE" w14:textId="3D5EC3C7" w:rsidR="002F6856" w:rsidRPr="00BB0D4F" w:rsidRDefault="00DF6388" w:rsidP="00544197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imes New Roman" w:hAnsi="Times New Roman"/>
          <w:i/>
          <w:sz w:val="26"/>
          <w:szCs w:val="26"/>
        </w:rPr>
      </w:pPr>
      <w:r w:rsidRPr="00BB0D4F">
        <w:rPr>
          <w:rFonts w:ascii="Times New Roman" w:hAnsi="Times New Roman"/>
          <w:i/>
          <w:sz w:val="26"/>
          <w:szCs w:val="26"/>
        </w:rPr>
        <w:t xml:space="preserve">Express support for UNFPA </w:t>
      </w:r>
      <w:r w:rsidR="00680700" w:rsidRPr="00BB0D4F">
        <w:rPr>
          <w:rFonts w:ascii="Times New Roman" w:hAnsi="Times New Roman"/>
          <w:i/>
          <w:sz w:val="26"/>
          <w:szCs w:val="26"/>
        </w:rPr>
        <w:t xml:space="preserve">in light of the </w:t>
      </w:r>
      <w:r w:rsidRPr="00BB0D4F">
        <w:rPr>
          <w:rFonts w:ascii="Times New Roman" w:hAnsi="Times New Roman"/>
          <w:i/>
          <w:sz w:val="26"/>
          <w:szCs w:val="26"/>
        </w:rPr>
        <w:t>recent expulsion of their country representative.</w:t>
      </w:r>
      <w:r w:rsidR="00680700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="00680700" w:rsidRPr="00BB0D4F">
        <w:rPr>
          <w:rFonts w:ascii="Times New Roman" w:hAnsi="Times New Roman"/>
          <w:b/>
          <w:i/>
          <w:sz w:val="26"/>
          <w:szCs w:val="26"/>
          <w:u w:val="single"/>
        </w:rPr>
        <w:t>Action by:</w:t>
      </w:r>
      <w:r w:rsidR="00680700" w:rsidRPr="00BB0D4F">
        <w:rPr>
          <w:rFonts w:ascii="Times New Roman" w:hAnsi="Times New Roman"/>
          <w:i/>
          <w:sz w:val="26"/>
          <w:szCs w:val="26"/>
        </w:rPr>
        <w:t xml:space="preserve"> </w:t>
      </w:r>
      <w:r w:rsidRPr="00BB0D4F">
        <w:rPr>
          <w:rFonts w:ascii="Times New Roman" w:hAnsi="Times New Roman"/>
          <w:i/>
          <w:sz w:val="26"/>
          <w:szCs w:val="26"/>
        </w:rPr>
        <w:t>IASC organizations</w:t>
      </w:r>
      <w:r w:rsidR="00680700" w:rsidRPr="00BB0D4F">
        <w:rPr>
          <w:rFonts w:ascii="Times New Roman" w:hAnsi="Times New Roman"/>
          <w:i/>
          <w:sz w:val="26"/>
          <w:szCs w:val="26"/>
        </w:rPr>
        <w:t>.</w:t>
      </w:r>
    </w:p>
    <w:p w14:paraId="5506D97A" w14:textId="0EEDBCDB" w:rsidR="007F1E0A" w:rsidRPr="005329CD" w:rsidRDefault="008F4FDE" w:rsidP="00323BCE">
      <w:pPr>
        <w:spacing w:after="120" w:line="276" w:lineRule="auto"/>
        <w:ind w:left="360"/>
        <w:jc w:val="left"/>
        <w:rPr>
          <w:rFonts w:ascii="Times New Roman" w:hAnsi="Times New Roman"/>
          <w:bCs/>
          <w:sz w:val="24"/>
        </w:rPr>
      </w:pPr>
      <w:r w:rsidRPr="005329CD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</w:p>
    <w:p w14:paraId="4E769B06" w14:textId="77777777" w:rsidR="007F1E0A" w:rsidRPr="007F1E0A" w:rsidRDefault="007F1E0A" w:rsidP="00323BCE">
      <w:pPr>
        <w:spacing w:after="120" w:line="276" w:lineRule="auto"/>
        <w:ind w:left="720"/>
        <w:jc w:val="left"/>
        <w:rPr>
          <w:rFonts w:ascii="Times New Roman" w:hAnsi="Times New Roman"/>
          <w:bCs/>
          <w:i/>
          <w:sz w:val="24"/>
        </w:rPr>
      </w:pPr>
    </w:p>
    <w:p w14:paraId="3128090D" w14:textId="77777777" w:rsidR="0020540A" w:rsidRDefault="0020540A" w:rsidP="00323BCE">
      <w:pPr>
        <w:spacing w:after="120" w:line="276" w:lineRule="auto"/>
        <w:jc w:val="left"/>
        <w:rPr>
          <w:rFonts w:ascii="Times New Roman" w:hAnsi="Times New Roman"/>
          <w:sz w:val="24"/>
        </w:rPr>
      </w:pPr>
    </w:p>
    <w:p w14:paraId="677CDC63" w14:textId="32FC2CD3" w:rsidR="002F4C7D" w:rsidRPr="00EA1653" w:rsidRDefault="006B7EEF" w:rsidP="00CF2B62">
      <w:pPr>
        <w:spacing w:after="120" w:line="276" w:lineRule="auto"/>
        <w:ind w:left="3540" w:firstLine="708"/>
        <w:jc w:val="left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sz w:val="24"/>
        </w:rPr>
        <w:t>Circulated</w:t>
      </w:r>
      <w:r w:rsidR="0020540A">
        <w:rPr>
          <w:rFonts w:ascii="Times New Roman" w:hAnsi="Times New Roman"/>
          <w:sz w:val="24"/>
        </w:rPr>
        <w:t xml:space="preserve"> by the IASC Secretariat, </w:t>
      </w:r>
      <w:r>
        <w:rPr>
          <w:rFonts w:ascii="Times New Roman" w:hAnsi="Times New Roman"/>
          <w:sz w:val="24"/>
        </w:rPr>
        <w:t>22</w:t>
      </w:r>
      <w:r w:rsidR="00DF6388">
        <w:rPr>
          <w:rFonts w:ascii="Times New Roman" w:hAnsi="Times New Roman"/>
          <w:sz w:val="24"/>
        </w:rPr>
        <w:t xml:space="preserve"> April </w:t>
      </w:r>
      <w:r w:rsidR="002F4C7D">
        <w:rPr>
          <w:rFonts w:ascii="Times New Roman" w:hAnsi="Times New Roman"/>
          <w:sz w:val="24"/>
        </w:rPr>
        <w:t>2014</w:t>
      </w:r>
    </w:p>
    <w:sectPr w:rsidR="002F4C7D" w:rsidRPr="00EA1653" w:rsidSect="00866F4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7D38" w14:textId="77777777" w:rsidR="00144AC8" w:rsidRDefault="00144AC8" w:rsidP="00180B84">
      <w:pPr>
        <w:spacing w:line="240" w:lineRule="auto"/>
      </w:pPr>
      <w:r>
        <w:separator/>
      </w:r>
    </w:p>
  </w:endnote>
  <w:endnote w:type="continuationSeparator" w:id="0">
    <w:p w14:paraId="3297DCD0" w14:textId="77777777" w:rsidR="00144AC8" w:rsidRDefault="00144AC8" w:rsidP="00180B84">
      <w:pPr>
        <w:spacing w:line="240" w:lineRule="auto"/>
      </w:pPr>
      <w:r>
        <w:continuationSeparator/>
      </w:r>
    </w:p>
  </w:endnote>
  <w:endnote w:type="continuationNotice" w:id="1">
    <w:p w14:paraId="799D3AD5" w14:textId="77777777" w:rsidR="00144AC8" w:rsidRDefault="00144A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B74E" w14:textId="77777777" w:rsidR="002F4C7D" w:rsidRDefault="002F4C7D">
    <w:pPr>
      <w:pStyle w:val="Footer"/>
    </w:pPr>
  </w:p>
  <w:p w14:paraId="27C7F00C" w14:textId="77777777" w:rsidR="002F4C7D" w:rsidRDefault="002F4C7D" w:rsidP="00180B84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0697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0697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C2456" w14:textId="77777777" w:rsidR="00144AC8" w:rsidRDefault="00144AC8" w:rsidP="00180B84">
      <w:pPr>
        <w:spacing w:line="240" w:lineRule="auto"/>
      </w:pPr>
      <w:r>
        <w:separator/>
      </w:r>
    </w:p>
  </w:footnote>
  <w:footnote w:type="continuationSeparator" w:id="0">
    <w:p w14:paraId="4324B7B3" w14:textId="77777777" w:rsidR="00144AC8" w:rsidRDefault="00144AC8" w:rsidP="00180B84">
      <w:pPr>
        <w:spacing w:line="240" w:lineRule="auto"/>
      </w:pPr>
      <w:r>
        <w:continuationSeparator/>
      </w:r>
    </w:p>
  </w:footnote>
  <w:footnote w:type="continuationNotice" w:id="1">
    <w:p w14:paraId="38A3BA99" w14:textId="77777777" w:rsidR="00144AC8" w:rsidRDefault="00144A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FC30" w14:textId="77777777" w:rsidR="008C689E" w:rsidRDefault="008C6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C2"/>
    <w:multiLevelType w:val="hybridMultilevel"/>
    <w:tmpl w:val="6546C98E"/>
    <w:lvl w:ilvl="0" w:tplc="EDB03190">
      <w:start w:val="1"/>
      <w:numFmt w:val="bullet"/>
      <w:lvlText w:val="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535A"/>
    <w:multiLevelType w:val="hybridMultilevel"/>
    <w:tmpl w:val="F5045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95426"/>
    <w:multiLevelType w:val="hybridMultilevel"/>
    <w:tmpl w:val="96CEC7FA"/>
    <w:lvl w:ilvl="0" w:tplc="EDB03190">
      <w:start w:val="1"/>
      <w:numFmt w:val="bullet"/>
      <w:lvlText w:val="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6CA1"/>
    <w:multiLevelType w:val="hybridMultilevel"/>
    <w:tmpl w:val="7A1E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76B"/>
    <w:multiLevelType w:val="hybridMultilevel"/>
    <w:tmpl w:val="4FA8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3D6F"/>
    <w:multiLevelType w:val="hybridMultilevel"/>
    <w:tmpl w:val="F85CADD4"/>
    <w:lvl w:ilvl="0" w:tplc="44D0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 Freijsen">
    <w15:presenceInfo w15:providerId="AD" w15:userId="S-1-5-21-1057844386-222033783-881952445-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1"/>
    <w:rsid w:val="00023222"/>
    <w:rsid w:val="00055BEE"/>
    <w:rsid w:val="000B2DAB"/>
    <w:rsid w:val="000D7FA5"/>
    <w:rsid w:val="000F3967"/>
    <w:rsid w:val="00126A1F"/>
    <w:rsid w:val="00144AC8"/>
    <w:rsid w:val="00180B84"/>
    <w:rsid w:val="001C4617"/>
    <w:rsid w:val="001F7E05"/>
    <w:rsid w:val="0020540A"/>
    <w:rsid w:val="00210197"/>
    <w:rsid w:val="00292A8E"/>
    <w:rsid w:val="002A78C1"/>
    <w:rsid w:val="002B5FF1"/>
    <w:rsid w:val="002F4C7D"/>
    <w:rsid w:val="002F5FE9"/>
    <w:rsid w:val="002F6856"/>
    <w:rsid w:val="00323BCE"/>
    <w:rsid w:val="00357E70"/>
    <w:rsid w:val="00370FE3"/>
    <w:rsid w:val="003D2932"/>
    <w:rsid w:val="003E1E67"/>
    <w:rsid w:val="003F0CAD"/>
    <w:rsid w:val="003F63C0"/>
    <w:rsid w:val="004916BE"/>
    <w:rsid w:val="004E6FF5"/>
    <w:rsid w:val="005329CD"/>
    <w:rsid w:val="005337A1"/>
    <w:rsid w:val="00544197"/>
    <w:rsid w:val="005753F1"/>
    <w:rsid w:val="005A0AFA"/>
    <w:rsid w:val="005F1D04"/>
    <w:rsid w:val="005F3065"/>
    <w:rsid w:val="00614A2D"/>
    <w:rsid w:val="00621E99"/>
    <w:rsid w:val="00680700"/>
    <w:rsid w:val="00693338"/>
    <w:rsid w:val="006B7EEF"/>
    <w:rsid w:val="007130EB"/>
    <w:rsid w:val="007237C4"/>
    <w:rsid w:val="00734DA8"/>
    <w:rsid w:val="0073729A"/>
    <w:rsid w:val="00751DFC"/>
    <w:rsid w:val="007834E6"/>
    <w:rsid w:val="00793DC4"/>
    <w:rsid w:val="007D0E9A"/>
    <w:rsid w:val="007F1E0A"/>
    <w:rsid w:val="007F33A9"/>
    <w:rsid w:val="008526A9"/>
    <w:rsid w:val="0085331C"/>
    <w:rsid w:val="00855786"/>
    <w:rsid w:val="008612FF"/>
    <w:rsid w:val="00866F42"/>
    <w:rsid w:val="0087190A"/>
    <w:rsid w:val="0087319D"/>
    <w:rsid w:val="00874D98"/>
    <w:rsid w:val="00892DD7"/>
    <w:rsid w:val="008C689E"/>
    <w:rsid w:val="008D040C"/>
    <w:rsid w:val="008E1D7C"/>
    <w:rsid w:val="008F4FDE"/>
    <w:rsid w:val="00913FF3"/>
    <w:rsid w:val="00935F01"/>
    <w:rsid w:val="009625D3"/>
    <w:rsid w:val="009A7F01"/>
    <w:rsid w:val="009C5155"/>
    <w:rsid w:val="009D209D"/>
    <w:rsid w:val="00A208BB"/>
    <w:rsid w:val="00A619C8"/>
    <w:rsid w:val="00A77D50"/>
    <w:rsid w:val="00A81CAC"/>
    <w:rsid w:val="00AD74FB"/>
    <w:rsid w:val="00AF13F7"/>
    <w:rsid w:val="00B06976"/>
    <w:rsid w:val="00B22FFE"/>
    <w:rsid w:val="00B75854"/>
    <w:rsid w:val="00B809F6"/>
    <w:rsid w:val="00BA7DC8"/>
    <w:rsid w:val="00BB0D4F"/>
    <w:rsid w:val="00C018F3"/>
    <w:rsid w:val="00C01FDC"/>
    <w:rsid w:val="00C24A0E"/>
    <w:rsid w:val="00C42507"/>
    <w:rsid w:val="00C51CF4"/>
    <w:rsid w:val="00C866FD"/>
    <w:rsid w:val="00C913B4"/>
    <w:rsid w:val="00CA0B62"/>
    <w:rsid w:val="00CF2B62"/>
    <w:rsid w:val="00D10A54"/>
    <w:rsid w:val="00D13D47"/>
    <w:rsid w:val="00D27FB9"/>
    <w:rsid w:val="00D56786"/>
    <w:rsid w:val="00D86BC4"/>
    <w:rsid w:val="00D9240F"/>
    <w:rsid w:val="00DE1BEB"/>
    <w:rsid w:val="00DF6388"/>
    <w:rsid w:val="00E002BA"/>
    <w:rsid w:val="00E017E5"/>
    <w:rsid w:val="00E10283"/>
    <w:rsid w:val="00E657FA"/>
    <w:rsid w:val="00EA1653"/>
    <w:rsid w:val="00EB04A8"/>
    <w:rsid w:val="00EB0D43"/>
    <w:rsid w:val="00EB53BE"/>
    <w:rsid w:val="00EC5549"/>
    <w:rsid w:val="00EC781A"/>
    <w:rsid w:val="00ED2778"/>
    <w:rsid w:val="00EF720D"/>
    <w:rsid w:val="00F61521"/>
    <w:rsid w:val="00F67F01"/>
    <w:rsid w:val="00FA0FDA"/>
    <w:rsid w:val="00FF085B"/>
    <w:rsid w:val="00FF5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1"/>
    <w:pPr>
      <w:spacing w:line="280" w:lineRule="exact"/>
      <w:jc w:val="both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0A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5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753F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0A5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0A54"/>
    <w:rPr>
      <w:rFonts w:ascii="Tahoma" w:eastAsia="Times New Roman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10A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A54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0A54"/>
    <w:rPr>
      <w:rFonts w:ascii="Times" w:eastAsia="Times New Roman" w:hAnsi="Times"/>
      <w:b/>
    </w:rPr>
  </w:style>
  <w:style w:type="paragraph" w:customStyle="1" w:styleId="BoxTitle">
    <w:name w:val="Box Title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1E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1"/>
    <w:pPr>
      <w:spacing w:line="280" w:lineRule="exact"/>
      <w:jc w:val="both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0A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5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753F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0A5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0A54"/>
    <w:rPr>
      <w:rFonts w:ascii="Tahoma" w:eastAsia="Times New Roman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10A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A54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0A54"/>
    <w:rPr>
      <w:rFonts w:ascii="Times" w:eastAsia="Times New Roman" w:hAnsi="Times"/>
      <w:b/>
    </w:rPr>
  </w:style>
  <w:style w:type="paragraph" w:customStyle="1" w:styleId="BoxTitle">
    <w:name w:val="Box Title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180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8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84"/>
    <w:rPr>
      <w:rFonts w:ascii="Times" w:eastAsia="Times New Roman" w:hAnsi="Times" w:cs="Times New Roman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1E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9CB0-5C66-4735-B475-FCE5AC6F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Anticipated Action Points Philippines (based on the background documents, the requests from the HCT and the OPR recommendations):</vt:lpstr>
    </vt:vector>
  </TitlesOfParts>
  <Company>OHCHR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Anticipated Action Points Philippines (based on the background documents, the requests from the HCT and the OPR recommendations):</dc:title>
  <dc:creator>Birgit</dc:creator>
  <cp:lastModifiedBy>Tes Dimalanta</cp:lastModifiedBy>
  <cp:revision>8</cp:revision>
  <cp:lastPrinted>2014-04-22T16:57:00Z</cp:lastPrinted>
  <dcterms:created xsi:type="dcterms:W3CDTF">2014-04-21T20:15:00Z</dcterms:created>
  <dcterms:modified xsi:type="dcterms:W3CDTF">2014-04-22T16:59:00Z</dcterms:modified>
</cp:coreProperties>
</file>