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8D" w:rsidRPr="00E103B3" w:rsidRDefault="00C0268D" w:rsidP="00C026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u w:val="single"/>
        </w:rPr>
      </w:pPr>
      <w:r w:rsidRPr="00E103B3">
        <w:rPr>
          <w:rFonts w:ascii="Calibri" w:hAnsi="Calibri"/>
          <w:b/>
          <w:u w:val="single"/>
        </w:rPr>
        <w:t>IASC Sub-Working Group on Humanitarian Financing Meeting Notes</w:t>
      </w:r>
    </w:p>
    <w:p w:rsidR="00C0268D" w:rsidRPr="00E103B3" w:rsidRDefault="00E407BF" w:rsidP="00C026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i/>
        </w:rPr>
      </w:pPr>
      <w:r>
        <w:rPr>
          <w:rFonts w:ascii="Calibri" w:hAnsi="Calibri"/>
          <w:b/>
          <w:i/>
        </w:rPr>
        <w:t>28</w:t>
      </w:r>
      <w:r w:rsidR="009B7F6E">
        <w:rPr>
          <w:rFonts w:ascii="Calibri" w:hAnsi="Calibri"/>
          <w:b/>
          <w:i/>
        </w:rPr>
        <w:t xml:space="preserve"> November </w:t>
      </w:r>
      <w:r w:rsidR="00C0268D" w:rsidRPr="00E103B3">
        <w:rPr>
          <w:rFonts w:ascii="Calibri" w:hAnsi="Calibri"/>
          <w:b/>
          <w:i/>
        </w:rPr>
        <w:t>2012</w:t>
      </w:r>
    </w:p>
    <w:p w:rsidR="00C0268D" w:rsidRPr="00E103B3" w:rsidRDefault="00C0268D" w:rsidP="00C026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rPr>
      </w:pPr>
      <w:r w:rsidRPr="00E103B3">
        <w:rPr>
          <w:rFonts w:ascii="Calibri" w:hAnsi="Calibri"/>
          <w:b/>
        </w:rPr>
        <w:t>Chairs: Sandra Aviles, Steve O’Malley</w:t>
      </w:r>
    </w:p>
    <w:p w:rsidR="00C0268D" w:rsidRDefault="00C0268D" w:rsidP="00C0268D">
      <w:pPr>
        <w:spacing w:after="0" w:line="240" w:lineRule="auto"/>
        <w:jc w:val="both"/>
        <w:rPr>
          <w:rFonts w:cs="Calibri"/>
        </w:rPr>
      </w:pPr>
    </w:p>
    <w:p w:rsidR="009B7F6E" w:rsidRDefault="009B7F6E" w:rsidP="00C0268D">
      <w:pPr>
        <w:spacing w:after="0" w:line="240" w:lineRule="auto"/>
        <w:jc w:val="both"/>
        <w:rPr>
          <w:rFonts w:cs="Calibri"/>
          <w:b/>
        </w:rPr>
      </w:pPr>
    </w:p>
    <w:p w:rsidR="00C0268D" w:rsidRPr="009B7F6E" w:rsidRDefault="009B7F6E" w:rsidP="00C0268D">
      <w:pPr>
        <w:spacing w:after="0" w:line="240" w:lineRule="auto"/>
        <w:jc w:val="both"/>
        <w:rPr>
          <w:rFonts w:cs="Calibri"/>
          <w:b/>
        </w:rPr>
      </w:pPr>
      <w:r w:rsidRPr="009B7F6E">
        <w:rPr>
          <w:rFonts w:cs="Calibri"/>
          <w:b/>
        </w:rPr>
        <w:t>Agenda</w:t>
      </w:r>
      <w:r w:rsidR="00C0268D" w:rsidRPr="009B7F6E">
        <w:rPr>
          <w:rFonts w:cs="Calibri"/>
          <w:b/>
        </w:rPr>
        <w:t xml:space="preserve">: </w:t>
      </w:r>
    </w:p>
    <w:p w:rsidR="00C0268D" w:rsidRPr="00AF510F" w:rsidRDefault="00C0268D" w:rsidP="00C0268D">
      <w:pPr>
        <w:spacing w:after="0" w:line="240" w:lineRule="auto"/>
        <w:jc w:val="both"/>
        <w:rPr>
          <w:rFonts w:cs="Calibri"/>
        </w:rPr>
      </w:pPr>
    </w:p>
    <w:p w:rsidR="00C0268D" w:rsidRPr="00C0268D" w:rsidRDefault="00C0268D" w:rsidP="00C0268D">
      <w:pPr>
        <w:pStyle w:val="ListParagraph"/>
        <w:numPr>
          <w:ilvl w:val="0"/>
          <w:numId w:val="6"/>
        </w:numPr>
        <w:spacing w:after="0" w:line="240" w:lineRule="auto"/>
        <w:jc w:val="both"/>
        <w:rPr>
          <w:rFonts w:cs="Calibri"/>
        </w:rPr>
      </w:pPr>
      <w:r w:rsidRPr="00C0268D">
        <w:rPr>
          <w:rFonts w:cs="Calibri"/>
        </w:rPr>
        <w:t>Update on country-based pooled funds, including prepar</w:t>
      </w:r>
      <w:r w:rsidR="009E2048">
        <w:rPr>
          <w:rFonts w:cs="Calibri"/>
        </w:rPr>
        <w:t>ation</w:t>
      </w:r>
      <w:r w:rsidR="00887436">
        <w:rPr>
          <w:rFonts w:cs="Calibri"/>
        </w:rPr>
        <w:t>s</w:t>
      </w:r>
      <w:r w:rsidR="009E2048">
        <w:rPr>
          <w:rFonts w:cs="Calibri"/>
        </w:rPr>
        <w:t xml:space="preserve"> for the Pooled Funds</w:t>
      </w:r>
      <w:r w:rsidR="00891914">
        <w:rPr>
          <w:rFonts w:cs="Calibri"/>
        </w:rPr>
        <w:t xml:space="preserve"> WG</w:t>
      </w:r>
    </w:p>
    <w:p w:rsidR="00C0268D" w:rsidRPr="00C0268D" w:rsidRDefault="00C0268D" w:rsidP="00C0268D">
      <w:pPr>
        <w:spacing w:after="0" w:line="240" w:lineRule="auto"/>
        <w:jc w:val="both"/>
        <w:rPr>
          <w:rFonts w:cs="Calibri"/>
        </w:rPr>
      </w:pPr>
    </w:p>
    <w:p w:rsidR="00C0268D" w:rsidRPr="00C0268D" w:rsidRDefault="00891914" w:rsidP="00C0268D">
      <w:pPr>
        <w:pStyle w:val="ListParagraph"/>
        <w:numPr>
          <w:ilvl w:val="0"/>
          <w:numId w:val="6"/>
        </w:numPr>
        <w:spacing w:after="0" w:line="240" w:lineRule="auto"/>
        <w:jc w:val="both"/>
        <w:rPr>
          <w:rFonts w:cs="Calibri"/>
        </w:rPr>
      </w:pPr>
      <w:r>
        <w:rPr>
          <w:rFonts w:cs="Calibri"/>
        </w:rPr>
        <w:t>Readout from November IASC WG</w:t>
      </w:r>
    </w:p>
    <w:p w:rsidR="00C0268D" w:rsidRPr="00C0268D" w:rsidRDefault="00C0268D" w:rsidP="00C0268D">
      <w:pPr>
        <w:spacing w:after="0" w:line="240" w:lineRule="auto"/>
        <w:jc w:val="both"/>
        <w:rPr>
          <w:rFonts w:cs="Calibri"/>
        </w:rPr>
      </w:pPr>
    </w:p>
    <w:p w:rsidR="00C0268D" w:rsidRPr="00C0268D" w:rsidRDefault="00C0268D" w:rsidP="00C0268D">
      <w:pPr>
        <w:pStyle w:val="ListParagraph"/>
        <w:numPr>
          <w:ilvl w:val="0"/>
          <w:numId w:val="6"/>
        </w:numPr>
        <w:spacing w:after="0" w:line="240" w:lineRule="auto"/>
        <w:jc w:val="both"/>
        <w:rPr>
          <w:rFonts w:cs="Calibri"/>
        </w:rPr>
      </w:pPr>
      <w:r w:rsidRPr="00C0268D">
        <w:rPr>
          <w:rFonts w:cs="Calibri"/>
        </w:rPr>
        <w:t>Up</w:t>
      </w:r>
      <w:r w:rsidR="00891914">
        <w:rPr>
          <w:rFonts w:cs="Calibri"/>
        </w:rPr>
        <w:t>coming IASC Principals meeting</w:t>
      </w:r>
    </w:p>
    <w:p w:rsidR="00C0268D" w:rsidRPr="00C0268D" w:rsidRDefault="00C0268D" w:rsidP="00C0268D">
      <w:pPr>
        <w:spacing w:after="0" w:line="240" w:lineRule="auto"/>
        <w:jc w:val="both"/>
        <w:rPr>
          <w:rFonts w:cs="Calibri"/>
        </w:rPr>
      </w:pPr>
    </w:p>
    <w:p w:rsidR="00C0268D" w:rsidRPr="00C0268D" w:rsidRDefault="00891914" w:rsidP="00C0268D">
      <w:pPr>
        <w:pStyle w:val="ListParagraph"/>
        <w:numPr>
          <w:ilvl w:val="0"/>
          <w:numId w:val="6"/>
        </w:numPr>
        <w:spacing w:after="0" w:line="240" w:lineRule="auto"/>
        <w:jc w:val="both"/>
        <w:rPr>
          <w:rFonts w:cs="Calibri"/>
        </w:rPr>
      </w:pPr>
      <w:r>
        <w:rPr>
          <w:rFonts w:cs="Calibri"/>
        </w:rPr>
        <w:t>AOB</w:t>
      </w:r>
    </w:p>
    <w:p w:rsidR="00C0268D" w:rsidRDefault="00C0268D" w:rsidP="00C0268D">
      <w:pPr>
        <w:spacing w:after="0" w:line="240" w:lineRule="auto"/>
        <w:jc w:val="both"/>
        <w:rPr>
          <w:rFonts w:cs="Calibri"/>
        </w:rPr>
      </w:pPr>
    </w:p>
    <w:p w:rsidR="009B7F6E" w:rsidRDefault="009B7F6E" w:rsidP="00C0268D">
      <w:pPr>
        <w:spacing w:after="0" w:line="240" w:lineRule="auto"/>
        <w:jc w:val="both"/>
        <w:rPr>
          <w:rFonts w:cs="Calibri"/>
          <w:b/>
        </w:rPr>
      </w:pPr>
    </w:p>
    <w:p w:rsidR="00F4408F" w:rsidRPr="009B7F6E" w:rsidRDefault="009B7F6E" w:rsidP="00C0268D">
      <w:pPr>
        <w:spacing w:after="0" w:line="240" w:lineRule="auto"/>
        <w:jc w:val="both"/>
        <w:rPr>
          <w:rFonts w:cs="Calibri"/>
          <w:b/>
        </w:rPr>
      </w:pPr>
      <w:r w:rsidRPr="009B7F6E">
        <w:rPr>
          <w:rFonts w:cs="Calibri"/>
          <w:b/>
        </w:rPr>
        <w:t>Meeting notes:</w:t>
      </w:r>
    </w:p>
    <w:p w:rsidR="009B7F6E" w:rsidRPr="00C0268D" w:rsidRDefault="009B7F6E" w:rsidP="00C0268D">
      <w:pPr>
        <w:spacing w:after="0" w:line="240" w:lineRule="auto"/>
        <w:jc w:val="both"/>
        <w:rPr>
          <w:rFonts w:cs="Calibri"/>
        </w:rPr>
      </w:pPr>
    </w:p>
    <w:p w:rsidR="00C0268D" w:rsidRDefault="00C0268D" w:rsidP="00C0268D">
      <w:pPr>
        <w:pStyle w:val="ListParagraph"/>
        <w:numPr>
          <w:ilvl w:val="0"/>
          <w:numId w:val="7"/>
        </w:numPr>
        <w:spacing w:after="0" w:line="240" w:lineRule="auto"/>
        <w:jc w:val="both"/>
        <w:rPr>
          <w:rFonts w:cs="Calibri"/>
          <w:b/>
        </w:rPr>
      </w:pPr>
      <w:r w:rsidRPr="00C0268D">
        <w:rPr>
          <w:rFonts w:cs="Calibri"/>
          <w:b/>
        </w:rPr>
        <w:t>Update on country-based pooled funds, including pr</w:t>
      </w:r>
      <w:r w:rsidR="009E2048">
        <w:rPr>
          <w:rFonts w:cs="Calibri"/>
          <w:b/>
        </w:rPr>
        <w:t>eparation</w:t>
      </w:r>
      <w:r w:rsidR="00E407BF">
        <w:rPr>
          <w:rFonts w:cs="Calibri"/>
          <w:b/>
        </w:rPr>
        <w:t>s</w:t>
      </w:r>
      <w:r w:rsidR="009E2048">
        <w:rPr>
          <w:rFonts w:cs="Calibri"/>
          <w:b/>
        </w:rPr>
        <w:t xml:space="preserve"> for the Pooled Funds</w:t>
      </w:r>
      <w:r w:rsidRPr="00C0268D">
        <w:rPr>
          <w:rFonts w:cs="Calibri"/>
          <w:b/>
        </w:rPr>
        <w:t xml:space="preserve"> WG</w:t>
      </w:r>
    </w:p>
    <w:p w:rsidR="00C0268D" w:rsidRDefault="00C0268D" w:rsidP="00C0268D">
      <w:pPr>
        <w:spacing w:after="0" w:line="240" w:lineRule="auto"/>
        <w:jc w:val="both"/>
        <w:rPr>
          <w:rFonts w:cs="Calibri"/>
          <w:b/>
        </w:rPr>
      </w:pPr>
    </w:p>
    <w:p w:rsidR="00D72FD5" w:rsidRDefault="00D72FD5" w:rsidP="00FD1286">
      <w:pPr>
        <w:jc w:val="both"/>
      </w:pPr>
      <w:r>
        <w:t xml:space="preserve">The pooled funds working group meeting will take place on </w:t>
      </w:r>
      <w:r w:rsidR="00C0268D">
        <w:t xml:space="preserve">11 </w:t>
      </w:r>
      <w:r>
        <w:t xml:space="preserve">December </w:t>
      </w:r>
      <w:r w:rsidR="00C0268D">
        <w:t xml:space="preserve">in </w:t>
      </w:r>
      <w:r>
        <w:t>New York</w:t>
      </w:r>
      <w:r w:rsidR="00C0268D">
        <w:t xml:space="preserve">. </w:t>
      </w:r>
      <w:r>
        <w:t>The agenda items will include the update on CHF M&amp;R framework</w:t>
      </w:r>
      <w:r w:rsidR="00C0268D">
        <w:t xml:space="preserve">. </w:t>
      </w:r>
      <w:r>
        <w:t xml:space="preserve">OCHA has completed recruitment of M&amp;R staff, except </w:t>
      </w:r>
      <w:r w:rsidR="00B452E3">
        <w:t xml:space="preserve">in </w:t>
      </w:r>
      <w:r>
        <w:t>CAR. The framework will be rolled out in 2013</w:t>
      </w:r>
      <w:r w:rsidR="00887436">
        <w:t xml:space="preserve"> and making</w:t>
      </w:r>
      <w:r>
        <w:t xml:space="preserve"> it</w:t>
      </w:r>
      <w:r w:rsidR="00887436">
        <w:t xml:space="preserve"> fully operational in practice will still take time.</w:t>
      </w:r>
    </w:p>
    <w:p w:rsidR="00C0268D" w:rsidRDefault="00D72FD5" w:rsidP="00FD1286">
      <w:pPr>
        <w:jc w:val="both"/>
      </w:pPr>
      <w:r>
        <w:t xml:space="preserve">The agenda for the working group meeting also includes an update on the evaluation of CHFs in 2010. Another evaluation of CHFs is planned for 2013-2014. </w:t>
      </w:r>
    </w:p>
    <w:p w:rsidR="00C0268D" w:rsidRDefault="00936642" w:rsidP="00FD1286">
      <w:pPr>
        <w:jc w:val="both"/>
      </w:pPr>
      <w:r>
        <w:t>The ERF global evaluation is completed and consultants who worked on it will be available during the meeting for questions</w:t>
      </w:r>
      <w:r w:rsidR="00C0268D">
        <w:t xml:space="preserve">. </w:t>
      </w:r>
      <w:r>
        <w:t xml:space="preserve">The report from this evaluation is </w:t>
      </w:r>
      <w:r w:rsidR="00C0268D">
        <w:t xml:space="preserve">due </w:t>
      </w:r>
      <w:r>
        <w:t xml:space="preserve">at the </w:t>
      </w:r>
      <w:r w:rsidR="00C0268D">
        <w:t>beginning of December</w:t>
      </w:r>
      <w:r>
        <w:t xml:space="preserve"> and we </w:t>
      </w:r>
      <w:r w:rsidR="00C0268D">
        <w:t xml:space="preserve">will circulate it to this group. </w:t>
      </w:r>
    </w:p>
    <w:p w:rsidR="00C0268D" w:rsidRDefault="00936642" w:rsidP="00FD1286">
      <w:pPr>
        <w:jc w:val="both"/>
      </w:pPr>
      <w:r>
        <w:t>The preliminary</w:t>
      </w:r>
      <w:r w:rsidR="00C0268D">
        <w:t xml:space="preserve"> findings</w:t>
      </w:r>
      <w:r>
        <w:t xml:space="preserve"> indicate that ERFs are fit for purpose</w:t>
      </w:r>
      <w:r w:rsidR="00C0268D">
        <w:t>.</w:t>
      </w:r>
      <w:r>
        <w:t xml:space="preserve"> The recommendations are </w:t>
      </w:r>
      <w:r w:rsidR="00C0268D">
        <w:t>timely</w:t>
      </w:r>
      <w:r>
        <w:t xml:space="preserve"> and OCHA will be pleased to work on them</w:t>
      </w:r>
      <w:r w:rsidR="00C0268D">
        <w:t xml:space="preserve">. </w:t>
      </w:r>
    </w:p>
    <w:p w:rsidR="00447812" w:rsidRDefault="00447812" w:rsidP="00FD1286">
      <w:pPr>
        <w:jc w:val="both"/>
      </w:pPr>
      <w:r>
        <w:t xml:space="preserve">The Chair of the TT of Funding for Preparedness (FAO) will also provide an update of the Phase 2 country based study on the analysis of funding mechanisms and funding flows to enhance </w:t>
      </w:r>
      <w:r w:rsidR="00A1560A">
        <w:t>emergency preparedness</w:t>
      </w:r>
      <w:r>
        <w:t>.  The study is set to look at how emergency preparedness is being funded and where the gaps are, within 6 different country contexts. Among the mechanisms being reviewed for suitability to fund preparedness will be country based pooled funds.</w:t>
      </w:r>
    </w:p>
    <w:p w:rsidR="00C0268D" w:rsidRDefault="00936642" w:rsidP="00FD1286">
      <w:pPr>
        <w:jc w:val="both"/>
      </w:pPr>
      <w:r>
        <w:t xml:space="preserve">Another point on the agenda is the </w:t>
      </w:r>
      <w:r w:rsidR="00C0268D">
        <w:t>public info</w:t>
      </w:r>
      <w:r>
        <w:t>rmation</w:t>
      </w:r>
      <w:r w:rsidR="00C0268D">
        <w:t xml:space="preserve"> strategy for </w:t>
      </w:r>
      <w:r>
        <w:t xml:space="preserve">country-based </w:t>
      </w:r>
      <w:r w:rsidR="00C0268D">
        <w:t>pooled funds</w:t>
      </w:r>
      <w:r>
        <w:t xml:space="preserve">. The donors are very interested in seeing it </w:t>
      </w:r>
      <w:r w:rsidR="00B452E3">
        <w:t xml:space="preserve">and it </w:t>
      </w:r>
      <w:r>
        <w:t xml:space="preserve">will be useful for OCHA and </w:t>
      </w:r>
      <w:r w:rsidR="00C0268D">
        <w:t xml:space="preserve">partners. </w:t>
      </w:r>
      <w:r w:rsidR="006D1E48">
        <w:t>Most of our information products are in the field and it has never been systematised. This initiative aims at achieving a standard way of advocating for and publicizing country-based pooled funds.  Furthermore, w</w:t>
      </w:r>
      <w:r w:rsidR="00C0268D">
        <w:t>e want t</w:t>
      </w:r>
      <w:r w:rsidR="006D1E48">
        <w:t>o do a global report on country-</w:t>
      </w:r>
      <w:r w:rsidR="00C0268D">
        <w:t xml:space="preserve">based pooled funds. </w:t>
      </w:r>
    </w:p>
    <w:p w:rsidR="00C0268D" w:rsidRDefault="006D1E48" w:rsidP="00FD1286">
      <w:pPr>
        <w:jc w:val="both"/>
      </w:pPr>
      <w:r>
        <w:t xml:space="preserve">FAO commented that this is an excellent initiative and that agencies should be able to contribute to it. FAO also recommended that this strategy should </w:t>
      </w:r>
      <w:r w:rsidR="00B452E3">
        <w:t xml:space="preserve">also </w:t>
      </w:r>
      <w:r>
        <w:t xml:space="preserve">aim at attracting non-standard donors. </w:t>
      </w:r>
    </w:p>
    <w:p w:rsidR="00F4408F" w:rsidRDefault="00F4408F" w:rsidP="00FD1286">
      <w:pPr>
        <w:jc w:val="both"/>
      </w:pPr>
      <w:r>
        <w:lastRenderedPageBreak/>
        <w:t xml:space="preserve">UNDP observed that there is a parallel structure of UNDG group in management of humanitarian and development funds. It is very clear that we have less and less room for duplications and we should look into connecting these two mechanisms. </w:t>
      </w:r>
    </w:p>
    <w:p w:rsidR="00C0268D" w:rsidRDefault="00F4408F" w:rsidP="00FD1286">
      <w:pPr>
        <w:jc w:val="both"/>
      </w:pPr>
      <w:r>
        <w:t xml:space="preserve">FAO commented that pooled funds bring </w:t>
      </w:r>
      <w:r w:rsidR="006D1E48">
        <w:t xml:space="preserve">coherence </w:t>
      </w:r>
      <w:r w:rsidR="00C0268D">
        <w:t>between hum</w:t>
      </w:r>
      <w:r w:rsidR="00887436">
        <w:t>anitarian</w:t>
      </w:r>
      <w:r w:rsidR="00C0268D">
        <w:t xml:space="preserve"> and dev</w:t>
      </w:r>
      <w:r>
        <w:t>elopment funding and that this area should be further explored.</w:t>
      </w:r>
    </w:p>
    <w:p w:rsidR="00C0268D" w:rsidRDefault="00C0268D" w:rsidP="00FD1286">
      <w:pPr>
        <w:jc w:val="both"/>
      </w:pPr>
    </w:p>
    <w:p w:rsidR="00C0268D" w:rsidRPr="00F4408F" w:rsidRDefault="00C0268D" w:rsidP="00FD1286">
      <w:pPr>
        <w:jc w:val="both"/>
        <w:rPr>
          <w:b/>
        </w:rPr>
      </w:pPr>
      <w:r w:rsidRPr="00F4408F">
        <w:rPr>
          <w:b/>
        </w:rPr>
        <w:t xml:space="preserve">2. </w:t>
      </w:r>
      <w:r w:rsidR="00F4408F" w:rsidRPr="00F4408F">
        <w:rPr>
          <w:b/>
        </w:rPr>
        <w:t>Read</w:t>
      </w:r>
      <w:r w:rsidR="00F4408F">
        <w:rPr>
          <w:b/>
        </w:rPr>
        <w:t xml:space="preserve"> out from November IASC WG</w:t>
      </w:r>
    </w:p>
    <w:p w:rsidR="00D879AC" w:rsidRDefault="00F4408F" w:rsidP="00FD1286">
      <w:pPr>
        <w:jc w:val="both"/>
      </w:pPr>
      <w:r>
        <w:t>FAO provided an explanation of the proposed new structure of the IASC. The diagram</w:t>
      </w:r>
      <w:r w:rsidR="00D879AC">
        <w:t xml:space="preserve"> that</w:t>
      </w:r>
      <w:r>
        <w:t xml:space="preserve"> was shared with the </w:t>
      </w:r>
      <w:r w:rsidR="00D879AC">
        <w:t>SWG</w:t>
      </w:r>
      <w:r w:rsidR="00B452E3">
        <w:t xml:space="preserve"> on </w:t>
      </w:r>
      <w:r w:rsidR="00D879AC">
        <w:t>H</w:t>
      </w:r>
      <w:r w:rsidR="00B452E3">
        <w:t xml:space="preserve">umanitarian </w:t>
      </w:r>
      <w:r w:rsidR="00D879AC">
        <w:t>F</w:t>
      </w:r>
      <w:r w:rsidR="00B452E3">
        <w:t>inancing</w:t>
      </w:r>
      <w:r w:rsidR="00D879AC">
        <w:t xml:space="preserve"> </w:t>
      </w:r>
      <w:r>
        <w:t>represents the current priorities of</w:t>
      </w:r>
      <w:r w:rsidR="00C0268D">
        <w:t xml:space="preserve"> the </w:t>
      </w:r>
      <w:r w:rsidR="00D879AC">
        <w:t xml:space="preserve">IASC </w:t>
      </w:r>
      <w:r w:rsidR="00C0268D">
        <w:t xml:space="preserve">working group. </w:t>
      </w:r>
      <w:r w:rsidR="00D879AC">
        <w:t>It consists of the Principals Steering Group</w:t>
      </w:r>
      <w:proofErr w:type="gramStart"/>
      <w:r w:rsidR="00D879AC">
        <w:t>, ,</w:t>
      </w:r>
      <w:proofErr w:type="gramEnd"/>
      <w:r w:rsidR="00D879AC">
        <w:t xml:space="preserve"> TA Implementation Steering Group, Task Forces, Sub-Working groups and Expert Groups. </w:t>
      </w:r>
    </w:p>
    <w:p w:rsidR="00C0268D" w:rsidRDefault="00D879AC" w:rsidP="00FD1286">
      <w:pPr>
        <w:jc w:val="both"/>
      </w:pPr>
      <w:r>
        <w:t>The Humanitarian Financing (including aspects of CAP) and P</w:t>
      </w:r>
      <w:r w:rsidR="00C0268D">
        <w:t xml:space="preserve">reparedness </w:t>
      </w:r>
      <w:r>
        <w:t xml:space="preserve">remained </w:t>
      </w:r>
      <w:r w:rsidR="00C0268D">
        <w:t>as sub-working groups</w:t>
      </w:r>
      <w:r>
        <w:t xml:space="preserve"> in the new IASC structure</w:t>
      </w:r>
      <w:r w:rsidR="00C0268D">
        <w:t xml:space="preserve">. </w:t>
      </w:r>
      <w:r>
        <w:t xml:space="preserve">This is because these groups develop </w:t>
      </w:r>
      <w:r w:rsidR="00C0268D">
        <w:t xml:space="preserve">products that are </w:t>
      </w:r>
      <w:r>
        <w:t>consistently</w:t>
      </w:r>
      <w:r w:rsidR="00C0268D">
        <w:t xml:space="preserve"> important</w:t>
      </w:r>
      <w:r>
        <w:t xml:space="preserve"> for IASC work</w:t>
      </w:r>
      <w:r w:rsidR="00C0268D">
        <w:t xml:space="preserve">. The idea is to keep these mechanisms going as the motor of </w:t>
      </w:r>
      <w:r>
        <w:t>the humanitarian architecture</w:t>
      </w:r>
      <w:r w:rsidR="00C0268D">
        <w:t>. We still need to discuss what</w:t>
      </w:r>
      <w:r>
        <w:t xml:space="preserve"> it means</w:t>
      </w:r>
      <w:r w:rsidR="00C0268D">
        <w:t xml:space="preserve"> ‘including </w:t>
      </w:r>
      <w:r w:rsidR="00FD1286">
        <w:t>aspects</w:t>
      </w:r>
      <w:r w:rsidR="00C0268D">
        <w:t xml:space="preserve"> of CAP’. </w:t>
      </w:r>
    </w:p>
    <w:p w:rsidR="00C0268D" w:rsidRDefault="00C0268D" w:rsidP="00FD1286">
      <w:pPr>
        <w:jc w:val="both"/>
      </w:pPr>
      <w:r>
        <w:t xml:space="preserve">In essence it is </w:t>
      </w:r>
      <w:r w:rsidR="00D879AC">
        <w:t>a</w:t>
      </w:r>
      <w:r>
        <w:t xml:space="preserve"> flexible architecture with sub working groups and expert groups. When </w:t>
      </w:r>
      <w:r w:rsidR="006047C5">
        <w:t>the P</w:t>
      </w:r>
      <w:r w:rsidR="00447812">
        <w:t xml:space="preserve">rincipals and/or WG identify </w:t>
      </w:r>
      <w:r>
        <w:t xml:space="preserve">an issue </w:t>
      </w:r>
      <w:r w:rsidR="00447812">
        <w:t xml:space="preserve">which </w:t>
      </w:r>
      <w:r w:rsidR="006047C5">
        <w:t>is being dealt within</w:t>
      </w:r>
      <w:r w:rsidR="00447812">
        <w:t xml:space="preserve"> </w:t>
      </w:r>
      <w:r>
        <w:t>e</w:t>
      </w:r>
      <w:r w:rsidR="00887436">
        <w:t>xpert groups it then becomes a</w:t>
      </w:r>
      <w:r>
        <w:t xml:space="preserve"> task force. It is </w:t>
      </w:r>
      <w:r w:rsidR="00D879AC">
        <w:t xml:space="preserve">designed </w:t>
      </w:r>
      <w:r>
        <w:t xml:space="preserve">to be a living architecture. </w:t>
      </w:r>
    </w:p>
    <w:p w:rsidR="00891914" w:rsidRDefault="00887436" w:rsidP="00FD1286">
      <w:pPr>
        <w:jc w:val="both"/>
        <w:rPr>
          <w:b/>
        </w:rPr>
      </w:pPr>
      <w:r w:rsidRPr="00887436">
        <w:rPr>
          <w:b/>
        </w:rPr>
        <w:t>Action Points:</w:t>
      </w:r>
    </w:p>
    <w:p w:rsidR="00887436" w:rsidRPr="00887436" w:rsidRDefault="00887436" w:rsidP="00887436">
      <w:pPr>
        <w:pStyle w:val="ListParagraph"/>
        <w:numPr>
          <w:ilvl w:val="0"/>
          <w:numId w:val="8"/>
        </w:numPr>
        <w:jc w:val="both"/>
        <w:rPr>
          <w:b/>
        </w:rPr>
      </w:pPr>
      <w:r>
        <w:t>Clarify what does the note mean ‘including aspects of CAP’</w:t>
      </w:r>
      <w:r w:rsidR="009934F4">
        <w:t xml:space="preserve"> in the IASC structure</w:t>
      </w:r>
    </w:p>
    <w:p w:rsidR="00887436" w:rsidRPr="00887436" w:rsidRDefault="00887436" w:rsidP="00887436">
      <w:pPr>
        <w:pStyle w:val="ListParagraph"/>
        <w:jc w:val="both"/>
        <w:rPr>
          <w:b/>
        </w:rPr>
      </w:pPr>
    </w:p>
    <w:p w:rsidR="00891914" w:rsidRPr="00891914" w:rsidRDefault="00C0268D" w:rsidP="00FD1286">
      <w:pPr>
        <w:spacing w:after="0" w:line="240" w:lineRule="auto"/>
        <w:jc w:val="both"/>
        <w:rPr>
          <w:rFonts w:cs="Calibri"/>
          <w:b/>
        </w:rPr>
      </w:pPr>
      <w:r w:rsidRPr="00891914">
        <w:rPr>
          <w:b/>
        </w:rPr>
        <w:t xml:space="preserve">3. </w:t>
      </w:r>
      <w:r w:rsidR="00891914" w:rsidRPr="00891914">
        <w:rPr>
          <w:rFonts w:cs="Calibri"/>
          <w:b/>
        </w:rPr>
        <w:t>Upcoming IASC Principals meeting</w:t>
      </w:r>
    </w:p>
    <w:p w:rsidR="00891914" w:rsidRDefault="00891914" w:rsidP="00FD1286">
      <w:pPr>
        <w:jc w:val="both"/>
      </w:pPr>
    </w:p>
    <w:p w:rsidR="00C0268D" w:rsidRDefault="00E40D9C" w:rsidP="00FD1286">
      <w:pPr>
        <w:jc w:val="both"/>
      </w:pPr>
      <w:r>
        <w:t>IASC principal</w:t>
      </w:r>
      <w:r w:rsidR="00C0268D">
        <w:t>s</w:t>
      </w:r>
      <w:r>
        <w:t xml:space="preserve"> meeting will </w:t>
      </w:r>
      <w:r w:rsidR="00887436">
        <w:t>take place</w:t>
      </w:r>
      <w:r>
        <w:t xml:space="preserve"> in WFP</w:t>
      </w:r>
      <w:r w:rsidR="00C0268D">
        <w:t xml:space="preserve"> </w:t>
      </w:r>
      <w:r>
        <w:t xml:space="preserve">HQ </w:t>
      </w:r>
      <w:r w:rsidR="00C0268D">
        <w:t>on 13</w:t>
      </w:r>
      <w:r>
        <w:t>th</w:t>
      </w:r>
      <w:r w:rsidR="00C0268D">
        <w:t xml:space="preserve"> </w:t>
      </w:r>
      <w:r>
        <w:t>December, followed by the CAP launch on the 14th</w:t>
      </w:r>
      <w:r w:rsidR="00C0268D">
        <w:t xml:space="preserve">. </w:t>
      </w:r>
      <w:r>
        <w:t>T</w:t>
      </w:r>
      <w:r w:rsidR="00C0268D">
        <w:t xml:space="preserve">he ERC is keen on the humanitarian community engaging in the topic of resilience. There is a paper </w:t>
      </w:r>
      <w:r>
        <w:t xml:space="preserve">on lessons learned </w:t>
      </w:r>
      <w:r w:rsidR="00C0268D">
        <w:t xml:space="preserve">from </w:t>
      </w:r>
      <w:r>
        <w:t xml:space="preserve">the </w:t>
      </w:r>
      <w:r w:rsidR="00C0268D">
        <w:t>Sahel</w:t>
      </w:r>
      <w:r>
        <w:t xml:space="preserve"> response. This</w:t>
      </w:r>
      <w:r w:rsidR="00C0268D">
        <w:t xml:space="preserve"> report is possibly</w:t>
      </w:r>
      <w:r w:rsidR="00B452E3">
        <w:t xml:space="preserve"> going to be tabled at the principal</w:t>
      </w:r>
      <w:r w:rsidR="00C0268D">
        <w:t>s meet</w:t>
      </w:r>
      <w:r>
        <w:t xml:space="preserve">ing. </w:t>
      </w:r>
    </w:p>
    <w:p w:rsidR="00C0268D" w:rsidRDefault="00B452E3" w:rsidP="00FD1286">
      <w:pPr>
        <w:jc w:val="both"/>
      </w:pPr>
      <w:r>
        <w:t>There were</w:t>
      </w:r>
      <w:r w:rsidR="00C0268D">
        <w:t xml:space="preserve"> discussions in </w:t>
      </w:r>
      <w:r>
        <w:t xml:space="preserve">the </w:t>
      </w:r>
      <w:r w:rsidR="00C0268D">
        <w:t xml:space="preserve">WG and </w:t>
      </w:r>
      <w:r w:rsidR="006047C5">
        <w:t>‘</w:t>
      </w:r>
      <w:r w:rsidR="00C0268D">
        <w:t>frien</w:t>
      </w:r>
      <w:r>
        <w:t>ds of resilience group</w:t>
      </w:r>
      <w:r w:rsidR="006047C5">
        <w:t>’</w:t>
      </w:r>
      <w:r>
        <w:t xml:space="preserve"> on how resilience</w:t>
      </w:r>
      <w:r w:rsidR="00C0268D">
        <w:t xml:space="preserve"> touches </w:t>
      </w:r>
      <w:r w:rsidR="00E40D9C">
        <w:t xml:space="preserve">on </w:t>
      </w:r>
      <w:r w:rsidR="00C0268D">
        <w:t xml:space="preserve">humanitarian financing. </w:t>
      </w:r>
      <w:r w:rsidR="00E40D9C">
        <w:t xml:space="preserve">The </w:t>
      </w:r>
      <w:r w:rsidR="00C0268D">
        <w:t>donors are working on making hum</w:t>
      </w:r>
      <w:r w:rsidR="009934F4">
        <w:t>anitar</w:t>
      </w:r>
      <w:r w:rsidR="006047C5">
        <w:t>i</w:t>
      </w:r>
      <w:r w:rsidR="009934F4">
        <w:t>an</w:t>
      </w:r>
      <w:r w:rsidR="00C0268D">
        <w:t xml:space="preserve"> fin</w:t>
      </w:r>
      <w:r w:rsidR="00E40D9C">
        <w:t>ancing</w:t>
      </w:r>
      <w:r w:rsidR="00C909F5">
        <w:t xml:space="preserve"> instruments more flexible</w:t>
      </w:r>
      <w:r w:rsidR="006047C5">
        <w:t>, including some piloting on</w:t>
      </w:r>
      <w:r w:rsidR="00C0268D">
        <w:t xml:space="preserve"> </w:t>
      </w:r>
      <w:r w:rsidR="00E40D9C">
        <w:t>multiyear</w:t>
      </w:r>
      <w:r w:rsidR="00C0268D">
        <w:t xml:space="preserve"> funding. </w:t>
      </w:r>
    </w:p>
    <w:p w:rsidR="00C0268D" w:rsidRDefault="00C0268D" w:rsidP="00FD1286">
      <w:pPr>
        <w:jc w:val="both"/>
      </w:pPr>
      <w:r>
        <w:t xml:space="preserve">We are hoping </w:t>
      </w:r>
      <w:r w:rsidR="00E40D9C">
        <w:t>that</w:t>
      </w:r>
      <w:r w:rsidR="005A50E8">
        <w:t xml:space="preserve"> important inputs to the discussion on humanitarian financing instruments will be brought</w:t>
      </w:r>
      <w:r w:rsidR="00E40D9C">
        <w:t xml:space="preserve"> </w:t>
      </w:r>
      <w:r w:rsidR="005A50E8">
        <w:t xml:space="preserve">by </w:t>
      </w:r>
      <w:r>
        <w:t xml:space="preserve">the study </w:t>
      </w:r>
      <w:r w:rsidR="00E40D9C">
        <w:t>on resilience</w:t>
      </w:r>
      <w:r w:rsidR="005A50E8">
        <w:t>.</w:t>
      </w:r>
      <w:r w:rsidR="00E40D9C">
        <w:t xml:space="preserve"> </w:t>
      </w:r>
      <w:r w:rsidR="005A50E8">
        <w:t xml:space="preserve">We look at these issues more critically and they </w:t>
      </w:r>
      <w:r w:rsidR="00B452E3">
        <w:t xml:space="preserve">will be </w:t>
      </w:r>
      <w:r>
        <w:t>tabl</w:t>
      </w:r>
      <w:r w:rsidR="005A50E8">
        <w:t xml:space="preserve">ed in this </w:t>
      </w:r>
      <w:r w:rsidR="00B452E3">
        <w:t>meeting</w:t>
      </w:r>
      <w:r w:rsidR="005A50E8">
        <w:t>.</w:t>
      </w:r>
      <w:bookmarkStart w:id="0" w:name="_GoBack"/>
      <w:bookmarkEnd w:id="0"/>
    </w:p>
    <w:p w:rsidR="00C0268D" w:rsidRDefault="00C0268D" w:rsidP="00FD1286">
      <w:pPr>
        <w:jc w:val="both"/>
      </w:pPr>
      <w:r>
        <w:t>The</w:t>
      </w:r>
      <w:r w:rsidR="00954B28">
        <w:t xml:space="preserve"> humanitarian funding continues to decrease. The question of</w:t>
      </w:r>
      <w:r>
        <w:t xml:space="preserve"> less money but with more impact</w:t>
      </w:r>
      <w:r w:rsidR="00954B28">
        <w:t xml:space="preserve"> will have to be looked into</w:t>
      </w:r>
      <w:r>
        <w:t xml:space="preserve">. </w:t>
      </w:r>
      <w:r w:rsidR="00954B28">
        <w:t xml:space="preserve">We should reach </w:t>
      </w:r>
      <w:r>
        <w:t xml:space="preserve">out to other partners and </w:t>
      </w:r>
      <w:r w:rsidR="00954B28">
        <w:t>non-traditional</w:t>
      </w:r>
      <w:r>
        <w:t xml:space="preserve"> donors.</w:t>
      </w:r>
    </w:p>
    <w:p w:rsidR="00C0268D" w:rsidRDefault="00C0268D" w:rsidP="00FD1286">
      <w:pPr>
        <w:jc w:val="both"/>
      </w:pPr>
      <w:r>
        <w:lastRenderedPageBreak/>
        <w:t>We are in contact with</w:t>
      </w:r>
      <w:r w:rsidR="00B452E3">
        <w:t xml:space="preserve"> the</w:t>
      </w:r>
      <w:r>
        <w:t xml:space="preserve"> mission of Denmark for the </w:t>
      </w:r>
      <w:r w:rsidR="00954B28">
        <w:t>launching of phase</w:t>
      </w:r>
      <w:r>
        <w:t xml:space="preserve"> two </w:t>
      </w:r>
      <w:r w:rsidR="00954B28">
        <w:t>study on preparedness</w:t>
      </w:r>
      <w:r>
        <w:t xml:space="preserve">. They accepted to host </w:t>
      </w:r>
      <w:r w:rsidR="00954B28">
        <w:t>Sandra Aviles</w:t>
      </w:r>
      <w:r w:rsidR="006047C5">
        <w:t xml:space="preserve"> from FAO</w:t>
      </w:r>
      <w:r w:rsidR="00954B28">
        <w:t xml:space="preserve"> and ODI</w:t>
      </w:r>
      <w:r>
        <w:t xml:space="preserve"> consultant</w:t>
      </w:r>
      <w:r w:rsidR="006047C5">
        <w:t>s</w:t>
      </w:r>
      <w:r>
        <w:t xml:space="preserve"> for presentation of phase two report and paper on </w:t>
      </w:r>
      <w:r w:rsidR="00954B28">
        <w:t>resilience</w:t>
      </w:r>
      <w:r>
        <w:t xml:space="preserve">. </w:t>
      </w:r>
    </w:p>
    <w:p w:rsidR="00B452E3" w:rsidRDefault="006047C5" w:rsidP="00FD1286">
      <w:pPr>
        <w:jc w:val="both"/>
        <w:rPr>
          <w:b/>
        </w:rPr>
      </w:pPr>
      <w:r>
        <w:t>The TT</w:t>
      </w:r>
      <w:r w:rsidR="00A1560A">
        <w:t xml:space="preserve"> </w:t>
      </w:r>
      <w:r>
        <w:t xml:space="preserve">on Funding Preparedness </w:t>
      </w:r>
      <w:r w:rsidR="00C0268D">
        <w:t>will organise a meeting of hum</w:t>
      </w:r>
      <w:r w:rsidR="00B452E3">
        <w:t>anitarian</w:t>
      </w:r>
      <w:r w:rsidR="00C0268D">
        <w:t xml:space="preserve"> and dev</w:t>
      </w:r>
      <w:r w:rsidR="00954B28">
        <w:t>elopment</w:t>
      </w:r>
      <w:r w:rsidR="00C0268D">
        <w:t xml:space="preserve"> donors</w:t>
      </w:r>
      <w:r w:rsidR="00954B28">
        <w:t xml:space="preserve"> in the spring of 2013</w:t>
      </w:r>
      <w:r w:rsidR="00C0268D">
        <w:t>.</w:t>
      </w:r>
      <w:r w:rsidR="00954B28">
        <w:t>The idea is to invite representatives from the</w:t>
      </w:r>
      <w:r w:rsidR="00C0268D">
        <w:t xml:space="preserve"> same donors but from their hum</w:t>
      </w:r>
      <w:r w:rsidR="00954B28">
        <w:t>anitarian</w:t>
      </w:r>
      <w:r w:rsidR="00C0268D">
        <w:t xml:space="preserve"> and dev</w:t>
      </w:r>
      <w:r w:rsidR="00954B28">
        <w:t>elopment</w:t>
      </w:r>
      <w:r w:rsidR="00C0268D">
        <w:t xml:space="preserve"> departments to discuss some of the preliminary proposals </w:t>
      </w:r>
      <w:r>
        <w:t xml:space="preserve">emerging from the country studies and </w:t>
      </w:r>
      <w:r w:rsidR="00C0268D">
        <w:t xml:space="preserve">that will be put on the table. </w:t>
      </w:r>
    </w:p>
    <w:p w:rsidR="00A1560A" w:rsidRDefault="00A1560A" w:rsidP="00FD1286">
      <w:pPr>
        <w:jc w:val="both"/>
        <w:rPr>
          <w:b/>
        </w:rPr>
      </w:pPr>
    </w:p>
    <w:p w:rsidR="00C0268D" w:rsidRPr="00AF0917" w:rsidRDefault="00AF0917" w:rsidP="00FD1286">
      <w:pPr>
        <w:jc w:val="both"/>
        <w:rPr>
          <w:b/>
        </w:rPr>
      </w:pPr>
      <w:r w:rsidRPr="00AF0917">
        <w:rPr>
          <w:b/>
        </w:rPr>
        <w:t xml:space="preserve">4. </w:t>
      </w:r>
      <w:r w:rsidR="00C0268D" w:rsidRPr="00AF0917">
        <w:rPr>
          <w:b/>
        </w:rPr>
        <w:t>AOB</w:t>
      </w:r>
    </w:p>
    <w:p w:rsidR="00C0268D" w:rsidRDefault="006047C5" w:rsidP="00FD1286">
      <w:pPr>
        <w:jc w:val="both"/>
      </w:pPr>
      <w:r>
        <w:t xml:space="preserve">UNICEF raised the issue of the </w:t>
      </w:r>
      <w:r w:rsidR="00B452E3">
        <w:t>FTS</w:t>
      </w:r>
      <w:r>
        <w:t>. It</w:t>
      </w:r>
      <w:r w:rsidR="00B452E3">
        <w:t xml:space="preserve"> was discussed during the annual consultations on the CERF with UNICEF. The </w:t>
      </w:r>
      <w:r w:rsidR="00C0268D">
        <w:t xml:space="preserve">point still stands that we need to look very carefully into how we can </w:t>
      </w:r>
      <w:r w:rsidR="00B452E3">
        <w:t xml:space="preserve">join efforts </w:t>
      </w:r>
      <w:r w:rsidR="00C0268D">
        <w:t xml:space="preserve">to improve FTS. Donors and agencies keep </w:t>
      </w:r>
      <w:r w:rsidR="00F836FB">
        <w:t xml:space="preserve">complaining </w:t>
      </w:r>
      <w:r w:rsidR="00B452E3">
        <w:t xml:space="preserve">that the funding </w:t>
      </w:r>
      <w:r w:rsidR="00C0268D">
        <w:t xml:space="preserve">figures </w:t>
      </w:r>
      <w:r w:rsidR="00B452E3">
        <w:t xml:space="preserve">on FTS do </w:t>
      </w:r>
      <w:r w:rsidR="00C0268D">
        <w:t xml:space="preserve">not match. </w:t>
      </w:r>
    </w:p>
    <w:p w:rsidR="00C0268D" w:rsidRDefault="001741D0" w:rsidP="00FD1286">
      <w:pPr>
        <w:jc w:val="both"/>
      </w:pPr>
      <w:r>
        <w:t xml:space="preserve">It was agreed that this issue should be </w:t>
      </w:r>
      <w:r w:rsidR="00C0268D">
        <w:t xml:space="preserve">collectively looked into by this group. </w:t>
      </w:r>
      <w:r>
        <w:t xml:space="preserve">The CAP section should draft a short </w:t>
      </w:r>
      <w:r w:rsidR="006047C5">
        <w:t xml:space="preserve">options </w:t>
      </w:r>
      <w:r>
        <w:t xml:space="preserve">paper with problem statement. The group could then look into various options to address these issues. </w:t>
      </w:r>
    </w:p>
    <w:p w:rsidR="00FD1286" w:rsidRDefault="001741D0" w:rsidP="00FD1286">
      <w:pPr>
        <w:jc w:val="both"/>
      </w:pPr>
      <w:r>
        <w:t>Since there will be no meeting in December, the group agreed that each agency should put in writing all issues that they face with FTS</w:t>
      </w:r>
      <w:r w:rsidR="00F836FB">
        <w:t xml:space="preserve"> by the end of</w:t>
      </w:r>
      <w:r>
        <w:t xml:space="preserve"> December. FTS should then compile these comments and present the paper to the group. The group will then review it and agree on action points that need to be taken.   </w:t>
      </w:r>
    </w:p>
    <w:p w:rsidR="00C0268D" w:rsidRDefault="006047C5" w:rsidP="00FD1286">
      <w:pPr>
        <w:jc w:val="both"/>
      </w:pPr>
      <w:r>
        <w:t>Steve O’Malley reminded the SWG that t</w:t>
      </w:r>
      <w:r w:rsidR="001741D0">
        <w:t>he CERF High Level Conference</w:t>
      </w:r>
      <w:r w:rsidR="00C0268D">
        <w:t xml:space="preserve"> will take place on 11 </w:t>
      </w:r>
      <w:r w:rsidR="001741D0">
        <w:t>December in New York. The event will be reduced from two days to one</w:t>
      </w:r>
      <w:r w:rsidR="00C0268D">
        <w:t xml:space="preserve">. </w:t>
      </w:r>
      <w:r w:rsidR="001741D0">
        <w:t xml:space="preserve">The </w:t>
      </w:r>
      <w:r w:rsidR="00C0268D">
        <w:t xml:space="preserve">SG, </w:t>
      </w:r>
      <w:r w:rsidR="00F836FB">
        <w:t>ERC and</w:t>
      </w:r>
      <w:r w:rsidR="001741D0">
        <w:t xml:space="preserve"> regional HC for Sahel will participate. </w:t>
      </w:r>
      <w:r w:rsidR="00C0268D">
        <w:t xml:space="preserve">Following </w:t>
      </w:r>
      <w:r w:rsidR="001741D0">
        <w:t xml:space="preserve">the presentations and </w:t>
      </w:r>
      <w:r w:rsidR="009934F4">
        <w:t xml:space="preserve">a </w:t>
      </w:r>
      <w:r w:rsidR="001741D0">
        <w:t xml:space="preserve">film, </w:t>
      </w:r>
      <w:r w:rsidR="00C0268D">
        <w:t>there will be the pledging part</w:t>
      </w:r>
      <w:r w:rsidR="001741D0">
        <w:t xml:space="preserve"> </w:t>
      </w:r>
      <w:r w:rsidR="009934F4">
        <w:t>to</w:t>
      </w:r>
      <w:r w:rsidR="001741D0">
        <w:t xml:space="preserve"> the CERF in 2013. The conference</w:t>
      </w:r>
      <w:r w:rsidR="00C0268D">
        <w:t xml:space="preserve"> will be shorter and tighter</w:t>
      </w:r>
      <w:r w:rsidR="001741D0">
        <w:t xml:space="preserve"> than in the previous years</w:t>
      </w:r>
      <w:r w:rsidR="00C0268D">
        <w:t>.</w:t>
      </w:r>
    </w:p>
    <w:p w:rsidR="00C0268D" w:rsidRDefault="001741D0" w:rsidP="00FD1286">
      <w:pPr>
        <w:jc w:val="both"/>
      </w:pPr>
      <w:r>
        <w:t>I</w:t>
      </w:r>
      <w:r w:rsidR="00C0268D">
        <w:t>nteraction</w:t>
      </w:r>
      <w:r>
        <w:t xml:space="preserve"> inquired about the </w:t>
      </w:r>
      <w:r w:rsidR="00C0268D">
        <w:t xml:space="preserve">programme cycle reference module. </w:t>
      </w:r>
      <w:r>
        <w:t xml:space="preserve">This paper is already behind the deadline and it will have to be followed up on with the Chief of </w:t>
      </w:r>
      <w:r w:rsidR="00F836FB">
        <w:t xml:space="preserve">the </w:t>
      </w:r>
      <w:r>
        <w:t xml:space="preserve">Programme Support Branch. </w:t>
      </w:r>
    </w:p>
    <w:p w:rsidR="00954B28" w:rsidRDefault="00FD1286" w:rsidP="00FD1286">
      <w:pPr>
        <w:jc w:val="both"/>
      </w:pPr>
      <w:r>
        <w:t xml:space="preserve">UNICEF commented that the draft </w:t>
      </w:r>
      <w:r w:rsidR="00C909F5">
        <w:t>chapeau to</w:t>
      </w:r>
      <w:r w:rsidR="006047C5">
        <w:t xml:space="preserve"> the CAP document </w:t>
      </w:r>
      <w:r w:rsidR="00954B28">
        <w:t xml:space="preserve">is </w:t>
      </w:r>
      <w:r>
        <w:t>pre-emptive to many of current discussions, such as on multiyear CAPs</w:t>
      </w:r>
      <w:r w:rsidR="00954B28">
        <w:t>. We need to tailor the language</w:t>
      </w:r>
      <w:r w:rsidR="009934F4">
        <w:t xml:space="preserve"> in it</w:t>
      </w:r>
      <w:r w:rsidR="00954B28">
        <w:t xml:space="preserve"> a bit better</w:t>
      </w:r>
      <w:r>
        <w:t xml:space="preserve"> as many of these </w:t>
      </w:r>
      <w:r w:rsidR="00954B28">
        <w:t xml:space="preserve">discussions are only just beginning. </w:t>
      </w:r>
    </w:p>
    <w:p w:rsidR="00F836FB" w:rsidRDefault="00F836FB" w:rsidP="00F836FB">
      <w:pPr>
        <w:jc w:val="both"/>
        <w:rPr>
          <w:b/>
        </w:rPr>
      </w:pPr>
      <w:r w:rsidRPr="00887436">
        <w:rPr>
          <w:b/>
        </w:rPr>
        <w:t>Action Points:</w:t>
      </w:r>
    </w:p>
    <w:p w:rsidR="00C0268D" w:rsidRPr="00F836FB" w:rsidRDefault="00F836FB" w:rsidP="00F836FB">
      <w:pPr>
        <w:pStyle w:val="ListParagraph"/>
        <w:numPr>
          <w:ilvl w:val="0"/>
          <w:numId w:val="8"/>
        </w:numPr>
        <w:spacing w:after="0" w:line="240" w:lineRule="auto"/>
        <w:jc w:val="both"/>
        <w:rPr>
          <w:rFonts w:cs="Calibri"/>
          <w:b/>
        </w:rPr>
      </w:pPr>
      <w:r>
        <w:rPr>
          <w:rFonts w:cs="Calibri"/>
        </w:rPr>
        <w:t>Members of the group to submit comments on FTS to the FTS manager</w:t>
      </w:r>
    </w:p>
    <w:p w:rsidR="00F836FB" w:rsidRPr="00F836FB" w:rsidRDefault="00F836FB" w:rsidP="00F836FB">
      <w:pPr>
        <w:pStyle w:val="ListParagraph"/>
        <w:numPr>
          <w:ilvl w:val="0"/>
          <w:numId w:val="8"/>
        </w:numPr>
        <w:spacing w:after="0" w:line="240" w:lineRule="auto"/>
        <w:jc w:val="both"/>
        <w:rPr>
          <w:rFonts w:cs="Calibri"/>
          <w:b/>
        </w:rPr>
      </w:pPr>
      <w:r>
        <w:rPr>
          <w:rFonts w:cs="Calibri"/>
        </w:rPr>
        <w:t>FTS to compile these comments and present a paper on ways forward to the group</w:t>
      </w:r>
    </w:p>
    <w:p w:rsidR="00F836FB" w:rsidRPr="00F836FB" w:rsidRDefault="00F836FB" w:rsidP="00F836FB">
      <w:pPr>
        <w:pStyle w:val="ListParagraph"/>
        <w:numPr>
          <w:ilvl w:val="0"/>
          <w:numId w:val="8"/>
        </w:numPr>
        <w:spacing w:after="0" w:line="240" w:lineRule="auto"/>
        <w:jc w:val="both"/>
        <w:rPr>
          <w:rFonts w:cs="Calibri"/>
          <w:b/>
        </w:rPr>
      </w:pPr>
      <w:r>
        <w:rPr>
          <w:rFonts w:cs="Calibri"/>
        </w:rPr>
        <w:t xml:space="preserve">Sandra Aviles to follow up with </w:t>
      </w:r>
      <w:r>
        <w:t>the Chief of the Programme Support Branch on the programme cycle reference module</w:t>
      </w:r>
    </w:p>
    <w:p w:rsidR="00FD1286" w:rsidRDefault="00FD1286">
      <w:pPr>
        <w:rPr>
          <w:rFonts w:cs="Calibri"/>
        </w:rPr>
      </w:pPr>
      <w:r>
        <w:rPr>
          <w:rFonts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2425"/>
        <w:gridCol w:w="3347"/>
      </w:tblGrid>
      <w:tr w:rsidR="00FD1286" w:rsidRPr="00E103B3" w:rsidTr="00F64E4D">
        <w:trPr>
          <w:trHeight w:val="315"/>
        </w:trPr>
        <w:tc>
          <w:tcPr>
            <w:tcW w:w="5000" w:type="pct"/>
            <w:gridSpan w:val="3"/>
            <w:shd w:val="clear" w:color="auto" w:fill="auto"/>
          </w:tcPr>
          <w:p w:rsidR="00FD1286" w:rsidRPr="00E103B3" w:rsidRDefault="00FD1286" w:rsidP="00447812">
            <w:pPr>
              <w:spacing w:after="0" w:line="240" w:lineRule="auto"/>
              <w:jc w:val="center"/>
              <w:rPr>
                <w:b/>
                <w:bCs/>
              </w:rPr>
            </w:pPr>
            <w:r w:rsidRPr="00E103B3">
              <w:rPr>
                <w:b/>
                <w:bCs/>
              </w:rPr>
              <w:lastRenderedPageBreak/>
              <w:t>PARTICIPANTS</w:t>
            </w: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 xml:space="preserve">New York </w:t>
            </w:r>
          </w:p>
        </w:tc>
        <w:tc>
          <w:tcPr>
            <w:tcW w:w="1312" w:type="pct"/>
            <w:shd w:val="clear" w:color="auto" w:fill="auto"/>
          </w:tcPr>
          <w:p w:rsidR="00FD1286" w:rsidRPr="00E103B3" w:rsidRDefault="00FD1286" w:rsidP="00447812">
            <w:pPr>
              <w:spacing w:after="0" w:line="240" w:lineRule="auto"/>
            </w:pPr>
            <w:r w:rsidRPr="00E103B3">
              <w:t>OCHA</w:t>
            </w:r>
          </w:p>
        </w:tc>
        <w:tc>
          <w:tcPr>
            <w:tcW w:w="1811" w:type="pct"/>
            <w:shd w:val="clear" w:color="auto" w:fill="auto"/>
            <w:vAlign w:val="bottom"/>
          </w:tcPr>
          <w:p w:rsidR="00FD1286" w:rsidRPr="00E103B3" w:rsidRDefault="00FD1286" w:rsidP="00447812">
            <w:pPr>
              <w:spacing w:after="0" w:line="240" w:lineRule="auto"/>
            </w:pPr>
            <w:r w:rsidRPr="00E103B3">
              <w:t>Steve O’Malley</w:t>
            </w: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 </w:t>
            </w:r>
          </w:p>
        </w:tc>
        <w:tc>
          <w:tcPr>
            <w:tcW w:w="1312" w:type="pct"/>
            <w:shd w:val="clear" w:color="auto" w:fill="auto"/>
          </w:tcPr>
          <w:p w:rsidR="00FD1286" w:rsidRPr="00E103B3" w:rsidRDefault="00FD1286" w:rsidP="00447812">
            <w:pPr>
              <w:spacing w:after="0" w:line="240" w:lineRule="auto"/>
            </w:pPr>
            <w:r w:rsidRPr="00E103B3">
              <w:t>OCHA</w:t>
            </w:r>
          </w:p>
        </w:tc>
        <w:tc>
          <w:tcPr>
            <w:tcW w:w="1811" w:type="pct"/>
            <w:shd w:val="clear" w:color="auto" w:fill="auto"/>
          </w:tcPr>
          <w:p w:rsidR="00FD1286" w:rsidRPr="00E103B3" w:rsidRDefault="00FD1286" w:rsidP="00447812">
            <w:pPr>
              <w:spacing w:after="0" w:line="240" w:lineRule="auto"/>
            </w:pPr>
            <w:r w:rsidRPr="00E103B3">
              <w:t>Michael Jensen</w:t>
            </w: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 </w:t>
            </w:r>
          </w:p>
        </w:tc>
        <w:tc>
          <w:tcPr>
            <w:tcW w:w="1312" w:type="pct"/>
            <w:shd w:val="clear" w:color="auto" w:fill="auto"/>
          </w:tcPr>
          <w:p w:rsidR="00FD1286" w:rsidRPr="00E103B3" w:rsidRDefault="00FD1286" w:rsidP="00447812">
            <w:pPr>
              <w:spacing w:after="0" w:line="240" w:lineRule="auto"/>
            </w:pPr>
            <w:r w:rsidRPr="00E103B3">
              <w:t>OCHA</w:t>
            </w:r>
          </w:p>
        </w:tc>
        <w:tc>
          <w:tcPr>
            <w:tcW w:w="1811" w:type="pct"/>
            <w:shd w:val="clear" w:color="auto" w:fill="auto"/>
            <w:noWrap/>
          </w:tcPr>
          <w:p w:rsidR="00FD1286" w:rsidRPr="00E103B3" w:rsidRDefault="00FD1286" w:rsidP="00447812">
            <w:pPr>
              <w:spacing w:after="0" w:line="240" w:lineRule="auto"/>
            </w:pPr>
            <w:proofErr w:type="spellStart"/>
            <w:r>
              <w:t>Sanjana</w:t>
            </w:r>
            <w:proofErr w:type="spellEnd"/>
            <w:r>
              <w:t xml:space="preserve"> </w:t>
            </w:r>
            <w:proofErr w:type="spellStart"/>
            <w:r>
              <w:t>Quazi</w:t>
            </w:r>
            <w:proofErr w:type="spellEnd"/>
          </w:p>
        </w:tc>
      </w:tr>
      <w:tr w:rsidR="00FD1286" w:rsidRPr="00E103B3" w:rsidTr="00F64E4D">
        <w:trPr>
          <w:trHeight w:val="52"/>
        </w:trPr>
        <w:tc>
          <w:tcPr>
            <w:tcW w:w="1877" w:type="pct"/>
            <w:shd w:val="clear" w:color="auto" w:fill="auto"/>
            <w:noWrap/>
            <w:vAlign w:val="bottom"/>
          </w:tcPr>
          <w:p w:rsidR="00FD1286" w:rsidRPr="00E103B3" w:rsidRDefault="00FD1286" w:rsidP="00447812">
            <w:pPr>
              <w:spacing w:after="0" w:line="240" w:lineRule="auto"/>
              <w:rPr>
                <w:rFonts w:ascii="Arial" w:hAnsi="Arial"/>
                <w:sz w:val="20"/>
                <w:szCs w:val="20"/>
              </w:rPr>
            </w:pPr>
            <w:r w:rsidRPr="00E103B3">
              <w:rPr>
                <w:rFonts w:ascii="Arial" w:hAnsi="Arial"/>
                <w:sz w:val="20"/>
                <w:szCs w:val="20"/>
              </w:rPr>
              <w:t> </w:t>
            </w:r>
          </w:p>
        </w:tc>
        <w:tc>
          <w:tcPr>
            <w:tcW w:w="1312" w:type="pct"/>
            <w:shd w:val="clear" w:color="auto" w:fill="auto"/>
          </w:tcPr>
          <w:p w:rsidR="00FD1286" w:rsidRPr="00E103B3" w:rsidRDefault="00FD1286" w:rsidP="00447812">
            <w:pPr>
              <w:spacing w:after="0" w:line="240" w:lineRule="auto"/>
            </w:pPr>
            <w:r w:rsidRPr="00E103B3">
              <w:t>UNICEF</w:t>
            </w:r>
          </w:p>
        </w:tc>
        <w:tc>
          <w:tcPr>
            <w:tcW w:w="1811" w:type="pct"/>
            <w:shd w:val="clear" w:color="auto" w:fill="auto"/>
            <w:vAlign w:val="bottom"/>
          </w:tcPr>
          <w:p w:rsidR="00FD1286" w:rsidRPr="00E103B3" w:rsidRDefault="00FD1286" w:rsidP="00447812">
            <w:pPr>
              <w:spacing w:after="0" w:line="240" w:lineRule="auto"/>
            </w:pPr>
            <w:proofErr w:type="spellStart"/>
            <w:r>
              <w:t>Jalpa</w:t>
            </w:r>
            <w:proofErr w:type="spellEnd"/>
            <w:r>
              <w:t xml:space="preserve"> </w:t>
            </w:r>
            <w:proofErr w:type="spellStart"/>
            <w:r>
              <w:t>Ratna</w:t>
            </w:r>
            <w:proofErr w:type="spellEnd"/>
          </w:p>
        </w:tc>
      </w:tr>
      <w:tr w:rsidR="00FD1286" w:rsidRPr="00E103B3" w:rsidTr="00F64E4D">
        <w:trPr>
          <w:trHeight w:val="50"/>
        </w:trPr>
        <w:tc>
          <w:tcPr>
            <w:tcW w:w="1877" w:type="pct"/>
            <w:shd w:val="clear" w:color="auto" w:fill="auto"/>
            <w:noWrap/>
            <w:vAlign w:val="bottom"/>
          </w:tcPr>
          <w:p w:rsidR="00FD1286" w:rsidRPr="00E103B3" w:rsidRDefault="00FD1286" w:rsidP="00447812">
            <w:pPr>
              <w:spacing w:after="0" w:line="240" w:lineRule="auto"/>
              <w:rPr>
                <w:rFonts w:ascii="Arial" w:hAnsi="Arial"/>
                <w:sz w:val="20"/>
                <w:szCs w:val="20"/>
              </w:rPr>
            </w:pPr>
          </w:p>
        </w:tc>
        <w:tc>
          <w:tcPr>
            <w:tcW w:w="1312" w:type="pct"/>
            <w:shd w:val="clear" w:color="auto" w:fill="auto"/>
          </w:tcPr>
          <w:p w:rsidR="00FD1286" w:rsidRPr="00E103B3" w:rsidRDefault="00FD1286" w:rsidP="00447812">
            <w:pPr>
              <w:spacing w:after="0" w:line="240" w:lineRule="auto"/>
            </w:pPr>
            <w:r w:rsidRPr="00E103B3">
              <w:t>UNICEF</w:t>
            </w:r>
          </w:p>
        </w:tc>
        <w:tc>
          <w:tcPr>
            <w:tcW w:w="1811" w:type="pct"/>
            <w:shd w:val="clear" w:color="auto" w:fill="auto"/>
          </w:tcPr>
          <w:p w:rsidR="00FD1286" w:rsidRPr="00E103B3" w:rsidRDefault="00FD1286" w:rsidP="00447812">
            <w:pPr>
              <w:spacing w:after="0" w:line="240" w:lineRule="auto"/>
            </w:pPr>
            <w:r>
              <w:t xml:space="preserve">Lisa </w:t>
            </w:r>
            <w:proofErr w:type="spellStart"/>
            <w:r>
              <w:t>Doughten</w:t>
            </w:r>
            <w:proofErr w:type="spellEnd"/>
          </w:p>
        </w:tc>
      </w:tr>
      <w:tr w:rsidR="00FD1286" w:rsidRPr="00E103B3" w:rsidTr="00F64E4D">
        <w:trPr>
          <w:trHeight w:val="50"/>
        </w:trPr>
        <w:tc>
          <w:tcPr>
            <w:tcW w:w="1877" w:type="pct"/>
            <w:shd w:val="clear" w:color="auto" w:fill="auto"/>
            <w:noWrap/>
            <w:vAlign w:val="bottom"/>
          </w:tcPr>
          <w:p w:rsidR="00FD1286" w:rsidRPr="00E103B3" w:rsidRDefault="00FD1286" w:rsidP="00447812">
            <w:pPr>
              <w:spacing w:after="0" w:line="240" w:lineRule="auto"/>
              <w:rPr>
                <w:rFonts w:ascii="Arial" w:hAnsi="Arial"/>
                <w:sz w:val="20"/>
                <w:szCs w:val="20"/>
              </w:rPr>
            </w:pPr>
          </w:p>
        </w:tc>
        <w:tc>
          <w:tcPr>
            <w:tcW w:w="1312" w:type="pct"/>
            <w:shd w:val="clear" w:color="auto" w:fill="auto"/>
          </w:tcPr>
          <w:p w:rsidR="00FD1286" w:rsidRPr="00E103B3" w:rsidRDefault="00FD1286" w:rsidP="00447812">
            <w:pPr>
              <w:spacing w:after="0" w:line="240" w:lineRule="auto"/>
            </w:pPr>
            <w:r>
              <w:t>UNDP</w:t>
            </w:r>
          </w:p>
        </w:tc>
        <w:tc>
          <w:tcPr>
            <w:tcW w:w="1811" w:type="pct"/>
            <w:shd w:val="clear" w:color="auto" w:fill="auto"/>
          </w:tcPr>
          <w:p w:rsidR="00FD1286" w:rsidRPr="00E103B3" w:rsidRDefault="00FD1286" w:rsidP="00447812">
            <w:pPr>
              <w:spacing w:after="0" w:line="240" w:lineRule="auto"/>
            </w:pPr>
          </w:p>
        </w:tc>
      </w:tr>
      <w:tr w:rsidR="00FD1286" w:rsidRPr="00E103B3" w:rsidTr="00F64E4D">
        <w:trPr>
          <w:trHeight w:val="50"/>
        </w:trPr>
        <w:tc>
          <w:tcPr>
            <w:tcW w:w="1877" w:type="pct"/>
            <w:shd w:val="clear" w:color="auto" w:fill="auto"/>
            <w:noWrap/>
            <w:vAlign w:val="bottom"/>
          </w:tcPr>
          <w:p w:rsidR="00FD1286" w:rsidRPr="00E103B3" w:rsidRDefault="00FD1286" w:rsidP="00447812">
            <w:pPr>
              <w:spacing w:after="0" w:line="240" w:lineRule="auto"/>
              <w:rPr>
                <w:rFonts w:ascii="Arial" w:hAnsi="Arial"/>
                <w:sz w:val="20"/>
                <w:szCs w:val="20"/>
              </w:rPr>
            </w:pPr>
          </w:p>
        </w:tc>
        <w:tc>
          <w:tcPr>
            <w:tcW w:w="1312" w:type="pct"/>
            <w:shd w:val="clear" w:color="auto" w:fill="auto"/>
          </w:tcPr>
          <w:p w:rsidR="00FD1286" w:rsidRPr="00E103B3" w:rsidRDefault="00FD1286" w:rsidP="00447812">
            <w:pPr>
              <w:spacing w:after="0" w:line="240" w:lineRule="auto"/>
            </w:pPr>
          </w:p>
        </w:tc>
        <w:tc>
          <w:tcPr>
            <w:tcW w:w="1811" w:type="pct"/>
            <w:shd w:val="clear" w:color="auto" w:fill="auto"/>
            <w:vAlign w:val="bottom"/>
          </w:tcPr>
          <w:p w:rsidR="00FD1286" w:rsidRPr="00E103B3" w:rsidRDefault="00FD1286" w:rsidP="00447812">
            <w:pPr>
              <w:spacing w:after="0" w:line="240" w:lineRule="auto"/>
            </w:pP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 Geneva</w:t>
            </w:r>
          </w:p>
        </w:tc>
        <w:tc>
          <w:tcPr>
            <w:tcW w:w="1312" w:type="pct"/>
            <w:shd w:val="clear" w:color="auto" w:fill="auto"/>
          </w:tcPr>
          <w:p w:rsidR="00FD1286" w:rsidRPr="00E103B3" w:rsidRDefault="00FD1286" w:rsidP="00447812">
            <w:pPr>
              <w:spacing w:after="0" w:line="240" w:lineRule="auto"/>
            </w:pPr>
            <w:r w:rsidRPr="00E103B3">
              <w:t>FAO</w:t>
            </w:r>
          </w:p>
        </w:tc>
        <w:tc>
          <w:tcPr>
            <w:tcW w:w="1811" w:type="pct"/>
            <w:shd w:val="clear" w:color="auto" w:fill="auto"/>
          </w:tcPr>
          <w:p w:rsidR="00FD1286" w:rsidRPr="00E103B3" w:rsidRDefault="00FD1286" w:rsidP="00447812">
            <w:pPr>
              <w:spacing w:after="0" w:line="240" w:lineRule="auto"/>
            </w:pPr>
            <w:r w:rsidRPr="00E103B3">
              <w:t>Sandra Aviles</w:t>
            </w: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 </w:t>
            </w:r>
          </w:p>
        </w:tc>
        <w:tc>
          <w:tcPr>
            <w:tcW w:w="1312" w:type="pct"/>
            <w:shd w:val="clear" w:color="auto" w:fill="auto"/>
          </w:tcPr>
          <w:p w:rsidR="00FD1286" w:rsidRPr="00E103B3" w:rsidRDefault="00FD1286" w:rsidP="00447812">
            <w:pPr>
              <w:spacing w:after="0" w:line="240" w:lineRule="auto"/>
            </w:pPr>
            <w:r>
              <w:t>OCHA</w:t>
            </w:r>
          </w:p>
        </w:tc>
        <w:tc>
          <w:tcPr>
            <w:tcW w:w="1811" w:type="pct"/>
            <w:shd w:val="clear" w:color="auto" w:fill="auto"/>
          </w:tcPr>
          <w:p w:rsidR="00FD1286" w:rsidRPr="00E103B3" w:rsidRDefault="00FD1286" w:rsidP="00447812">
            <w:pPr>
              <w:spacing w:after="0" w:line="240" w:lineRule="auto"/>
            </w:pPr>
            <w:r>
              <w:t xml:space="preserve">Mateusz </w:t>
            </w:r>
            <w:proofErr w:type="spellStart"/>
            <w:r>
              <w:t>Buczek</w:t>
            </w:r>
            <w:proofErr w:type="spellEnd"/>
          </w:p>
        </w:tc>
      </w:tr>
      <w:tr w:rsidR="00F64E4D" w:rsidRPr="00E103B3" w:rsidTr="00F64E4D">
        <w:trPr>
          <w:trHeight w:val="315"/>
        </w:trPr>
        <w:tc>
          <w:tcPr>
            <w:tcW w:w="1877" w:type="pct"/>
            <w:shd w:val="clear" w:color="auto" w:fill="auto"/>
          </w:tcPr>
          <w:p w:rsidR="00F64E4D" w:rsidRPr="00E103B3" w:rsidRDefault="00F64E4D" w:rsidP="00447812">
            <w:pPr>
              <w:spacing w:after="0" w:line="240" w:lineRule="auto"/>
            </w:pPr>
          </w:p>
        </w:tc>
        <w:tc>
          <w:tcPr>
            <w:tcW w:w="1312" w:type="pct"/>
            <w:shd w:val="clear" w:color="auto" w:fill="auto"/>
          </w:tcPr>
          <w:p w:rsidR="00F64E4D" w:rsidRPr="00E103B3" w:rsidRDefault="00F64E4D" w:rsidP="00447812">
            <w:pPr>
              <w:spacing w:after="0" w:line="240" w:lineRule="auto"/>
            </w:pPr>
            <w:r>
              <w:t>UNHCR</w:t>
            </w:r>
          </w:p>
        </w:tc>
        <w:tc>
          <w:tcPr>
            <w:tcW w:w="1811" w:type="pct"/>
            <w:shd w:val="clear" w:color="auto" w:fill="auto"/>
          </w:tcPr>
          <w:p w:rsidR="00F64E4D" w:rsidRPr="00E103B3" w:rsidRDefault="00F64E4D" w:rsidP="00447812">
            <w:pPr>
              <w:spacing w:after="0" w:line="240" w:lineRule="auto"/>
            </w:pPr>
            <w:r>
              <w:t xml:space="preserve">Monika </w:t>
            </w:r>
            <w:proofErr w:type="spellStart"/>
            <w:r>
              <w:t>Brulhart</w:t>
            </w:r>
            <w:proofErr w:type="spellEnd"/>
          </w:p>
        </w:tc>
      </w:tr>
      <w:tr w:rsidR="00F64E4D" w:rsidRPr="00E103B3" w:rsidTr="00F64E4D">
        <w:trPr>
          <w:trHeight w:val="315"/>
        </w:trPr>
        <w:tc>
          <w:tcPr>
            <w:tcW w:w="1877" w:type="pct"/>
            <w:shd w:val="clear" w:color="auto" w:fill="auto"/>
          </w:tcPr>
          <w:p w:rsidR="00F64E4D" w:rsidRPr="00E103B3" w:rsidRDefault="00F64E4D" w:rsidP="00447812">
            <w:pPr>
              <w:spacing w:after="0" w:line="240" w:lineRule="auto"/>
            </w:pPr>
          </w:p>
        </w:tc>
        <w:tc>
          <w:tcPr>
            <w:tcW w:w="1312" w:type="pct"/>
            <w:shd w:val="clear" w:color="auto" w:fill="auto"/>
          </w:tcPr>
          <w:p w:rsidR="00F64E4D" w:rsidRPr="00E103B3" w:rsidRDefault="00F64E4D" w:rsidP="00447812">
            <w:pPr>
              <w:spacing w:after="0" w:line="240" w:lineRule="auto"/>
            </w:pPr>
            <w:r>
              <w:t>IOM</w:t>
            </w:r>
          </w:p>
        </w:tc>
        <w:tc>
          <w:tcPr>
            <w:tcW w:w="1811" w:type="pct"/>
            <w:shd w:val="clear" w:color="auto" w:fill="auto"/>
          </w:tcPr>
          <w:p w:rsidR="00F64E4D" w:rsidRPr="00E103B3" w:rsidRDefault="00F64E4D" w:rsidP="00447812">
            <w:pPr>
              <w:spacing w:after="0" w:line="240" w:lineRule="auto"/>
            </w:pP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 </w:t>
            </w:r>
          </w:p>
        </w:tc>
        <w:tc>
          <w:tcPr>
            <w:tcW w:w="1312" w:type="pct"/>
            <w:shd w:val="clear" w:color="auto" w:fill="auto"/>
          </w:tcPr>
          <w:p w:rsidR="00FD1286" w:rsidRPr="00E103B3" w:rsidRDefault="00FD1286" w:rsidP="00447812">
            <w:pPr>
              <w:spacing w:after="0" w:line="240" w:lineRule="auto"/>
            </w:pPr>
          </w:p>
        </w:tc>
        <w:tc>
          <w:tcPr>
            <w:tcW w:w="1811" w:type="pct"/>
            <w:shd w:val="clear" w:color="auto" w:fill="auto"/>
          </w:tcPr>
          <w:p w:rsidR="00FD1286" w:rsidRPr="00E103B3" w:rsidRDefault="00FD1286" w:rsidP="00447812">
            <w:pPr>
              <w:spacing w:after="0" w:line="240" w:lineRule="auto"/>
            </w:pP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r w:rsidRPr="00E103B3">
              <w:t>By Telephone</w:t>
            </w:r>
          </w:p>
        </w:tc>
        <w:tc>
          <w:tcPr>
            <w:tcW w:w="1312" w:type="pct"/>
            <w:shd w:val="clear" w:color="auto" w:fill="auto"/>
          </w:tcPr>
          <w:p w:rsidR="00FD1286" w:rsidRPr="00E103B3" w:rsidRDefault="00FD1286" w:rsidP="00447812">
            <w:pPr>
              <w:spacing w:after="0" w:line="240" w:lineRule="auto"/>
            </w:pPr>
            <w:proofErr w:type="spellStart"/>
            <w:r>
              <w:t>InterAction</w:t>
            </w:r>
            <w:proofErr w:type="spellEnd"/>
          </w:p>
        </w:tc>
        <w:tc>
          <w:tcPr>
            <w:tcW w:w="1811" w:type="pct"/>
            <w:shd w:val="clear" w:color="auto" w:fill="auto"/>
          </w:tcPr>
          <w:p w:rsidR="00FD1286" w:rsidRPr="00E103B3" w:rsidRDefault="00FD1286" w:rsidP="00447812">
            <w:pPr>
              <w:spacing w:after="0" w:line="240" w:lineRule="auto"/>
            </w:pPr>
            <w:r>
              <w:t>Caroline Nichols</w:t>
            </w:r>
          </w:p>
        </w:tc>
      </w:tr>
      <w:tr w:rsidR="00FD1286" w:rsidRPr="00E103B3" w:rsidTr="00F64E4D">
        <w:trPr>
          <w:trHeight w:val="315"/>
        </w:trPr>
        <w:tc>
          <w:tcPr>
            <w:tcW w:w="1877" w:type="pct"/>
            <w:shd w:val="clear" w:color="auto" w:fill="auto"/>
          </w:tcPr>
          <w:p w:rsidR="00FD1286" w:rsidRPr="00E103B3" w:rsidRDefault="00FD1286" w:rsidP="00447812">
            <w:pPr>
              <w:spacing w:after="0" w:line="240" w:lineRule="auto"/>
            </w:pPr>
          </w:p>
        </w:tc>
        <w:tc>
          <w:tcPr>
            <w:tcW w:w="1312" w:type="pct"/>
            <w:shd w:val="clear" w:color="auto" w:fill="auto"/>
          </w:tcPr>
          <w:p w:rsidR="00FD1286" w:rsidRPr="00E103B3" w:rsidRDefault="00FD1286" w:rsidP="00447812">
            <w:pPr>
              <w:spacing w:after="0" w:line="240" w:lineRule="auto"/>
            </w:pPr>
            <w:r w:rsidRPr="00E103B3">
              <w:t>WFP</w:t>
            </w:r>
          </w:p>
        </w:tc>
        <w:tc>
          <w:tcPr>
            <w:tcW w:w="1811" w:type="pct"/>
            <w:shd w:val="clear" w:color="auto" w:fill="auto"/>
          </w:tcPr>
          <w:p w:rsidR="00FD1286" w:rsidRPr="00E103B3" w:rsidRDefault="00FD1286" w:rsidP="00447812">
            <w:pPr>
              <w:spacing w:after="0" w:line="240" w:lineRule="auto"/>
            </w:pPr>
            <w:r>
              <w:t>Marian Yun</w:t>
            </w:r>
          </w:p>
        </w:tc>
      </w:tr>
      <w:tr w:rsidR="00F64E4D" w:rsidRPr="00E103B3" w:rsidTr="00F64E4D">
        <w:trPr>
          <w:trHeight w:val="315"/>
        </w:trPr>
        <w:tc>
          <w:tcPr>
            <w:tcW w:w="1877" w:type="pct"/>
            <w:shd w:val="clear" w:color="auto" w:fill="auto"/>
          </w:tcPr>
          <w:p w:rsidR="00F64E4D" w:rsidRPr="00E103B3" w:rsidRDefault="00F64E4D" w:rsidP="00447812">
            <w:pPr>
              <w:spacing w:after="0" w:line="240" w:lineRule="auto"/>
            </w:pPr>
          </w:p>
        </w:tc>
        <w:tc>
          <w:tcPr>
            <w:tcW w:w="1312" w:type="pct"/>
            <w:shd w:val="clear" w:color="auto" w:fill="auto"/>
          </w:tcPr>
          <w:p w:rsidR="00F64E4D" w:rsidRPr="00E103B3" w:rsidRDefault="00F64E4D" w:rsidP="00447812">
            <w:pPr>
              <w:spacing w:after="0" w:line="240" w:lineRule="auto"/>
            </w:pPr>
            <w:r>
              <w:t>ICVA</w:t>
            </w:r>
          </w:p>
        </w:tc>
        <w:tc>
          <w:tcPr>
            <w:tcW w:w="1811" w:type="pct"/>
            <w:shd w:val="clear" w:color="auto" w:fill="auto"/>
          </w:tcPr>
          <w:p w:rsidR="00F64E4D" w:rsidRPr="00E103B3" w:rsidRDefault="00F64E4D" w:rsidP="00447812">
            <w:pPr>
              <w:spacing w:after="0" w:line="240" w:lineRule="auto"/>
            </w:pPr>
            <w:proofErr w:type="spellStart"/>
            <w:r>
              <w:t>Alnaaze</w:t>
            </w:r>
            <w:proofErr w:type="spellEnd"/>
            <w:r>
              <w:t xml:space="preserve"> </w:t>
            </w:r>
            <w:proofErr w:type="spellStart"/>
            <w:r>
              <w:t>Natho</w:t>
            </w:r>
            <w:proofErr w:type="spellEnd"/>
          </w:p>
        </w:tc>
      </w:tr>
      <w:tr w:rsidR="00F64E4D" w:rsidRPr="00E103B3" w:rsidTr="00F64E4D">
        <w:trPr>
          <w:trHeight w:val="315"/>
        </w:trPr>
        <w:tc>
          <w:tcPr>
            <w:tcW w:w="1877" w:type="pct"/>
            <w:shd w:val="clear" w:color="auto" w:fill="auto"/>
          </w:tcPr>
          <w:p w:rsidR="00F64E4D" w:rsidRPr="00E103B3" w:rsidRDefault="00F64E4D" w:rsidP="00447812">
            <w:pPr>
              <w:spacing w:after="0" w:line="240" w:lineRule="auto"/>
            </w:pPr>
          </w:p>
        </w:tc>
        <w:tc>
          <w:tcPr>
            <w:tcW w:w="1312" w:type="pct"/>
            <w:shd w:val="clear" w:color="auto" w:fill="auto"/>
          </w:tcPr>
          <w:p w:rsidR="00F64E4D" w:rsidRDefault="00F64E4D" w:rsidP="00447812">
            <w:pPr>
              <w:spacing w:after="0" w:line="240" w:lineRule="auto"/>
            </w:pPr>
          </w:p>
        </w:tc>
        <w:tc>
          <w:tcPr>
            <w:tcW w:w="1811" w:type="pct"/>
            <w:shd w:val="clear" w:color="auto" w:fill="auto"/>
          </w:tcPr>
          <w:p w:rsidR="00F64E4D" w:rsidRDefault="00F64E4D" w:rsidP="00447812">
            <w:pPr>
              <w:spacing w:after="0" w:line="240" w:lineRule="auto"/>
            </w:pPr>
          </w:p>
        </w:tc>
      </w:tr>
    </w:tbl>
    <w:p w:rsidR="00C0268D" w:rsidRPr="00C0268D" w:rsidRDefault="00C0268D" w:rsidP="00FD1286">
      <w:pPr>
        <w:spacing w:after="0" w:line="240" w:lineRule="auto"/>
        <w:jc w:val="both"/>
        <w:rPr>
          <w:rFonts w:cs="Calibri"/>
        </w:rPr>
      </w:pPr>
    </w:p>
    <w:sectPr w:rsidR="00C0268D" w:rsidRPr="00C02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41D9"/>
    <w:multiLevelType w:val="hybridMultilevel"/>
    <w:tmpl w:val="B90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B32FF"/>
    <w:multiLevelType w:val="hybridMultilevel"/>
    <w:tmpl w:val="1FC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E6B02"/>
    <w:multiLevelType w:val="hybridMultilevel"/>
    <w:tmpl w:val="D96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551DA"/>
    <w:multiLevelType w:val="hybridMultilevel"/>
    <w:tmpl w:val="C6A4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B05FB"/>
    <w:multiLevelType w:val="hybridMultilevel"/>
    <w:tmpl w:val="DDC21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5C38B2"/>
    <w:multiLevelType w:val="hybridMultilevel"/>
    <w:tmpl w:val="6646F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1D69A2"/>
    <w:multiLevelType w:val="hybridMultilevel"/>
    <w:tmpl w:val="05CE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C23A06"/>
    <w:multiLevelType w:val="hybridMultilevel"/>
    <w:tmpl w:val="AF0E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8D"/>
    <w:rsid w:val="001741D0"/>
    <w:rsid w:val="00447812"/>
    <w:rsid w:val="004A6D7F"/>
    <w:rsid w:val="005A50E8"/>
    <w:rsid w:val="006047C5"/>
    <w:rsid w:val="006D1E48"/>
    <w:rsid w:val="007E4006"/>
    <w:rsid w:val="00887436"/>
    <w:rsid w:val="00891914"/>
    <w:rsid w:val="00936642"/>
    <w:rsid w:val="00954B28"/>
    <w:rsid w:val="009934F4"/>
    <w:rsid w:val="009B7F6E"/>
    <w:rsid w:val="009E2048"/>
    <w:rsid w:val="00A1560A"/>
    <w:rsid w:val="00AF0917"/>
    <w:rsid w:val="00B452E3"/>
    <w:rsid w:val="00C0268D"/>
    <w:rsid w:val="00C909F5"/>
    <w:rsid w:val="00D72FD5"/>
    <w:rsid w:val="00D879AC"/>
    <w:rsid w:val="00E407BF"/>
    <w:rsid w:val="00E40D9C"/>
    <w:rsid w:val="00F4408F"/>
    <w:rsid w:val="00F64E4D"/>
    <w:rsid w:val="00F836FB"/>
    <w:rsid w:val="00FD1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8D"/>
    <w:rPr>
      <w:rFonts w:ascii="Calibri" w:eastAsia="Times New Roman" w:hAnsi="Calibri"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C0268D"/>
    <w:pPr>
      <w:spacing w:after="0" w:line="240" w:lineRule="auto"/>
    </w:pPr>
    <w:rPr>
      <w:rFonts w:ascii="Helvetica" w:eastAsia="Times New Roman" w:hAnsi="Helvetica" w:cs="Times New Roman"/>
      <w:color w:val="000000"/>
      <w:sz w:val="24"/>
      <w:szCs w:val="20"/>
      <w:lang w:eastAsia="en-GB"/>
    </w:rPr>
  </w:style>
  <w:style w:type="paragraph" w:styleId="ListParagraph">
    <w:name w:val="List Paragraph"/>
    <w:basedOn w:val="Normal"/>
    <w:uiPriority w:val="34"/>
    <w:qFormat/>
    <w:rsid w:val="00C0268D"/>
    <w:pPr>
      <w:ind w:left="720"/>
      <w:contextualSpacing/>
    </w:pPr>
  </w:style>
  <w:style w:type="paragraph" w:styleId="BalloonText">
    <w:name w:val="Balloon Text"/>
    <w:basedOn w:val="Normal"/>
    <w:link w:val="BalloonTextChar"/>
    <w:uiPriority w:val="99"/>
    <w:semiHidden/>
    <w:unhideWhenUsed/>
    <w:rsid w:val="004478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81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8D"/>
    <w:rPr>
      <w:rFonts w:ascii="Calibri" w:eastAsia="Times New Roman" w:hAnsi="Calibri"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C0268D"/>
    <w:pPr>
      <w:spacing w:after="0" w:line="240" w:lineRule="auto"/>
    </w:pPr>
    <w:rPr>
      <w:rFonts w:ascii="Helvetica" w:eastAsia="Times New Roman" w:hAnsi="Helvetica" w:cs="Times New Roman"/>
      <w:color w:val="000000"/>
      <w:sz w:val="24"/>
      <w:szCs w:val="20"/>
      <w:lang w:eastAsia="en-GB"/>
    </w:rPr>
  </w:style>
  <w:style w:type="paragraph" w:styleId="ListParagraph">
    <w:name w:val="List Paragraph"/>
    <w:basedOn w:val="Normal"/>
    <w:uiPriority w:val="34"/>
    <w:qFormat/>
    <w:rsid w:val="00C0268D"/>
    <w:pPr>
      <w:ind w:left="720"/>
      <w:contextualSpacing/>
    </w:pPr>
  </w:style>
  <w:style w:type="paragraph" w:styleId="BalloonText">
    <w:name w:val="Balloon Text"/>
    <w:basedOn w:val="Normal"/>
    <w:link w:val="BalloonTextChar"/>
    <w:uiPriority w:val="99"/>
    <w:semiHidden/>
    <w:unhideWhenUsed/>
    <w:rsid w:val="004478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81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3</cp:revision>
  <cp:lastPrinted>2012-12-03T17:22:00Z</cp:lastPrinted>
  <dcterms:created xsi:type="dcterms:W3CDTF">2012-12-05T11:28:00Z</dcterms:created>
  <dcterms:modified xsi:type="dcterms:W3CDTF">2012-12-17T15:28:00Z</dcterms:modified>
</cp:coreProperties>
</file>