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EAB" w:rsidRPr="007B5040" w:rsidRDefault="001138D4" w:rsidP="00A058FC">
      <w:pPr>
        <w:spacing w:after="0"/>
        <w:ind w:left="-181"/>
        <w:jc w:val="center"/>
        <w:rPr>
          <w:rFonts w:asciiTheme="minorHAnsi" w:hAnsiTheme="minorHAnsi"/>
          <w:b/>
          <w:sz w:val="28"/>
          <w:szCs w:val="28"/>
        </w:rPr>
      </w:pPr>
      <w:r w:rsidRPr="007B5040">
        <w:rPr>
          <w:rFonts w:asciiTheme="minorHAnsi" w:hAnsiTheme="minorHAnsi"/>
          <w:b/>
          <w:sz w:val="28"/>
          <w:szCs w:val="28"/>
        </w:rPr>
        <w:t xml:space="preserve">Piloting the </w:t>
      </w:r>
      <w:r w:rsidR="00367AD3" w:rsidRPr="007B5040">
        <w:rPr>
          <w:rFonts w:asciiTheme="minorHAnsi" w:hAnsiTheme="minorHAnsi"/>
          <w:b/>
          <w:sz w:val="28"/>
          <w:szCs w:val="28"/>
        </w:rPr>
        <w:t xml:space="preserve">IASC </w:t>
      </w:r>
      <w:r w:rsidRPr="007B5040">
        <w:rPr>
          <w:rFonts w:asciiTheme="minorHAnsi" w:hAnsiTheme="minorHAnsi"/>
          <w:b/>
          <w:sz w:val="28"/>
          <w:szCs w:val="28"/>
        </w:rPr>
        <w:t>“Accountability t</w:t>
      </w:r>
      <w:r w:rsidR="005246CE" w:rsidRPr="007B5040">
        <w:rPr>
          <w:rFonts w:asciiTheme="minorHAnsi" w:hAnsiTheme="minorHAnsi"/>
          <w:b/>
          <w:sz w:val="28"/>
          <w:szCs w:val="28"/>
        </w:rPr>
        <w:t>o Affected Populations” Operational Framework</w:t>
      </w:r>
    </w:p>
    <w:p w:rsidR="00367AD3" w:rsidRPr="007B5040" w:rsidRDefault="00367AD3" w:rsidP="001138D4">
      <w:pPr>
        <w:spacing w:after="120"/>
        <w:rPr>
          <w:rFonts w:asciiTheme="minorHAnsi" w:hAnsiTheme="minorHAnsi"/>
          <w:b/>
          <w:sz w:val="28"/>
          <w:szCs w:val="28"/>
        </w:rPr>
      </w:pPr>
    </w:p>
    <w:p w:rsidR="00034EAB" w:rsidRPr="00D063FE" w:rsidRDefault="00034EAB" w:rsidP="001138D4">
      <w:pPr>
        <w:spacing w:after="120"/>
        <w:rPr>
          <w:rFonts w:asciiTheme="minorHAnsi" w:hAnsiTheme="minorHAnsi"/>
          <w:b/>
        </w:rPr>
      </w:pPr>
      <w:r w:rsidRPr="00367AD3">
        <w:rPr>
          <w:rFonts w:asciiTheme="minorHAnsi" w:hAnsiTheme="minorHAnsi"/>
          <w:b/>
        </w:rPr>
        <w:t>Background</w:t>
      </w:r>
    </w:p>
    <w:p w:rsidR="00856956" w:rsidRPr="00367AD3" w:rsidRDefault="001438FA" w:rsidP="001138D4">
      <w:pPr>
        <w:spacing w:after="120"/>
        <w:rPr>
          <w:rFonts w:asciiTheme="minorHAnsi" w:hAnsiTheme="minorHAnsi"/>
        </w:rPr>
      </w:pPr>
      <w:r>
        <w:rPr>
          <w:rFonts w:asciiTheme="minorHAnsi" w:hAnsiTheme="minorHAnsi"/>
        </w:rPr>
        <w:t xml:space="preserve">At the December 2011 Meeting, the IASC </w:t>
      </w:r>
      <w:r w:rsidR="00034EAB" w:rsidRPr="00367AD3">
        <w:rPr>
          <w:rFonts w:asciiTheme="minorHAnsi" w:hAnsiTheme="minorHAnsi"/>
        </w:rPr>
        <w:t xml:space="preserve">Principals endorsed </w:t>
      </w:r>
      <w:r w:rsidR="003F3002" w:rsidRPr="00367AD3">
        <w:rPr>
          <w:rFonts w:asciiTheme="minorHAnsi" w:hAnsiTheme="minorHAnsi"/>
        </w:rPr>
        <w:t>five</w:t>
      </w:r>
      <w:r w:rsidR="00034EAB" w:rsidRPr="00367AD3">
        <w:rPr>
          <w:rFonts w:asciiTheme="minorHAnsi" w:hAnsiTheme="minorHAnsi"/>
        </w:rPr>
        <w:t xml:space="preserve"> Commitments to Accountability to Affected Populations (CAAP)</w:t>
      </w:r>
      <w:r w:rsidR="00D063FE">
        <w:rPr>
          <w:rStyle w:val="FootnoteReference"/>
          <w:rFonts w:asciiTheme="minorHAnsi" w:hAnsiTheme="minorHAnsi"/>
        </w:rPr>
        <w:footnoteReference w:id="1"/>
      </w:r>
      <w:r w:rsidR="00034EAB" w:rsidRPr="00367AD3">
        <w:rPr>
          <w:rFonts w:asciiTheme="minorHAnsi" w:hAnsiTheme="minorHAnsi"/>
        </w:rPr>
        <w:t xml:space="preserve"> and, with the exception of ICRC and IFRC, which have their own accountability mechanisms, agreed to incorporate the CAAP into the policies and operational guidelines of their organizations and promote them with operational partners, within Humanitarian Country Teams </w:t>
      </w:r>
      <w:r w:rsidR="00A9773B" w:rsidRPr="00367AD3">
        <w:rPr>
          <w:rFonts w:asciiTheme="minorHAnsi" w:hAnsiTheme="minorHAnsi"/>
        </w:rPr>
        <w:t xml:space="preserve">(HCTs) </w:t>
      </w:r>
      <w:r w:rsidR="00034EAB" w:rsidRPr="00367AD3">
        <w:rPr>
          <w:rFonts w:asciiTheme="minorHAnsi" w:hAnsiTheme="minorHAnsi"/>
        </w:rPr>
        <w:t>an</w:t>
      </w:r>
      <w:r w:rsidR="001138D4" w:rsidRPr="00367AD3">
        <w:rPr>
          <w:rFonts w:asciiTheme="minorHAnsi" w:hAnsiTheme="minorHAnsi"/>
        </w:rPr>
        <w:t>d amongst cluster members.</w:t>
      </w:r>
      <w:r w:rsidR="00A058FC">
        <w:rPr>
          <w:rFonts w:asciiTheme="minorHAnsi" w:hAnsiTheme="minorHAnsi"/>
        </w:rPr>
        <w:t xml:space="preserve">  The</w:t>
      </w:r>
      <w:r w:rsidR="00603238" w:rsidRPr="00367AD3">
        <w:rPr>
          <w:rFonts w:asciiTheme="minorHAnsi" w:hAnsiTheme="minorHAnsi"/>
        </w:rPr>
        <w:t xml:space="preserve"> commitments are</w:t>
      </w:r>
      <w:r w:rsidR="00A058FC">
        <w:rPr>
          <w:rFonts w:asciiTheme="minorHAnsi" w:hAnsiTheme="minorHAnsi"/>
        </w:rPr>
        <w:t xml:space="preserve"> related to leadership/governance, transparency, feedback and complaints, participation, and design, </w:t>
      </w:r>
      <w:r w:rsidR="005A4D4E">
        <w:rPr>
          <w:rFonts w:asciiTheme="minorHAnsi" w:hAnsiTheme="minorHAnsi"/>
        </w:rPr>
        <w:t>monitoring and evaluation (see A</w:t>
      </w:r>
      <w:r w:rsidR="00A058FC">
        <w:rPr>
          <w:rFonts w:asciiTheme="minorHAnsi" w:hAnsiTheme="minorHAnsi"/>
        </w:rPr>
        <w:t>nnex</w:t>
      </w:r>
      <w:r w:rsidR="005A4D4E">
        <w:rPr>
          <w:rFonts w:asciiTheme="minorHAnsi" w:hAnsiTheme="minorHAnsi"/>
        </w:rPr>
        <w:t xml:space="preserve"> 1</w:t>
      </w:r>
      <w:r w:rsidR="00A058FC">
        <w:rPr>
          <w:rFonts w:asciiTheme="minorHAnsi" w:hAnsiTheme="minorHAnsi"/>
        </w:rPr>
        <w:t>).</w:t>
      </w:r>
    </w:p>
    <w:p w:rsidR="00034EAB" w:rsidRPr="00367AD3" w:rsidRDefault="00034EAB" w:rsidP="001138D4">
      <w:pPr>
        <w:spacing w:before="240" w:after="120"/>
        <w:rPr>
          <w:rFonts w:asciiTheme="minorHAnsi" w:hAnsiTheme="minorHAnsi"/>
        </w:rPr>
      </w:pPr>
      <w:r w:rsidRPr="00367AD3">
        <w:rPr>
          <w:rFonts w:asciiTheme="minorHAnsi" w:hAnsiTheme="minorHAnsi"/>
        </w:rPr>
        <w:t>The Principals also agreed that</w:t>
      </w:r>
      <w:r w:rsidR="00D063FE">
        <w:rPr>
          <w:rFonts w:asciiTheme="minorHAnsi" w:hAnsiTheme="minorHAnsi"/>
        </w:rPr>
        <w:t xml:space="preserve"> a</w:t>
      </w:r>
      <w:r w:rsidRPr="00367AD3">
        <w:rPr>
          <w:rFonts w:asciiTheme="minorHAnsi" w:hAnsiTheme="minorHAnsi"/>
        </w:rPr>
        <w:t xml:space="preserve"> </w:t>
      </w:r>
      <w:r w:rsidR="00603238" w:rsidRPr="00367AD3">
        <w:rPr>
          <w:rFonts w:asciiTheme="minorHAnsi" w:hAnsiTheme="minorHAnsi"/>
        </w:rPr>
        <w:t xml:space="preserve">draft </w:t>
      </w:r>
      <w:r w:rsidRPr="00367AD3">
        <w:rPr>
          <w:rFonts w:asciiTheme="minorHAnsi" w:hAnsiTheme="minorHAnsi"/>
        </w:rPr>
        <w:t xml:space="preserve">Operational Framework should be piloted by the Sub-Group with relevant inter-agency feedback and complaints mechanisms in up to three countries in the course of 2012. </w:t>
      </w:r>
      <w:r w:rsidR="001138D4" w:rsidRPr="00367AD3">
        <w:rPr>
          <w:rFonts w:asciiTheme="minorHAnsi" w:hAnsiTheme="minorHAnsi"/>
        </w:rPr>
        <w:t xml:space="preserve"> </w:t>
      </w:r>
      <w:r w:rsidRPr="00367AD3">
        <w:rPr>
          <w:rFonts w:asciiTheme="minorHAnsi" w:hAnsiTheme="minorHAnsi"/>
        </w:rPr>
        <w:t>The intention is that, by the end of 2012, the IASC Working Group will r</w:t>
      </w:r>
      <w:r w:rsidR="001138D4" w:rsidRPr="00367AD3">
        <w:rPr>
          <w:rFonts w:asciiTheme="minorHAnsi" w:hAnsiTheme="minorHAnsi"/>
        </w:rPr>
        <w:t>eview the results of the pilots and</w:t>
      </w:r>
      <w:r w:rsidRPr="00367AD3">
        <w:rPr>
          <w:rFonts w:asciiTheme="minorHAnsi" w:hAnsiTheme="minorHAnsi"/>
        </w:rPr>
        <w:t xml:space="preserve"> make necessary refinements </w:t>
      </w:r>
      <w:r w:rsidR="001138D4" w:rsidRPr="00367AD3">
        <w:rPr>
          <w:rFonts w:asciiTheme="minorHAnsi" w:hAnsiTheme="minorHAnsi"/>
        </w:rPr>
        <w:t>with a view to endorsing</w:t>
      </w:r>
      <w:r w:rsidRPr="00367AD3">
        <w:rPr>
          <w:rFonts w:asciiTheme="minorHAnsi" w:hAnsiTheme="minorHAnsi"/>
        </w:rPr>
        <w:t xml:space="preserve"> the Operational Framework so that it can be used by relevant IASC organizations and promoted to the wider humanitarian community. </w:t>
      </w:r>
    </w:p>
    <w:p w:rsidR="00367AD3" w:rsidRPr="00367AD3" w:rsidRDefault="00A058FC" w:rsidP="00367AD3">
      <w:pPr>
        <w:spacing w:after="120"/>
        <w:rPr>
          <w:rFonts w:asciiTheme="minorHAnsi" w:hAnsiTheme="minorHAnsi"/>
          <w:b/>
        </w:rPr>
      </w:pPr>
      <w:r>
        <w:rPr>
          <w:rFonts w:asciiTheme="minorHAnsi" w:hAnsiTheme="minorHAnsi"/>
          <w:b/>
        </w:rPr>
        <w:t>Piloting the Operational Framework</w:t>
      </w:r>
    </w:p>
    <w:p w:rsidR="00367AD3" w:rsidRDefault="00367AD3" w:rsidP="00367AD3">
      <w:pPr>
        <w:spacing w:after="120"/>
        <w:rPr>
          <w:rFonts w:asciiTheme="minorHAnsi" w:hAnsiTheme="minorHAnsi"/>
        </w:rPr>
      </w:pPr>
      <w:r>
        <w:rPr>
          <w:rFonts w:asciiTheme="minorHAnsi" w:hAnsiTheme="minorHAnsi"/>
        </w:rPr>
        <w:t xml:space="preserve">The </w:t>
      </w:r>
      <w:r w:rsidRPr="00367AD3">
        <w:rPr>
          <w:rFonts w:asciiTheme="minorHAnsi" w:hAnsiTheme="minorHAnsi"/>
        </w:rPr>
        <w:t>pilot</w:t>
      </w:r>
      <w:r w:rsidR="00D063FE">
        <w:rPr>
          <w:rFonts w:asciiTheme="minorHAnsi" w:hAnsiTheme="minorHAnsi"/>
        </w:rPr>
        <w:t>ing of the operational framework</w:t>
      </w:r>
      <w:r w:rsidRPr="00367AD3">
        <w:rPr>
          <w:rFonts w:asciiTheme="minorHAnsi" w:hAnsiTheme="minorHAnsi"/>
        </w:rPr>
        <w:t xml:space="preserve"> </w:t>
      </w:r>
      <w:r>
        <w:rPr>
          <w:rFonts w:asciiTheme="minorHAnsi" w:hAnsiTheme="minorHAnsi"/>
        </w:rPr>
        <w:t>will</w:t>
      </w:r>
      <w:r w:rsidRPr="00367AD3">
        <w:rPr>
          <w:rFonts w:asciiTheme="minorHAnsi" w:hAnsiTheme="minorHAnsi"/>
        </w:rPr>
        <w:t xml:space="preserve"> involve the humanitarian system as a whole in three specific contexts.  Although piloting by individual clusters</w:t>
      </w:r>
      <w:r>
        <w:rPr>
          <w:rFonts w:asciiTheme="minorHAnsi" w:hAnsiTheme="minorHAnsi"/>
        </w:rPr>
        <w:t xml:space="preserve"> and/or sectors</w:t>
      </w:r>
      <w:r w:rsidRPr="00367AD3">
        <w:rPr>
          <w:rFonts w:asciiTheme="minorHAnsi" w:hAnsiTheme="minorHAnsi"/>
        </w:rPr>
        <w:t xml:space="preserve"> will provide essential insight and analysis, it is also important to look at accountability across clusters</w:t>
      </w:r>
      <w:r>
        <w:rPr>
          <w:rFonts w:asciiTheme="minorHAnsi" w:hAnsiTheme="minorHAnsi"/>
        </w:rPr>
        <w:t>/sectors</w:t>
      </w:r>
      <w:r w:rsidRPr="00367AD3">
        <w:rPr>
          <w:rFonts w:asciiTheme="minorHAnsi" w:hAnsiTheme="minorHAnsi"/>
        </w:rPr>
        <w:t xml:space="preserve"> and how the</w:t>
      </w:r>
      <w:r>
        <w:rPr>
          <w:rFonts w:asciiTheme="minorHAnsi" w:hAnsiTheme="minorHAnsi"/>
        </w:rPr>
        <w:t xml:space="preserve"> HCT or other coordination fora</w:t>
      </w:r>
      <w:r w:rsidRPr="00367AD3">
        <w:rPr>
          <w:rFonts w:asciiTheme="minorHAnsi" w:hAnsiTheme="minorHAnsi"/>
        </w:rPr>
        <w:t xml:space="preserve"> can contribute to increased accountability to beneficiaries.  It is envisaged that these pilots, with a focus on the overall system in specific locations, will also aim to link together with accountability initiatives of individual agencies in that area.</w:t>
      </w:r>
    </w:p>
    <w:p w:rsidR="00D264EA" w:rsidRPr="00D264EA" w:rsidRDefault="00333A7A" w:rsidP="00D264EA">
      <w:pPr>
        <w:spacing w:after="120"/>
        <w:rPr>
          <w:rFonts w:asciiTheme="minorHAnsi" w:hAnsiTheme="minorHAnsi"/>
          <w:lang w:val="en-US"/>
        </w:rPr>
      </w:pPr>
      <w:r>
        <w:rPr>
          <w:rFonts w:asciiTheme="minorHAnsi" w:hAnsiTheme="minorHAnsi"/>
        </w:rPr>
        <w:t>The</w:t>
      </w:r>
      <w:r w:rsidR="006F447E">
        <w:rPr>
          <w:rFonts w:asciiTheme="minorHAnsi" w:hAnsiTheme="minorHAnsi"/>
        </w:rPr>
        <w:t>refore, the</w:t>
      </w:r>
      <w:r>
        <w:rPr>
          <w:rFonts w:asciiTheme="minorHAnsi" w:hAnsiTheme="minorHAnsi"/>
        </w:rPr>
        <w:t xml:space="preserve"> overall vision for the proposed approach to the </w:t>
      </w:r>
      <w:r w:rsidR="00D063FE">
        <w:rPr>
          <w:rFonts w:asciiTheme="minorHAnsi" w:hAnsiTheme="minorHAnsi"/>
        </w:rPr>
        <w:t xml:space="preserve">system </w:t>
      </w:r>
      <w:r>
        <w:rPr>
          <w:rFonts w:asciiTheme="minorHAnsi" w:hAnsiTheme="minorHAnsi"/>
        </w:rPr>
        <w:t>pilots</w:t>
      </w:r>
      <w:r w:rsidR="00D264EA">
        <w:rPr>
          <w:rFonts w:asciiTheme="minorHAnsi" w:hAnsiTheme="minorHAnsi"/>
        </w:rPr>
        <w:t xml:space="preserve"> </w:t>
      </w:r>
      <w:r w:rsidR="00B85687">
        <w:rPr>
          <w:rFonts w:asciiTheme="minorHAnsi" w:hAnsiTheme="minorHAnsi"/>
        </w:rPr>
        <w:t>is</w:t>
      </w:r>
      <w:r w:rsidR="00D264EA">
        <w:rPr>
          <w:rFonts w:asciiTheme="minorHAnsi" w:hAnsiTheme="minorHAnsi"/>
        </w:rPr>
        <w:t xml:space="preserve"> to </w:t>
      </w:r>
      <w:r>
        <w:rPr>
          <w:rFonts w:asciiTheme="minorHAnsi" w:hAnsiTheme="minorHAnsi"/>
        </w:rPr>
        <w:t xml:space="preserve">perform a coordination </w:t>
      </w:r>
      <w:r w:rsidR="00D264EA">
        <w:rPr>
          <w:rFonts w:asciiTheme="minorHAnsi" w:hAnsiTheme="minorHAnsi"/>
        </w:rPr>
        <w:t xml:space="preserve">and enhancement </w:t>
      </w:r>
      <w:r>
        <w:rPr>
          <w:rFonts w:asciiTheme="minorHAnsi" w:hAnsiTheme="minorHAnsi"/>
        </w:rPr>
        <w:t>function</w:t>
      </w:r>
      <w:r w:rsidR="00D264EA">
        <w:rPr>
          <w:rFonts w:asciiTheme="minorHAnsi" w:hAnsiTheme="minorHAnsi"/>
        </w:rPr>
        <w:t xml:space="preserve"> across the pilot countr</w:t>
      </w:r>
      <w:r w:rsidR="00B85687">
        <w:rPr>
          <w:rFonts w:asciiTheme="minorHAnsi" w:hAnsiTheme="minorHAnsi"/>
        </w:rPr>
        <w:t>y contexts</w:t>
      </w:r>
      <w:r w:rsidR="00E60977">
        <w:rPr>
          <w:rFonts w:asciiTheme="minorHAnsi" w:hAnsiTheme="minorHAnsi"/>
        </w:rPr>
        <w:t xml:space="preserve">, ensuring that </w:t>
      </w:r>
      <w:r w:rsidR="00D264EA">
        <w:rPr>
          <w:rFonts w:asciiTheme="minorHAnsi" w:hAnsiTheme="minorHAnsi"/>
        </w:rPr>
        <w:t xml:space="preserve">all current and relevant accountability activities </w:t>
      </w:r>
      <w:r w:rsidR="00E60977">
        <w:rPr>
          <w:rFonts w:asciiTheme="minorHAnsi" w:hAnsiTheme="minorHAnsi"/>
        </w:rPr>
        <w:t xml:space="preserve">are connected, gaps are </w:t>
      </w:r>
      <w:r w:rsidR="00B85687">
        <w:rPr>
          <w:rFonts w:asciiTheme="minorHAnsi" w:hAnsiTheme="minorHAnsi"/>
        </w:rPr>
        <w:t xml:space="preserve">addressed where possible, resources and knowledge shared when feasible, and that there are accountability activities and examples occurring at each level of the response including at a cluster and interagency level, involving all relevant stakeholders. </w:t>
      </w:r>
    </w:p>
    <w:p w:rsidR="00B85687" w:rsidRDefault="00B85687" w:rsidP="00B85687">
      <w:pPr>
        <w:spacing w:after="120"/>
        <w:rPr>
          <w:rFonts w:asciiTheme="minorHAnsi" w:hAnsiTheme="minorHAnsi"/>
        </w:rPr>
      </w:pPr>
      <w:r>
        <w:rPr>
          <w:rFonts w:asciiTheme="minorHAnsi" w:hAnsiTheme="minorHAnsi"/>
        </w:rPr>
        <w:t>The proposed structure is of a Global Coordinator based at</w:t>
      </w:r>
      <w:r w:rsidR="00D063FE">
        <w:rPr>
          <w:rFonts w:asciiTheme="minorHAnsi" w:hAnsiTheme="minorHAnsi"/>
        </w:rPr>
        <w:t xml:space="preserve"> a headquarter</w:t>
      </w:r>
      <w:r w:rsidR="00271AC4">
        <w:rPr>
          <w:rFonts w:asciiTheme="minorHAnsi" w:hAnsiTheme="minorHAnsi"/>
        </w:rPr>
        <w:t>s</w:t>
      </w:r>
      <w:r w:rsidR="00D063FE">
        <w:rPr>
          <w:rFonts w:asciiTheme="minorHAnsi" w:hAnsiTheme="minorHAnsi"/>
        </w:rPr>
        <w:t xml:space="preserve"> location, over a 9</w:t>
      </w:r>
      <w:r>
        <w:rPr>
          <w:rFonts w:asciiTheme="minorHAnsi" w:hAnsiTheme="minorHAnsi"/>
        </w:rPr>
        <w:t xml:space="preserve"> month period, and 3 field level coordinators, each posted for 6 months to a separate pilot location</w:t>
      </w:r>
      <w:r w:rsidR="00DD1C36">
        <w:rPr>
          <w:rFonts w:asciiTheme="minorHAnsi" w:hAnsiTheme="minorHAnsi"/>
        </w:rPr>
        <w:t xml:space="preserve"> (see Annexes </w:t>
      </w:r>
      <w:r w:rsidR="004B2D57">
        <w:rPr>
          <w:rFonts w:asciiTheme="minorHAnsi" w:hAnsiTheme="minorHAnsi"/>
        </w:rPr>
        <w:t>3 and 4 for the Terms of Reference</w:t>
      </w:r>
      <w:r w:rsidR="007B5040">
        <w:rPr>
          <w:rFonts w:asciiTheme="minorHAnsi" w:hAnsiTheme="minorHAnsi"/>
        </w:rPr>
        <w:t>, and Annex 5 for proposed budget</w:t>
      </w:r>
      <w:r w:rsidR="004B2D57">
        <w:rPr>
          <w:rFonts w:asciiTheme="minorHAnsi" w:hAnsiTheme="minorHAnsi"/>
        </w:rPr>
        <w:t>)</w:t>
      </w:r>
      <w:r>
        <w:rPr>
          <w:rFonts w:asciiTheme="minorHAnsi" w:hAnsiTheme="minorHAnsi"/>
        </w:rPr>
        <w:t xml:space="preserve">. </w:t>
      </w:r>
    </w:p>
    <w:p w:rsidR="00B85687" w:rsidRDefault="00DD1C36" w:rsidP="00B85687">
      <w:pPr>
        <w:spacing w:after="120"/>
        <w:rPr>
          <w:rFonts w:asciiTheme="minorHAnsi" w:hAnsiTheme="minorHAnsi"/>
        </w:rPr>
      </w:pPr>
      <w:r>
        <w:rPr>
          <w:rFonts w:asciiTheme="minorHAnsi" w:hAnsiTheme="minorHAnsi"/>
        </w:rPr>
        <w:t>The Global C</w:t>
      </w:r>
      <w:r w:rsidR="00B85687">
        <w:rPr>
          <w:rFonts w:asciiTheme="minorHAnsi" w:hAnsiTheme="minorHAnsi"/>
        </w:rPr>
        <w:t>oordinator would:</w:t>
      </w:r>
    </w:p>
    <w:p w:rsidR="00B85687" w:rsidRDefault="00B85687" w:rsidP="00B85687">
      <w:pPr>
        <w:pStyle w:val="ListParagraph"/>
        <w:numPr>
          <w:ilvl w:val="0"/>
          <w:numId w:val="12"/>
        </w:numPr>
        <w:spacing w:after="120"/>
        <w:rPr>
          <w:rFonts w:asciiTheme="minorHAnsi" w:hAnsiTheme="minorHAnsi"/>
        </w:rPr>
      </w:pPr>
      <w:r>
        <w:rPr>
          <w:rFonts w:asciiTheme="minorHAnsi" w:hAnsiTheme="minorHAnsi"/>
        </w:rPr>
        <w:t>E</w:t>
      </w:r>
      <w:r w:rsidRPr="00B85687">
        <w:rPr>
          <w:rFonts w:asciiTheme="minorHAnsi" w:hAnsiTheme="minorHAnsi"/>
        </w:rPr>
        <w:t xml:space="preserve">nsure lessons learned are fed back into the broader operational framework and the guidance being developed through the IASC Transformative Agenda.  </w:t>
      </w:r>
    </w:p>
    <w:p w:rsidR="00B85687" w:rsidRDefault="00B85687" w:rsidP="00B85687">
      <w:pPr>
        <w:pStyle w:val="ListParagraph"/>
        <w:numPr>
          <w:ilvl w:val="0"/>
          <w:numId w:val="12"/>
        </w:numPr>
        <w:spacing w:after="120"/>
        <w:rPr>
          <w:rFonts w:asciiTheme="minorHAnsi" w:hAnsiTheme="minorHAnsi"/>
        </w:rPr>
      </w:pPr>
      <w:r>
        <w:rPr>
          <w:rFonts w:asciiTheme="minorHAnsi" w:hAnsiTheme="minorHAnsi"/>
        </w:rPr>
        <w:t>B</w:t>
      </w:r>
      <w:r w:rsidRPr="00B85687">
        <w:rPr>
          <w:rFonts w:asciiTheme="minorHAnsi" w:hAnsiTheme="minorHAnsi"/>
        </w:rPr>
        <w:t xml:space="preserve">ackstop the field-based Coordinators and liaise with Accountability Focal Points at Headquarters </w:t>
      </w:r>
    </w:p>
    <w:p w:rsidR="00B85687" w:rsidRDefault="00B85687" w:rsidP="00B85687">
      <w:pPr>
        <w:pStyle w:val="ListParagraph"/>
        <w:numPr>
          <w:ilvl w:val="0"/>
          <w:numId w:val="12"/>
        </w:numPr>
        <w:spacing w:after="120"/>
        <w:rPr>
          <w:rFonts w:asciiTheme="minorHAnsi" w:hAnsiTheme="minorHAnsi"/>
        </w:rPr>
      </w:pPr>
      <w:r>
        <w:rPr>
          <w:rFonts w:asciiTheme="minorHAnsi" w:hAnsiTheme="minorHAnsi"/>
        </w:rPr>
        <w:t>Report to the</w:t>
      </w:r>
      <w:r w:rsidRPr="00B85687">
        <w:rPr>
          <w:rFonts w:asciiTheme="minorHAnsi" w:hAnsiTheme="minorHAnsi"/>
        </w:rPr>
        <w:t xml:space="preserve"> IASC Sub-Group to ensure coherence and common approaches.</w:t>
      </w:r>
    </w:p>
    <w:p w:rsidR="00B85687" w:rsidRDefault="00B85687" w:rsidP="00B85687">
      <w:pPr>
        <w:pStyle w:val="ListParagraph"/>
        <w:numPr>
          <w:ilvl w:val="0"/>
          <w:numId w:val="12"/>
        </w:numPr>
        <w:spacing w:after="120"/>
        <w:rPr>
          <w:rFonts w:asciiTheme="minorHAnsi" w:hAnsiTheme="minorHAnsi"/>
        </w:rPr>
      </w:pPr>
      <w:r>
        <w:rPr>
          <w:rFonts w:asciiTheme="minorHAnsi" w:hAnsiTheme="minorHAnsi"/>
        </w:rPr>
        <w:lastRenderedPageBreak/>
        <w:t>Provide support and supervision to the field coordinators</w:t>
      </w:r>
    </w:p>
    <w:p w:rsidR="00BF25E4" w:rsidRDefault="00BF25E4" w:rsidP="00B85687">
      <w:pPr>
        <w:pStyle w:val="ListParagraph"/>
        <w:numPr>
          <w:ilvl w:val="0"/>
          <w:numId w:val="12"/>
        </w:numPr>
        <w:spacing w:after="120"/>
        <w:rPr>
          <w:rFonts w:asciiTheme="minorHAnsi" w:hAnsiTheme="minorHAnsi"/>
        </w:rPr>
      </w:pPr>
      <w:r>
        <w:rPr>
          <w:rFonts w:asciiTheme="minorHAnsi" w:hAnsiTheme="minorHAnsi"/>
        </w:rPr>
        <w:t xml:space="preserve">Ensure strong cohesion and linkages between the work of the </w:t>
      </w:r>
      <w:r w:rsidRPr="00367AD3">
        <w:rPr>
          <w:rFonts w:asciiTheme="minorHAnsi" w:hAnsiTheme="minorHAnsi"/>
        </w:rPr>
        <w:t>Protection against Sexual Exploitation an</w:t>
      </w:r>
      <w:r>
        <w:rPr>
          <w:rFonts w:asciiTheme="minorHAnsi" w:hAnsiTheme="minorHAnsi"/>
        </w:rPr>
        <w:t>d Abuse (PSEA) pilot studies (ideally having at least one area of overlap</w:t>
      </w:r>
      <w:r w:rsidR="00BE5879">
        <w:rPr>
          <w:rFonts w:asciiTheme="minorHAnsi" w:hAnsiTheme="minorHAnsi"/>
        </w:rPr>
        <w:t>)</w:t>
      </w:r>
      <w:r>
        <w:rPr>
          <w:rFonts w:asciiTheme="minorHAnsi" w:hAnsiTheme="minorHAnsi"/>
        </w:rPr>
        <w:t>, the proposed Communication with Disaster Affected Communities Network pilots, and the ECB pilot project, to assist in magnifying the impact and reach of these pilots.</w:t>
      </w:r>
    </w:p>
    <w:p w:rsidR="00B85687" w:rsidRDefault="00B85687" w:rsidP="00B85687">
      <w:pPr>
        <w:spacing w:after="120"/>
        <w:rPr>
          <w:rFonts w:asciiTheme="minorHAnsi" w:hAnsiTheme="minorHAnsi"/>
        </w:rPr>
      </w:pPr>
      <w:r>
        <w:rPr>
          <w:rFonts w:asciiTheme="minorHAnsi" w:hAnsiTheme="minorHAnsi"/>
        </w:rPr>
        <w:t xml:space="preserve">The </w:t>
      </w:r>
      <w:r w:rsidR="00DD1C36">
        <w:rPr>
          <w:rFonts w:asciiTheme="minorHAnsi" w:hAnsiTheme="minorHAnsi"/>
        </w:rPr>
        <w:t>Field C</w:t>
      </w:r>
      <w:r>
        <w:rPr>
          <w:rFonts w:asciiTheme="minorHAnsi" w:hAnsiTheme="minorHAnsi"/>
        </w:rPr>
        <w:t>oordinators would:</w:t>
      </w:r>
    </w:p>
    <w:p w:rsidR="00B85687" w:rsidRDefault="00B85687" w:rsidP="00B85687">
      <w:pPr>
        <w:pStyle w:val="ListParagraph"/>
        <w:numPr>
          <w:ilvl w:val="0"/>
          <w:numId w:val="13"/>
        </w:numPr>
        <w:spacing w:after="120"/>
        <w:rPr>
          <w:rFonts w:asciiTheme="minorHAnsi" w:hAnsiTheme="minorHAnsi"/>
        </w:rPr>
      </w:pPr>
      <w:r>
        <w:rPr>
          <w:rFonts w:asciiTheme="minorHAnsi" w:hAnsiTheme="minorHAnsi"/>
        </w:rPr>
        <w:t xml:space="preserve">Be placed within </w:t>
      </w:r>
      <w:r w:rsidRPr="00B85687">
        <w:rPr>
          <w:rFonts w:asciiTheme="minorHAnsi" w:hAnsiTheme="minorHAnsi"/>
        </w:rPr>
        <w:t>the office</w:t>
      </w:r>
      <w:r>
        <w:rPr>
          <w:rFonts w:asciiTheme="minorHAnsi" w:hAnsiTheme="minorHAnsi"/>
        </w:rPr>
        <w:t>s</w:t>
      </w:r>
      <w:r w:rsidRPr="00B85687">
        <w:rPr>
          <w:rFonts w:asciiTheme="minorHAnsi" w:hAnsiTheme="minorHAnsi"/>
        </w:rPr>
        <w:t xml:space="preserve"> of the HC</w:t>
      </w:r>
    </w:p>
    <w:p w:rsidR="00B85687" w:rsidRDefault="00B85687" w:rsidP="00B85687">
      <w:pPr>
        <w:pStyle w:val="ListParagraph"/>
        <w:numPr>
          <w:ilvl w:val="0"/>
          <w:numId w:val="13"/>
        </w:numPr>
        <w:spacing w:after="120"/>
        <w:rPr>
          <w:rFonts w:asciiTheme="minorHAnsi" w:hAnsiTheme="minorHAnsi"/>
        </w:rPr>
      </w:pPr>
      <w:r>
        <w:rPr>
          <w:rFonts w:asciiTheme="minorHAnsi" w:hAnsiTheme="minorHAnsi"/>
        </w:rPr>
        <w:t>M</w:t>
      </w:r>
      <w:r w:rsidRPr="00B85687">
        <w:rPr>
          <w:rFonts w:asciiTheme="minorHAnsi" w:hAnsiTheme="minorHAnsi"/>
        </w:rPr>
        <w:t>ake recommendations on how to improve accountability throughout the operation</w:t>
      </w:r>
      <w:r w:rsidR="006F447E">
        <w:rPr>
          <w:rFonts w:asciiTheme="minorHAnsi" w:hAnsiTheme="minorHAnsi"/>
        </w:rPr>
        <w:t>, liaising with UN and non-government agencies as relevant</w:t>
      </w:r>
      <w:r w:rsidR="00DD1C36">
        <w:rPr>
          <w:rFonts w:asciiTheme="minorHAnsi" w:hAnsiTheme="minorHAnsi"/>
        </w:rPr>
        <w:t>.</w:t>
      </w:r>
    </w:p>
    <w:p w:rsidR="00BF25E4" w:rsidRDefault="00BF25E4" w:rsidP="00B85687">
      <w:pPr>
        <w:pStyle w:val="ListParagraph"/>
        <w:numPr>
          <w:ilvl w:val="0"/>
          <w:numId w:val="13"/>
        </w:numPr>
        <w:spacing w:after="120"/>
        <w:rPr>
          <w:rFonts w:asciiTheme="minorHAnsi" w:hAnsiTheme="minorHAnsi"/>
        </w:rPr>
      </w:pPr>
      <w:r>
        <w:rPr>
          <w:rFonts w:asciiTheme="minorHAnsi" w:hAnsiTheme="minorHAnsi"/>
        </w:rPr>
        <w:t>W</w:t>
      </w:r>
      <w:r w:rsidR="00B85687" w:rsidRPr="00B85687">
        <w:rPr>
          <w:rFonts w:asciiTheme="minorHAnsi" w:hAnsiTheme="minorHAnsi"/>
        </w:rPr>
        <w:t xml:space="preserve">ork towards building linkages between </w:t>
      </w:r>
      <w:r w:rsidR="00B85687">
        <w:rPr>
          <w:rFonts w:asciiTheme="minorHAnsi" w:hAnsiTheme="minorHAnsi"/>
        </w:rPr>
        <w:t xml:space="preserve">individual and consortium accountability activities </w:t>
      </w:r>
      <w:r>
        <w:rPr>
          <w:rFonts w:asciiTheme="minorHAnsi" w:hAnsiTheme="minorHAnsi"/>
        </w:rPr>
        <w:t>and c</w:t>
      </w:r>
      <w:r w:rsidR="00B85687" w:rsidRPr="00B85687">
        <w:rPr>
          <w:rFonts w:asciiTheme="minorHAnsi" w:hAnsiTheme="minorHAnsi"/>
        </w:rPr>
        <w:t xml:space="preserve">onsider how incorporate these as part of a broader framework for the system as a whole.  </w:t>
      </w:r>
    </w:p>
    <w:p w:rsidR="00BF25E4" w:rsidRDefault="00194449" w:rsidP="00B85687">
      <w:pPr>
        <w:pStyle w:val="ListParagraph"/>
        <w:numPr>
          <w:ilvl w:val="0"/>
          <w:numId w:val="13"/>
        </w:numPr>
        <w:spacing w:after="120"/>
        <w:rPr>
          <w:rFonts w:asciiTheme="minorHAnsi" w:hAnsiTheme="minorHAnsi"/>
        </w:rPr>
      </w:pPr>
      <w:r>
        <w:rPr>
          <w:rFonts w:asciiTheme="minorHAnsi" w:hAnsiTheme="minorHAnsi"/>
        </w:rPr>
        <w:t>Offer</w:t>
      </w:r>
      <w:r w:rsidR="00BF25E4">
        <w:rPr>
          <w:rFonts w:asciiTheme="minorHAnsi" w:hAnsiTheme="minorHAnsi"/>
        </w:rPr>
        <w:t xml:space="preserve"> capacity building and consultation / support</w:t>
      </w:r>
    </w:p>
    <w:p w:rsidR="00B85687" w:rsidRDefault="00BF25E4" w:rsidP="00B85687">
      <w:pPr>
        <w:pStyle w:val="ListParagraph"/>
        <w:numPr>
          <w:ilvl w:val="0"/>
          <w:numId w:val="13"/>
        </w:numPr>
        <w:spacing w:after="120"/>
        <w:rPr>
          <w:rFonts w:asciiTheme="minorHAnsi" w:hAnsiTheme="minorHAnsi"/>
        </w:rPr>
      </w:pPr>
      <w:r>
        <w:rPr>
          <w:rFonts w:asciiTheme="minorHAnsi" w:hAnsiTheme="minorHAnsi"/>
        </w:rPr>
        <w:t>Maintain a focus</w:t>
      </w:r>
      <w:r w:rsidR="00B85687" w:rsidRPr="00B85687">
        <w:rPr>
          <w:rFonts w:asciiTheme="minorHAnsi" w:hAnsiTheme="minorHAnsi"/>
        </w:rPr>
        <w:t xml:space="preserve"> on the specific operational context to ensure relevance to the field and avoid creating parallel systems.</w:t>
      </w:r>
    </w:p>
    <w:p w:rsidR="00D063FE" w:rsidRDefault="00D063FE" w:rsidP="00D063FE">
      <w:pPr>
        <w:spacing w:after="120"/>
        <w:rPr>
          <w:rFonts w:asciiTheme="minorHAnsi" w:hAnsiTheme="minorHAnsi"/>
          <w:b/>
        </w:rPr>
      </w:pPr>
      <w:r>
        <w:rPr>
          <w:rFonts w:asciiTheme="minorHAnsi" w:hAnsiTheme="minorHAnsi"/>
          <w:b/>
        </w:rPr>
        <w:t>Outputs</w:t>
      </w:r>
    </w:p>
    <w:p w:rsidR="00D063FE" w:rsidRDefault="00D063FE" w:rsidP="00D063FE">
      <w:pPr>
        <w:spacing w:after="120"/>
        <w:rPr>
          <w:rFonts w:asciiTheme="minorHAnsi" w:hAnsiTheme="minorHAnsi"/>
        </w:rPr>
      </w:pPr>
      <w:r>
        <w:rPr>
          <w:rFonts w:asciiTheme="minorHAnsi" w:hAnsiTheme="minorHAnsi"/>
        </w:rPr>
        <w:t xml:space="preserve">Once piloted and the information collected, recommendations of how </w:t>
      </w:r>
      <w:r w:rsidR="007B5040">
        <w:rPr>
          <w:rFonts w:asciiTheme="minorHAnsi" w:hAnsiTheme="minorHAnsi"/>
        </w:rPr>
        <w:t xml:space="preserve">the </w:t>
      </w:r>
      <w:r>
        <w:rPr>
          <w:rFonts w:asciiTheme="minorHAnsi" w:hAnsiTheme="minorHAnsi"/>
        </w:rPr>
        <w:t>humanitarian system as a whole can be made more accountable will be made to the IASC Principals. In addition, the system pilots will:</w:t>
      </w:r>
    </w:p>
    <w:p w:rsidR="00A3517D" w:rsidRDefault="00A3517D" w:rsidP="00D063FE">
      <w:pPr>
        <w:pStyle w:val="ListParagraph"/>
        <w:numPr>
          <w:ilvl w:val="0"/>
          <w:numId w:val="14"/>
        </w:numPr>
        <w:spacing w:after="120"/>
        <w:rPr>
          <w:rFonts w:asciiTheme="minorHAnsi" w:hAnsiTheme="minorHAnsi"/>
        </w:rPr>
      </w:pPr>
      <w:r>
        <w:rPr>
          <w:rFonts w:asciiTheme="minorHAnsi" w:hAnsiTheme="minorHAnsi"/>
        </w:rPr>
        <w:t xml:space="preserve">Ensure that </w:t>
      </w:r>
      <w:r w:rsidR="007B5040">
        <w:rPr>
          <w:rFonts w:asciiTheme="minorHAnsi" w:hAnsiTheme="minorHAnsi"/>
        </w:rPr>
        <w:t xml:space="preserve">the </w:t>
      </w:r>
      <w:r>
        <w:rPr>
          <w:rFonts w:asciiTheme="minorHAnsi" w:hAnsiTheme="minorHAnsi"/>
        </w:rPr>
        <w:t>three countries have established system</w:t>
      </w:r>
      <w:r w:rsidR="00AF7F5A">
        <w:rPr>
          <w:rFonts w:asciiTheme="minorHAnsi" w:hAnsiTheme="minorHAnsi"/>
        </w:rPr>
        <w:t>s</w:t>
      </w:r>
      <w:r>
        <w:rPr>
          <w:rFonts w:asciiTheme="minorHAnsi" w:hAnsiTheme="minorHAnsi"/>
        </w:rPr>
        <w:t xml:space="preserve"> that strengthen accountability to affected populations; </w:t>
      </w:r>
    </w:p>
    <w:p w:rsidR="00D063FE" w:rsidRDefault="00D063FE" w:rsidP="00D063FE">
      <w:pPr>
        <w:pStyle w:val="ListParagraph"/>
        <w:numPr>
          <w:ilvl w:val="0"/>
          <w:numId w:val="14"/>
        </w:numPr>
        <w:spacing w:after="120"/>
        <w:rPr>
          <w:rFonts w:asciiTheme="minorHAnsi" w:hAnsiTheme="minorHAnsi"/>
        </w:rPr>
      </w:pPr>
      <w:r>
        <w:rPr>
          <w:rFonts w:asciiTheme="minorHAnsi" w:hAnsiTheme="minorHAnsi"/>
        </w:rPr>
        <w:t>Produce best practice examples that are field based</w:t>
      </w:r>
      <w:r w:rsidR="00A3517D">
        <w:rPr>
          <w:rFonts w:asciiTheme="minorHAnsi" w:hAnsiTheme="minorHAnsi"/>
        </w:rPr>
        <w:t xml:space="preserve"> on how to strengthen AAP</w:t>
      </w:r>
      <w:r>
        <w:rPr>
          <w:rFonts w:asciiTheme="minorHAnsi" w:hAnsiTheme="minorHAnsi"/>
        </w:rPr>
        <w:t>;</w:t>
      </w:r>
    </w:p>
    <w:p w:rsidR="00A3517D" w:rsidRDefault="00A3517D" w:rsidP="00A3517D">
      <w:pPr>
        <w:pStyle w:val="ListParagraph"/>
        <w:numPr>
          <w:ilvl w:val="0"/>
          <w:numId w:val="14"/>
        </w:numPr>
        <w:spacing w:after="120"/>
        <w:rPr>
          <w:rFonts w:asciiTheme="minorHAnsi" w:hAnsiTheme="minorHAnsi"/>
        </w:rPr>
      </w:pPr>
      <w:r>
        <w:rPr>
          <w:rFonts w:asciiTheme="minorHAnsi" w:hAnsiTheme="minorHAnsi"/>
        </w:rPr>
        <w:t>Develop a clear operational framework for AAP that is endorsed by relevant partners;</w:t>
      </w:r>
    </w:p>
    <w:p w:rsidR="00D063FE" w:rsidRDefault="00D063FE" w:rsidP="00D063FE">
      <w:pPr>
        <w:pStyle w:val="ListParagraph"/>
        <w:numPr>
          <w:ilvl w:val="0"/>
          <w:numId w:val="14"/>
        </w:numPr>
        <w:spacing w:after="120"/>
        <w:rPr>
          <w:rFonts w:asciiTheme="minorHAnsi" w:hAnsiTheme="minorHAnsi"/>
        </w:rPr>
      </w:pPr>
      <w:r w:rsidRPr="00D063FE">
        <w:rPr>
          <w:rFonts w:asciiTheme="minorHAnsi" w:hAnsiTheme="minorHAnsi"/>
        </w:rPr>
        <w:t>Link up existing AAP initiatives to increase coherence and efficiency</w:t>
      </w:r>
      <w:r>
        <w:rPr>
          <w:rFonts w:asciiTheme="minorHAnsi" w:hAnsiTheme="minorHAnsi"/>
        </w:rPr>
        <w:t>;</w:t>
      </w:r>
    </w:p>
    <w:p w:rsidR="00D063FE" w:rsidRPr="00D063FE" w:rsidRDefault="00D063FE" w:rsidP="00D063FE">
      <w:pPr>
        <w:pStyle w:val="ListParagraph"/>
        <w:numPr>
          <w:ilvl w:val="0"/>
          <w:numId w:val="14"/>
        </w:numPr>
        <w:spacing w:after="120"/>
        <w:rPr>
          <w:rFonts w:asciiTheme="minorHAnsi" w:hAnsiTheme="minorHAnsi"/>
        </w:rPr>
      </w:pPr>
      <w:r w:rsidRPr="00D063FE">
        <w:rPr>
          <w:rFonts w:asciiTheme="minorHAnsi" w:hAnsiTheme="minorHAnsi"/>
        </w:rPr>
        <w:t>Identify challenges/ opportunities in the current response system  and clear recommendations on how they can be addressed/ replicated;</w:t>
      </w:r>
    </w:p>
    <w:p w:rsidR="00D063FE" w:rsidRDefault="00D063FE" w:rsidP="00D063FE">
      <w:pPr>
        <w:pStyle w:val="ListParagraph"/>
        <w:numPr>
          <w:ilvl w:val="0"/>
          <w:numId w:val="14"/>
        </w:numPr>
        <w:spacing w:after="120"/>
        <w:rPr>
          <w:rFonts w:asciiTheme="minorHAnsi" w:hAnsiTheme="minorHAnsi"/>
        </w:rPr>
      </w:pPr>
      <w:r>
        <w:rPr>
          <w:rFonts w:asciiTheme="minorHAnsi" w:hAnsiTheme="minorHAnsi"/>
        </w:rPr>
        <w:t>Advocate and disseminate thinking about AAP;</w:t>
      </w:r>
    </w:p>
    <w:p w:rsidR="00D063FE" w:rsidRPr="00D063FE" w:rsidRDefault="00D063FE" w:rsidP="00D063FE">
      <w:pPr>
        <w:pStyle w:val="ListParagraph"/>
        <w:numPr>
          <w:ilvl w:val="0"/>
          <w:numId w:val="14"/>
        </w:numPr>
        <w:spacing w:after="120"/>
        <w:rPr>
          <w:rFonts w:asciiTheme="minorHAnsi" w:hAnsiTheme="minorHAnsi"/>
        </w:rPr>
      </w:pPr>
      <w:r>
        <w:rPr>
          <w:rFonts w:asciiTheme="minorHAnsi" w:hAnsiTheme="minorHAnsi"/>
        </w:rPr>
        <w:t xml:space="preserve">Ensure that AAP is mainstreamed throughout the Transformative Agenda and IASC guidance </w:t>
      </w:r>
    </w:p>
    <w:p w:rsidR="008102F0" w:rsidRDefault="008102F0">
      <w:pPr>
        <w:spacing w:after="0"/>
        <w:rPr>
          <w:rFonts w:asciiTheme="minorHAnsi" w:hAnsiTheme="minorHAnsi"/>
        </w:rPr>
      </w:pPr>
      <w:r>
        <w:rPr>
          <w:rFonts w:asciiTheme="minorHAnsi" w:hAnsiTheme="minorHAnsi"/>
        </w:rPr>
        <w:br w:type="page"/>
      </w:r>
    </w:p>
    <w:p w:rsidR="00A058FC" w:rsidRDefault="00A058FC" w:rsidP="00A058FC">
      <w:pPr>
        <w:pStyle w:val="Parag"/>
        <w:numPr>
          <w:ilvl w:val="0"/>
          <w:numId w:val="0"/>
        </w:numPr>
        <w:tabs>
          <w:tab w:val="clear" w:pos="567"/>
        </w:tabs>
        <w:spacing w:before="240" w:after="120" w:line="240" w:lineRule="auto"/>
        <w:ind w:left="284" w:hanging="284"/>
        <w:rPr>
          <w:rFonts w:asciiTheme="minorHAnsi" w:eastAsia="Calibri" w:hAnsiTheme="minorHAnsi"/>
          <w:b/>
          <w:lang w:eastAsia="en-US"/>
        </w:rPr>
      </w:pPr>
      <w:r w:rsidRPr="00A058FC">
        <w:rPr>
          <w:rFonts w:asciiTheme="minorHAnsi" w:eastAsia="Calibri" w:hAnsiTheme="minorHAnsi"/>
          <w:b/>
          <w:lang w:eastAsia="en-US"/>
        </w:rPr>
        <w:lastRenderedPageBreak/>
        <w:t>Annex 1</w:t>
      </w:r>
    </w:p>
    <w:p w:rsidR="005A4D4E" w:rsidRPr="00A058FC" w:rsidRDefault="005A4D4E" w:rsidP="00A3517D">
      <w:pPr>
        <w:pStyle w:val="Parag"/>
        <w:numPr>
          <w:ilvl w:val="0"/>
          <w:numId w:val="0"/>
        </w:numPr>
        <w:tabs>
          <w:tab w:val="clear" w:pos="567"/>
        </w:tabs>
        <w:spacing w:before="240" w:after="120" w:line="240" w:lineRule="auto"/>
        <w:rPr>
          <w:rFonts w:asciiTheme="minorHAnsi" w:eastAsia="Calibri" w:hAnsiTheme="minorHAnsi"/>
          <w:b/>
          <w:lang w:eastAsia="en-US"/>
        </w:rPr>
      </w:pPr>
    </w:p>
    <w:p w:rsidR="00A058FC" w:rsidRPr="00A058FC" w:rsidRDefault="005A4D4E" w:rsidP="00A058FC">
      <w:pPr>
        <w:pStyle w:val="Parag"/>
        <w:numPr>
          <w:ilvl w:val="0"/>
          <w:numId w:val="0"/>
        </w:numPr>
        <w:tabs>
          <w:tab w:val="clear" w:pos="567"/>
        </w:tabs>
        <w:spacing w:before="240" w:after="120" w:line="240" w:lineRule="auto"/>
        <w:ind w:left="284" w:hanging="284"/>
        <w:rPr>
          <w:rFonts w:asciiTheme="minorHAnsi" w:eastAsia="Calibri" w:hAnsiTheme="minorHAnsi"/>
          <w:b/>
          <w:lang w:eastAsia="en-US"/>
        </w:rPr>
      </w:pPr>
      <w:r>
        <w:rPr>
          <w:rFonts w:asciiTheme="minorHAnsi" w:eastAsia="Calibri" w:hAnsiTheme="minorHAnsi"/>
          <w:b/>
          <w:lang w:eastAsia="en-US"/>
        </w:rPr>
        <w:t xml:space="preserve">IASC </w:t>
      </w:r>
      <w:r w:rsidR="00A058FC" w:rsidRPr="00A058FC">
        <w:rPr>
          <w:rFonts w:asciiTheme="minorHAnsi" w:eastAsia="Calibri" w:hAnsiTheme="minorHAnsi"/>
          <w:b/>
          <w:lang w:eastAsia="en-US"/>
        </w:rPr>
        <w:t>C</w:t>
      </w:r>
      <w:r>
        <w:rPr>
          <w:rFonts w:asciiTheme="minorHAnsi" w:eastAsia="Calibri" w:hAnsiTheme="minorHAnsi"/>
          <w:b/>
          <w:lang w:eastAsia="en-US"/>
        </w:rPr>
        <w:t xml:space="preserve">ommitments on </w:t>
      </w:r>
      <w:r w:rsidR="00A058FC" w:rsidRPr="00A058FC">
        <w:rPr>
          <w:rFonts w:asciiTheme="minorHAnsi" w:eastAsia="Calibri" w:hAnsiTheme="minorHAnsi"/>
          <w:b/>
          <w:lang w:eastAsia="en-US"/>
        </w:rPr>
        <w:t>A</w:t>
      </w:r>
      <w:r>
        <w:rPr>
          <w:rFonts w:asciiTheme="minorHAnsi" w:eastAsia="Calibri" w:hAnsiTheme="minorHAnsi"/>
          <w:b/>
          <w:lang w:eastAsia="en-US"/>
        </w:rPr>
        <w:t xml:space="preserve">ccountability to </w:t>
      </w:r>
      <w:r w:rsidR="00A058FC" w:rsidRPr="00A058FC">
        <w:rPr>
          <w:rFonts w:asciiTheme="minorHAnsi" w:eastAsia="Calibri" w:hAnsiTheme="minorHAnsi"/>
          <w:b/>
          <w:lang w:eastAsia="en-US"/>
        </w:rPr>
        <w:t>A</w:t>
      </w:r>
      <w:r>
        <w:rPr>
          <w:rFonts w:asciiTheme="minorHAnsi" w:eastAsia="Calibri" w:hAnsiTheme="minorHAnsi"/>
          <w:b/>
          <w:lang w:eastAsia="en-US"/>
        </w:rPr>
        <w:t xml:space="preserve">ffected </w:t>
      </w:r>
      <w:r w:rsidR="00A058FC" w:rsidRPr="00A058FC">
        <w:rPr>
          <w:rFonts w:asciiTheme="minorHAnsi" w:eastAsia="Calibri" w:hAnsiTheme="minorHAnsi"/>
          <w:b/>
          <w:lang w:eastAsia="en-US"/>
        </w:rPr>
        <w:t>P</w:t>
      </w:r>
      <w:r>
        <w:rPr>
          <w:rFonts w:asciiTheme="minorHAnsi" w:eastAsia="Calibri" w:hAnsiTheme="minorHAnsi"/>
          <w:b/>
          <w:lang w:eastAsia="en-US"/>
        </w:rPr>
        <w:t>opulation</w:t>
      </w:r>
      <w:r w:rsidR="00A058FC" w:rsidRPr="00A058FC">
        <w:rPr>
          <w:rFonts w:asciiTheme="minorHAnsi" w:eastAsia="Calibri" w:hAnsiTheme="minorHAnsi"/>
          <w:b/>
          <w:lang w:eastAsia="en-US"/>
        </w:rPr>
        <w:t>s</w:t>
      </w:r>
    </w:p>
    <w:p w:rsidR="00A058FC" w:rsidRPr="00367AD3" w:rsidRDefault="00A058FC" w:rsidP="00A058FC">
      <w:pPr>
        <w:pStyle w:val="Parag"/>
        <w:numPr>
          <w:ilvl w:val="0"/>
          <w:numId w:val="3"/>
        </w:numPr>
        <w:tabs>
          <w:tab w:val="clear" w:pos="567"/>
        </w:tabs>
        <w:spacing w:before="240" w:after="120" w:line="240" w:lineRule="auto"/>
        <w:ind w:left="284" w:hanging="284"/>
        <w:rPr>
          <w:rFonts w:asciiTheme="minorHAnsi" w:eastAsia="Calibri" w:hAnsiTheme="minorHAnsi"/>
          <w:lang w:eastAsia="en-US"/>
        </w:rPr>
      </w:pPr>
      <w:r w:rsidRPr="00367AD3">
        <w:rPr>
          <w:rFonts w:asciiTheme="minorHAnsi" w:eastAsia="Calibri" w:hAnsiTheme="minorHAnsi"/>
          <w:u w:val="single"/>
          <w:lang w:eastAsia="en-US"/>
        </w:rPr>
        <w:t>LEADERSHIP/GOVERNANCE</w:t>
      </w:r>
      <w:r w:rsidRPr="00367AD3">
        <w:rPr>
          <w:rFonts w:asciiTheme="minorHAnsi" w:eastAsia="Calibri" w:hAnsiTheme="minorHAnsi"/>
          <w:lang w:eastAsia="en-US"/>
        </w:rPr>
        <w:t>: Demonstrate their commitment to accountability to affected populations by ensuring feedback and accountability mechanisms are integrated into country strategies, programme proposals, monitoring and evaluations, recruitment, staff inductions, trainings and performance management, partnership agreements, and highlighted in reporting.</w:t>
      </w:r>
    </w:p>
    <w:p w:rsidR="00A058FC" w:rsidRPr="00367AD3" w:rsidRDefault="00A058FC" w:rsidP="00A058FC">
      <w:pPr>
        <w:pStyle w:val="Parag"/>
        <w:numPr>
          <w:ilvl w:val="0"/>
          <w:numId w:val="3"/>
        </w:numPr>
        <w:tabs>
          <w:tab w:val="clear" w:pos="567"/>
        </w:tabs>
        <w:spacing w:before="240" w:after="120" w:line="240" w:lineRule="auto"/>
        <w:ind w:left="284" w:hanging="284"/>
        <w:rPr>
          <w:rFonts w:asciiTheme="minorHAnsi" w:eastAsia="Calibri" w:hAnsiTheme="minorHAnsi"/>
          <w:lang w:eastAsia="en-US"/>
        </w:rPr>
      </w:pPr>
      <w:r w:rsidRPr="00367AD3">
        <w:rPr>
          <w:rFonts w:asciiTheme="minorHAnsi" w:eastAsia="Calibri" w:hAnsiTheme="minorHAnsi"/>
          <w:u w:val="single"/>
          <w:lang w:eastAsia="en-US"/>
        </w:rPr>
        <w:t>TRANSPARENCY</w:t>
      </w:r>
      <w:r w:rsidRPr="00367AD3">
        <w:rPr>
          <w:rFonts w:asciiTheme="minorHAnsi" w:eastAsia="Calibri" w:hAnsiTheme="minorHAnsi"/>
          <w:lang w:eastAsia="en-US"/>
        </w:rPr>
        <w:t>: Provide accessible and timely information to affected populations on organizational procedures, structures and processes that affect them to ensure that they can make informed decisions and choices, and facilitate a dialogue between an organisation and its affected populations over inf</w:t>
      </w:r>
      <w:r w:rsidR="00A8495D">
        <w:rPr>
          <w:rFonts w:asciiTheme="minorHAnsi" w:eastAsia="Calibri" w:hAnsiTheme="minorHAnsi"/>
          <w:lang w:eastAsia="en-US"/>
        </w:rPr>
        <w:t>ormation provision.</w:t>
      </w:r>
    </w:p>
    <w:p w:rsidR="00A058FC" w:rsidRPr="00367AD3" w:rsidRDefault="00A058FC" w:rsidP="00A058FC">
      <w:pPr>
        <w:pStyle w:val="Parag"/>
        <w:numPr>
          <w:ilvl w:val="0"/>
          <w:numId w:val="3"/>
        </w:numPr>
        <w:tabs>
          <w:tab w:val="clear" w:pos="567"/>
        </w:tabs>
        <w:spacing w:before="240" w:after="120" w:line="240" w:lineRule="auto"/>
        <w:ind w:left="284" w:hanging="284"/>
        <w:rPr>
          <w:rFonts w:asciiTheme="minorHAnsi" w:eastAsia="Calibri" w:hAnsiTheme="minorHAnsi"/>
          <w:lang w:eastAsia="en-US"/>
        </w:rPr>
      </w:pPr>
      <w:r w:rsidRPr="00367AD3">
        <w:rPr>
          <w:rFonts w:asciiTheme="minorHAnsi" w:eastAsia="Calibri" w:hAnsiTheme="minorHAnsi"/>
          <w:u w:val="single"/>
          <w:lang w:eastAsia="en-US"/>
        </w:rPr>
        <w:t>FEEDBACK and COMPLAINTS</w:t>
      </w:r>
      <w:r w:rsidRPr="00367AD3">
        <w:rPr>
          <w:rFonts w:asciiTheme="minorHAnsi" w:eastAsia="Calibri" w:hAnsiTheme="minorHAnsi"/>
          <w:lang w:eastAsia="en-US"/>
        </w:rPr>
        <w:t>: Actively seek the views of affected populations to improve policy and practice in programming, ensuring that feedback and complaints mechanisms are streamlined, appropriate and robust enough to deal with (communicate, receive, process, respond to and learn from) complaints about breaches in policy and stakeholder dissatisfaction</w:t>
      </w:r>
      <w:r w:rsidRPr="00367AD3">
        <w:rPr>
          <w:rFonts w:asciiTheme="minorHAnsi" w:eastAsia="Calibri" w:hAnsiTheme="minorHAnsi"/>
          <w:vertAlign w:val="superscript"/>
          <w:lang w:eastAsia="en-US"/>
        </w:rPr>
        <w:footnoteReference w:id="2"/>
      </w:r>
      <w:r w:rsidRPr="00367AD3">
        <w:rPr>
          <w:rFonts w:asciiTheme="minorHAnsi" w:eastAsia="Calibri" w:hAnsiTheme="minorHAnsi"/>
          <w:lang w:eastAsia="en-US"/>
        </w:rPr>
        <w:t>.</w:t>
      </w:r>
    </w:p>
    <w:p w:rsidR="00A058FC" w:rsidRPr="00367AD3" w:rsidRDefault="00A058FC" w:rsidP="00A058FC">
      <w:pPr>
        <w:pStyle w:val="Parag"/>
        <w:numPr>
          <w:ilvl w:val="0"/>
          <w:numId w:val="3"/>
        </w:numPr>
        <w:tabs>
          <w:tab w:val="clear" w:pos="567"/>
        </w:tabs>
        <w:spacing w:before="240" w:after="120" w:line="240" w:lineRule="auto"/>
        <w:ind w:left="284" w:hanging="284"/>
        <w:rPr>
          <w:rFonts w:asciiTheme="minorHAnsi" w:eastAsia="Calibri" w:hAnsiTheme="minorHAnsi"/>
          <w:lang w:eastAsia="en-US"/>
        </w:rPr>
      </w:pPr>
      <w:r w:rsidRPr="00367AD3">
        <w:rPr>
          <w:rFonts w:asciiTheme="minorHAnsi" w:eastAsia="Calibri" w:hAnsiTheme="minorHAnsi"/>
          <w:u w:val="single"/>
          <w:lang w:eastAsia="en-US"/>
        </w:rPr>
        <w:t>PARTICIPATION:</w:t>
      </w:r>
      <w:r w:rsidRPr="00367AD3">
        <w:rPr>
          <w:rFonts w:asciiTheme="minorHAnsi" w:eastAsia="Calibri" w:hAnsiTheme="minorHAnsi"/>
          <w:lang w:eastAsia="en-US"/>
        </w:rPr>
        <w:t xml:space="preserve"> Enable affected populations to play an active role in the decision-making processes that affect them through the establishment of clear guidelines and practice s to engage them appropriately and ensure that the most marginalised and affected are </w:t>
      </w:r>
      <w:r w:rsidR="00A8495D">
        <w:rPr>
          <w:rFonts w:asciiTheme="minorHAnsi" w:eastAsia="Calibri" w:hAnsiTheme="minorHAnsi"/>
          <w:lang w:eastAsia="en-US"/>
        </w:rPr>
        <w:t>represented and have influence.</w:t>
      </w:r>
    </w:p>
    <w:p w:rsidR="00A058FC" w:rsidRPr="00A8495D" w:rsidRDefault="00A058FC" w:rsidP="00367AD3">
      <w:pPr>
        <w:pStyle w:val="Parag"/>
        <w:numPr>
          <w:ilvl w:val="0"/>
          <w:numId w:val="3"/>
        </w:numPr>
        <w:tabs>
          <w:tab w:val="clear" w:pos="567"/>
        </w:tabs>
        <w:spacing w:before="240" w:after="120" w:line="240" w:lineRule="auto"/>
        <w:ind w:left="284" w:hanging="284"/>
        <w:rPr>
          <w:rFonts w:asciiTheme="minorHAnsi" w:eastAsia="Calibri" w:hAnsiTheme="minorHAnsi"/>
          <w:lang w:eastAsia="en-US"/>
        </w:rPr>
      </w:pPr>
      <w:r w:rsidRPr="00367AD3">
        <w:rPr>
          <w:rFonts w:asciiTheme="minorHAnsi" w:eastAsia="Calibri" w:hAnsiTheme="minorHAnsi"/>
          <w:u w:val="single"/>
          <w:lang w:eastAsia="en-US"/>
        </w:rPr>
        <w:t>DESIGN, MONITORING AND EVALUATION</w:t>
      </w:r>
      <w:r w:rsidRPr="00367AD3">
        <w:rPr>
          <w:rFonts w:asciiTheme="minorHAnsi" w:eastAsia="Calibri" w:hAnsiTheme="minorHAnsi"/>
          <w:lang w:eastAsia="en-US"/>
        </w:rPr>
        <w:t>: Design, monitor and evaluate the goals and objectives of programmes with the involvement of affected populations, feeding learning back into the organisation on an ongoing basis and reporting on the results of the process</w:t>
      </w:r>
      <w:r w:rsidR="00A8495D">
        <w:rPr>
          <w:rFonts w:asciiTheme="minorHAnsi" w:eastAsia="Calibri" w:hAnsiTheme="minorHAnsi"/>
          <w:lang w:eastAsia="en-US"/>
        </w:rPr>
        <w:t>.</w:t>
      </w:r>
    </w:p>
    <w:p w:rsidR="00A058FC" w:rsidRDefault="00A058FC">
      <w:pPr>
        <w:spacing w:after="0"/>
        <w:rPr>
          <w:rFonts w:asciiTheme="minorHAnsi" w:hAnsiTheme="minorHAnsi"/>
          <w:b/>
        </w:rPr>
      </w:pPr>
      <w:r>
        <w:rPr>
          <w:rFonts w:asciiTheme="minorHAnsi" w:hAnsiTheme="minorHAnsi"/>
          <w:b/>
        </w:rPr>
        <w:br w:type="page"/>
      </w:r>
    </w:p>
    <w:p w:rsidR="00367AD3" w:rsidRPr="008102F0" w:rsidRDefault="008102F0" w:rsidP="00367AD3">
      <w:pPr>
        <w:spacing w:after="120"/>
        <w:rPr>
          <w:rFonts w:asciiTheme="minorHAnsi" w:hAnsiTheme="minorHAnsi"/>
          <w:b/>
        </w:rPr>
      </w:pPr>
      <w:r w:rsidRPr="008102F0">
        <w:rPr>
          <w:rFonts w:asciiTheme="minorHAnsi" w:hAnsiTheme="minorHAnsi"/>
          <w:b/>
        </w:rPr>
        <w:lastRenderedPageBreak/>
        <w:t>Annex</w:t>
      </w:r>
      <w:r w:rsidR="00A058FC">
        <w:rPr>
          <w:rFonts w:asciiTheme="minorHAnsi" w:hAnsiTheme="minorHAnsi"/>
          <w:b/>
        </w:rPr>
        <w:t xml:space="preserve"> 2</w:t>
      </w:r>
    </w:p>
    <w:p w:rsidR="008102F0" w:rsidRPr="00367AD3" w:rsidRDefault="008102F0" w:rsidP="00367AD3">
      <w:pPr>
        <w:spacing w:after="120"/>
        <w:rPr>
          <w:rFonts w:asciiTheme="minorHAnsi" w:hAnsiTheme="minorHAnsi"/>
        </w:rPr>
      </w:pPr>
    </w:p>
    <w:p w:rsidR="00034EAB" w:rsidRPr="00367AD3" w:rsidRDefault="00950987" w:rsidP="001138D4">
      <w:pPr>
        <w:spacing w:after="120"/>
        <w:rPr>
          <w:rFonts w:asciiTheme="minorHAnsi" w:hAnsiTheme="minorHAnsi"/>
          <w:b/>
        </w:rPr>
      </w:pPr>
      <w:r w:rsidRPr="00367AD3">
        <w:rPr>
          <w:rFonts w:asciiTheme="minorHAnsi" w:hAnsiTheme="minorHAnsi"/>
          <w:b/>
        </w:rPr>
        <w:t>Ongoing Initiatives that can C</w:t>
      </w:r>
      <w:r w:rsidR="00603238" w:rsidRPr="00367AD3">
        <w:rPr>
          <w:rFonts w:asciiTheme="minorHAnsi" w:hAnsiTheme="minorHAnsi"/>
          <w:b/>
        </w:rPr>
        <w:t>ontribute and/ or are</w:t>
      </w:r>
      <w:r w:rsidRPr="00367AD3">
        <w:rPr>
          <w:rFonts w:asciiTheme="minorHAnsi" w:hAnsiTheme="minorHAnsi"/>
          <w:b/>
        </w:rPr>
        <w:t xml:space="preserve"> Components of the Three P</w:t>
      </w:r>
      <w:r w:rsidR="001138D4" w:rsidRPr="00367AD3">
        <w:rPr>
          <w:rFonts w:asciiTheme="minorHAnsi" w:hAnsiTheme="minorHAnsi"/>
          <w:b/>
        </w:rPr>
        <w:t>ilots</w:t>
      </w:r>
    </w:p>
    <w:p w:rsidR="00CF1BBF" w:rsidRPr="00367AD3" w:rsidRDefault="007F36E6" w:rsidP="001138D4">
      <w:pPr>
        <w:spacing w:after="120"/>
        <w:rPr>
          <w:rFonts w:asciiTheme="minorHAnsi" w:hAnsiTheme="minorHAnsi"/>
        </w:rPr>
      </w:pPr>
      <w:r w:rsidRPr="00367AD3">
        <w:rPr>
          <w:rFonts w:asciiTheme="minorHAnsi" w:hAnsiTheme="minorHAnsi"/>
        </w:rPr>
        <w:t>The pilot initiatives are to test the draft operational frame</w:t>
      </w:r>
      <w:r w:rsidR="001138D4" w:rsidRPr="00367AD3">
        <w:rPr>
          <w:rFonts w:asciiTheme="minorHAnsi" w:hAnsiTheme="minorHAnsi"/>
        </w:rPr>
        <w:t xml:space="preserve">work, </w:t>
      </w:r>
      <w:r w:rsidRPr="00367AD3">
        <w:rPr>
          <w:rFonts w:asciiTheme="minorHAnsi" w:hAnsiTheme="minorHAnsi"/>
        </w:rPr>
        <w:t xml:space="preserve">in particular its programmatic approach and how </w:t>
      </w:r>
      <w:r w:rsidR="001138D4" w:rsidRPr="00367AD3">
        <w:rPr>
          <w:rFonts w:asciiTheme="minorHAnsi" w:hAnsiTheme="minorHAnsi"/>
        </w:rPr>
        <w:t>this</w:t>
      </w:r>
      <w:r w:rsidRPr="00367AD3">
        <w:rPr>
          <w:rFonts w:asciiTheme="minorHAnsi" w:hAnsiTheme="minorHAnsi"/>
        </w:rPr>
        <w:t xml:space="preserve"> can be integrated into operational pl</w:t>
      </w:r>
      <w:r w:rsidR="001138D4" w:rsidRPr="00367AD3">
        <w:rPr>
          <w:rFonts w:asciiTheme="minorHAnsi" w:hAnsiTheme="minorHAnsi"/>
        </w:rPr>
        <w:t>anning at a cluster or an inter-organiz</w:t>
      </w:r>
      <w:r w:rsidRPr="00367AD3">
        <w:rPr>
          <w:rFonts w:asciiTheme="minorHAnsi" w:hAnsiTheme="minorHAnsi"/>
        </w:rPr>
        <w:t>ation</w:t>
      </w:r>
      <w:r w:rsidR="001138D4" w:rsidRPr="00367AD3">
        <w:rPr>
          <w:rFonts w:asciiTheme="minorHAnsi" w:hAnsiTheme="minorHAnsi"/>
        </w:rPr>
        <w:t>al</w:t>
      </w:r>
      <w:r w:rsidRPr="00367AD3">
        <w:rPr>
          <w:rFonts w:asciiTheme="minorHAnsi" w:hAnsiTheme="minorHAnsi"/>
        </w:rPr>
        <w:t xml:space="preserve"> level.</w:t>
      </w:r>
      <w:r w:rsidR="00A9773B" w:rsidRPr="00367AD3">
        <w:rPr>
          <w:rFonts w:asciiTheme="minorHAnsi" w:hAnsiTheme="minorHAnsi"/>
        </w:rPr>
        <w:t xml:space="preserve">  </w:t>
      </w:r>
      <w:r w:rsidR="001138D4" w:rsidRPr="00367AD3">
        <w:rPr>
          <w:rFonts w:asciiTheme="minorHAnsi" w:hAnsiTheme="minorHAnsi"/>
        </w:rPr>
        <w:t xml:space="preserve">To be as practical as possible, the aim </w:t>
      </w:r>
      <w:r w:rsidR="00CF1BBF" w:rsidRPr="00367AD3">
        <w:rPr>
          <w:rFonts w:asciiTheme="minorHAnsi" w:hAnsiTheme="minorHAnsi"/>
        </w:rPr>
        <w:t xml:space="preserve">is to build </w:t>
      </w:r>
      <w:r w:rsidR="001138D4" w:rsidRPr="00367AD3">
        <w:rPr>
          <w:rFonts w:asciiTheme="minorHAnsi" w:hAnsiTheme="minorHAnsi"/>
        </w:rPr>
        <w:t xml:space="preserve">on </w:t>
      </w:r>
      <w:r w:rsidR="00517145" w:rsidRPr="00367AD3">
        <w:rPr>
          <w:rFonts w:asciiTheme="minorHAnsi" w:hAnsiTheme="minorHAnsi"/>
        </w:rPr>
        <w:t>and link</w:t>
      </w:r>
      <w:r w:rsidR="00CF1BBF" w:rsidRPr="00367AD3">
        <w:rPr>
          <w:rFonts w:asciiTheme="minorHAnsi" w:hAnsiTheme="minorHAnsi"/>
        </w:rPr>
        <w:t xml:space="preserve"> existing initiatives </w:t>
      </w:r>
      <w:r w:rsidR="001138D4" w:rsidRPr="00367AD3">
        <w:rPr>
          <w:rFonts w:asciiTheme="minorHAnsi" w:hAnsiTheme="minorHAnsi"/>
        </w:rPr>
        <w:t>to look at how the h</w:t>
      </w:r>
      <w:r w:rsidR="00517145" w:rsidRPr="00367AD3">
        <w:rPr>
          <w:rFonts w:asciiTheme="minorHAnsi" w:hAnsiTheme="minorHAnsi"/>
        </w:rPr>
        <w:t>umanitarian system (HC, HCT, Clusters etc) as a whole can be more accou</w:t>
      </w:r>
      <w:r w:rsidR="001138D4" w:rsidRPr="00367AD3">
        <w:rPr>
          <w:rFonts w:asciiTheme="minorHAnsi" w:hAnsiTheme="minorHAnsi"/>
        </w:rPr>
        <w:t>ntable to affected populations.  The following initiatives have been identified in this regard:</w:t>
      </w:r>
    </w:p>
    <w:p w:rsidR="001138D4" w:rsidRPr="00367AD3" w:rsidRDefault="00517145" w:rsidP="001138D4">
      <w:pPr>
        <w:numPr>
          <w:ilvl w:val="0"/>
          <w:numId w:val="8"/>
        </w:numPr>
        <w:spacing w:after="120"/>
        <w:rPr>
          <w:rFonts w:asciiTheme="minorHAnsi" w:hAnsiTheme="minorHAnsi"/>
        </w:rPr>
      </w:pPr>
      <w:r w:rsidRPr="00367AD3">
        <w:rPr>
          <w:rFonts w:asciiTheme="minorHAnsi" w:hAnsiTheme="minorHAnsi"/>
        </w:rPr>
        <w:t xml:space="preserve">The </w:t>
      </w:r>
      <w:r w:rsidR="00CC0511" w:rsidRPr="00367AD3">
        <w:rPr>
          <w:rFonts w:asciiTheme="minorHAnsi" w:hAnsiTheme="minorHAnsi"/>
          <w:b/>
        </w:rPr>
        <w:t>E</w:t>
      </w:r>
      <w:r w:rsidRPr="00367AD3">
        <w:rPr>
          <w:rFonts w:asciiTheme="minorHAnsi" w:hAnsiTheme="minorHAnsi"/>
          <w:b/>
        </w:rPr>
        <w:t xml:space="preserve">mergency </w:t>
      </w:r>
      <w:r w:rsidR="00CC0511" w:rsidRPr="00367AD3">
        <w:rPr>
          <w:rFonts w:asciiTheme="minorHAnsi" w:hAnsiTheme="minorHAnsi"/>
          <w:b/>
        </w:rPr>
        <w:t>C</w:t>
      </w:r>
      <w:r w:rsidRPr="00367AD3">
        <w:rPr>
          <w:rFonts w:asciiTheme="minorHAnsi" w:hAnsiTheme="minorHAnsi"/>
          <w:b/>
        </w:rPr>
        <w:t xml:space="preserve">apacity </w:t>
      </w:r>
      <w:r w:rsidR="00CC0511" w:rsidRPr="00367AD3">
        <w:rPr>
          <w:rFonts w:asciiTheme="minorHAnsi" w:hAnsiTheme="minorHAnsi"/>
          <w:b/>
        </w:rPr>
        <w:t>B</w:t>
      </w:r>
      <w:r w:rsidRPr="00367AD3">
        <w:rPr>
          <w:rFonts w:asciiTheme="minorHAnsi" w:hAnsiTheme="minorHAnsi"/>
          <w:b/>
        </w:rPr>
        <w:t xml:space="preserve">uilding </w:t>
      </w:r>
      <w:r w:rsidRPr="00367AD3">
        <w:rPr>
          <w:rFonts w:asciiTheme="minorHAnsi" w:hAnsiTheme="minorHAnsi"/>
        </w:rPr>
        <w:t>project, with funding</w:t>
      </w:r>
      <w:r w:rsidR="008C5C8D" w:rsidRPr="00367AD3">
        <w:rPr>
          <w:rFonts w:asciiTheme="minorHAnsi" w:hAnsiTheme="minorHAnsi"/>
        </w:rPr>
        <w:t>,</w:t>
      </w:r>
      <w:r w:rsidRPr="00367AD3">
        <w:rPr>
          <w:rFonts w:asciiTheme="minorHAnsi" w:hAnsiTheme="minorHAnsi"/>
        </w:rPr>
        <w:t xml:space="preserve"> is planning pilots to look at how the shelter Cluster (IFRC-led) and the WASH cluster can s</w:t>
      </w:r>
      <w:r w:rsidR="001138D4" w:rsidRPr="00367AD3">
        <w:rPr>
          <w:rFonts w:asciiTheme="minorHAnsi" w:hAnsiTheme="minorHAnsi"/>
        </w:rPr>
        <w:t>trengthen their accountability.</w:t>
      </w:r>
    </w:p>
    <w:p w:rsidR="00A9773B" w:rsidRPr="00367AD3" w:rsidRDefault="00517145" w:rsidP="001138D4">
      <w:pPr>
        <w:numPr>
          <w:ilvl w:val="0"/>
          <w:numId w:val="8"/>
        </w:numPr>
        <w:spacing w:after="120"/>
        <w:rPr>
          <w:rFonts w:asciiTheme="minorHAnsi" w:hAnsiTheme="minorHAnsi"/>
        </w:rPr>
      </w:pPr>
      <w:r w:rsidRPr="00367AD3">
        <w:rPr>
          <w:rFonts w:asciiTheme="minorHAnsi" w:hAnsiTheme="minorHAnsi"/>
        </w:rPr>
        <w:t xml:space="preserve">The </w:t>
      </w:r>
      <w:r w:rsidR="00CC0511" w:rsidRPr="00367AD3">
        <w:rPr>
          <w:rFonts w:asciiTheme="minorHAnsi" w:hAnsiTheme="minorHAnsi"/>
          <w:b/>
        </w:rPr>
        <w:t>g</w:t>
      </w:r>
      <w:r w:rsidRPr="00367AD3">
        <w:rPr>
          <w:rFonts w:asciiTheme="minorHAnsi" w:hAnsiTheme="minorHAnsi"/>
          <w:b/>
        </w:rPr>
        <w:t xml:space="preserve">lobal </w:t>
      </w:r>
      <w:r w:rsidR="00CC0511" w:rsidRPr="00367AD3">
        <w:rPr>
          <w:rFonts w:asciiTheme="minorHAnsi" w:hAnsiTheme="minorHAnsi"/>
          <w:b/>
        </w:rPr>
        <w:t>F</w:t>
      </w:r>
      <w:r w:rsidRPr="00367AD3">
        <w:rPr>
          <w:rFonts w:asciiTheme="minorHAnsi" w:hAnsiTheme="minorHAnsi"/>
          <w:b/>
        </w:rPr>
        <w:t xml:space="preserve">ood Security </w:t>
      </w:r>
      <w:r w:rsidR="00CC0511" w:rsidRPr="00367AD3">
        <w:rPr>
          <w:rFonts w:asciiTheme="minorHAnsi" w:hAnsiTheme="minorHAnsi"/>
          <w:b/>
        </w:rPr>
        <w:t>C</w:t>
      </w:r>
      <w:r w:rsidRPr="00367AD3">
        <w:rPr>
          <w:rFonts w:asciiTheme="minorHAnsi" w:hAnsiTheme="minorHAnsi"/>
          <w:b/>
        </w:rPr>
        <w:t xml:space="preserve">luster </w:t>
      </w:r>
      <w:r w:rsidR="001138D4" w:rsidRPr="00367AD3">
        <w:rPr>
          <w:rFonts w:asciiTheme="minorHAnsi" w:hAnsiTheme="minorHAnsi"/>
        </w:rPr>
        <w:t>(gFSC)</w:t>
      </w:r>
      <w:r w:rsidR="001138D4" w:rsidRPr="00367AD3">
        <w:rPr>
          <w:rFonts w:asciiTheme="minorHAnsi" w:hAnsiTheme="minorHAnsi"/>
          <w:b/>
        </w:rPr>
        <w:t xml:space="preserve"> </w:t>
      </w:r>
      <w:r w:rsidRPr="00367AD3">
        <w:rPr>
          <w:rFonts w:asciiTheme="minorHAnsi" w:hAnsiTheme="minorHAnsi"/>
        </w:rPr>
        <w:t>has agreed to collaborate on at least two of the three pilots that will be undertaken based on the operational framework.</w:t>
      </w:r>
      <w:r w:rsidR="001138D4" w:rsidRPr="00367AD3">
        <w:rPr>
          <w:rFonts w:asciiTheme="minorHAnsi" w:hAnsiTheme="minorHAnsi"/>
        </w:rPr>
        <w:t xml:space="preserve">  </w:t>
      </w:r>
      <w:r w:rsidRPr="00367AD3">
        <w:rPr>
          <w:rFonts w:asciiTheme="minorHAnsi" w:hAnsiTheme="minorHAnsi"/>
        </w:rPr>
        <w:t>In March, the gFSC will be carrying out sco</w:t>
      </w:r>
      <w:r w:rsidR="001138D4" w:rsidRPr="00367AD3">
        <w:rPr>
          <w:rFonts w:asciiTheme="minorHAnsi" w:hAnsiTheme="minorHAnsi"/>
        </w:rPr>
        <w:t>ping missions in the Sahel.  A</w:t>
      </w:r>
      <w:r w:rsidRPr="00367AD3">
        <w:rPr>
          <w:rFonts w:asciiTheme="minorHAnsi" w:hAnsiTheme="minorHAnsi"/>
        </w:rPr>
        <w:t>mongst other issues</w:t>
      </w:r>
      <w:r w:rsidR="001138D4" w:rsidRPr="00367AD3">
        <w:rPr>
          <w:rFonts w:asciiTheme="minorHAnsi" w:hAnsiTheme="minorHAnsi"/>
        </w:rPr>
        <w:t>,</w:t>
      </w:r>
      <w:r w:rsidRPr="00367AD3">
        <w:rPr>
          <w:rFonts w:asciiTheme="minorHAnsi" w:hAnsiTheme="minorHAnsi"/>
        </w:rPr>
        <w:t xml:space="preserve"> the support team members underta</w:t>
      </w:r>
      <w:r w:rsidR="001138D4" w:rsidRPr="00367AD3">
        <w:rPr>
          <w:rFonts w:asciiTheme="minorHAnsi" w:hAnsiTheme="minorHAnsi"/>
        </w:rPr>
        <w:t xml:space="preserve">king this work in the “pre-assessment phase” </w:t>
      </w:r>
      <w:r w:rsidRPr="00367AD3">
        <w:rPr>
          <w:rFonts w:asciiTheme="minorHAnsi" w:hAnsiTheme="minorHAnsi"/>
        </w:rPr>
        <w:t xml:space="preserve">would raise questions, based on the </w:t>
      </w:r>
      <w:r w:rsidR="00A9773B" w:rsidRPr="00367AD3">
        <w:rPr>
          <w:rFonts w:asciiTheme="minorHAnsi" w:hAnsiTheme="minorHAnsi"/>
        </w:rPr>
        <w:t>CAAPs</w:t>
      </w:r>
      <w:r w:rsidRPr="00367AD3">
        <w:rPr>
          <w:rFonts w:asciiTheme="minorHAnsi" w:hAnsiTheme="minorHAnsi"/>
        </w:rPr>
        <w:t xml:space="preserve">, about what </w:t>
      </w:r>
      <w:r w:rsidR="00A9773B" w:rsidRPr="00367AD3">
        <w:rPr>
          <w:rFonts w:asciiTheme="minorHAnsi" w:hAnsiTheme="minorHAnsi"/>
        </w:rPr>
        <w:t xml:space="preserve">already </w:t>
      </w:r>
      <w:r w:rsidRPr="00367AD3">
        <w:rPr>
          <w:rFonts w:asciiTheme="minorHAnsi" w:hAnsiTheme="minorHAnsi"/>
        </w:rPr>
        <w:t>exists and who</w:t>
      </w:r>
      <w:r w:rsidR="005E03FA" w:rsidRPr="00367AD3">
        <w:rPr>
          <w:rFonts w:asciiTheme="minorHAnsi" w:hAnsiTheme="minorHAnsi"/>
        </w:rPr>
        <w:t xml:space="preserve"> is working on what amongst </w:t>
      </w:r>
      <w:r w:rsidR="00A9773B" w:rsidRPr="00367AD3">
        <w:rPr>
          <w:rFonts w:asciiTheme="minorHAnsi" w:hAnsiTheme="minorHAnsi"/>
        </w:rPr>
        <w:t>partners.</w:t>
      </w:r>
    </w:p>
    <w:p w:rsidR="008852B5" w:rsidRPr="00367AD3" w:rsidRDefault="008852B5" w:rsidP="00A9773B">
      <w:pPr>
        <w:numPr>
          <w:ilvl w:val="0"/>
          <w:numId w:val="8"/>
        </w:numPr>
        <w:spacing w:after="120"/>
        <w:rPr>
          <w:rFonts w:asciiTheme="minorHAnsi" w:hAnsiTheme="minorHAnsi"/>
        </w:rPr>
      </w:pPr>
      <w:r w:rsidRPr="00367AD3">
        <w:rPr>
          <w:rFonts w:asciiTheme="minorHAnsi" w:hAnsiTheme="minorHAnsi"/>
          <w:b/>
        </w:rPr>
        <w:t>FAO Accountability to Affected Populations (AAP) Project</w:t>
      </w:r>
      <w:r w:rsidRPr="00367AD3">
        <w:rPr>
          <w:rFonts w:asciiTheme="minorHAnsi" w:hAnsiTheme="minorHAnsi"/>
        </w:rPr>
        <w:t xml:space="preserve"> – As of December 2011, FAO has commenced an in-house project on AAP, with intended outcomes including: a baseline analysis of FAO against current industry standards on AAP, a number of pilot projects in the field, with a cross section of sole agency, interagency, and cluster level accountability activities; development of a range of accountability analysis, planning and self assessment tools to be used both internally and offered for piloting and use across the AAP sub group agencies and initiatives; inclusion of AAP across relevant policy and standard operating procedures, and; development of a work plan for the mainstreaming of ongoing activities and accountability improvements. </w:t>
      </w:r>
    </w:p>
    <w:p w:rsidR="009B3BB3" w:rsidRPr="00367AD3" w:rsidRDefault="009B3BB3" w:rsidP="00A9773B">
      <w:pPr>
        <w:numPr>
          <w:ilvl w:val="0"/>
          <w:numId w:val="8"/>
        </w:numPr>
        <w:spacing w:after="120"/>
        <w:rPr>
          <w:rFonts w:asciiTheme="minorHAnsi" w:hAnsiTheme="minorHAnsi"/>
        </w:rPr>
      </w:pPr>
      <w:r w:rsidRPr="00367AD3">
        <w:rPr>
          <w:rFonts w:asciiTheme="minorHAnsi" w:hAnsiTheme="minorHAnsi"/>
          <w:b/>
        </w:rPr>
        <w:t>WFP Protection Unit Guidance to Country Offices on Feedback and Complaints Mechanisms</w:t>
      </w:r>
      <w:r w:rsidRPr="00367AD3">
        <w:rPr>
          <w:rFonts w:asciiTheme="minorHAnsi" w:hAnsiTheme="minorHAnsi"/>
        </w:rPr>
        <w:t xml:space="preserve"> – WFP is devoting resources to the development of guidance on complaints and feedback mechanisms and will establish a number of pilots in addition to working with country offices where such mechanisms already exist. Discussions are underway between WFP and FAO to collaborate in at least one pilot country.</w:t>
      </w:r>
    </w:p>
    <w:p w:rsidR="00D80D11" w:rsidRPr="00367AD3" w:rsidRDefault="0043320B" w:rsidP="00A9773B">
      <w:pPr>
        <w:numPr>
          <w:ilvl w:val="0"/>
          <w:numId w:val="8"/>
        </w:numPr>
        <w:spacing w:after="120"/>
        <w:rPr>
          <w:rFonts w:asciiTheme="minorHAnsi" w:hAnsiTheme="minorHAnsi"/>
        </w:rPr>
      </w:pPr>
      <w:r w:rsidRPr="00367AD3">
        <w:rPr>
          <w:rFonts w:asciiTheme="minorHAnsi" w:hAnsiTheme="minorHAnsi"/>
          <w:b/>
        </w:rPr>
        <w:t>PSEA joint community-based complaint mechanisms pilots</w:t>
      </w:r>
      <w:r w:rsidR="00A9773B" w:rsidRPr="00367AD3">
        <w:rPr>
          <w:rFonts w:asciiTheme="minorHAnsi" w:hAnsiTheme="minorHAnsi"/>
        </w:rPr>
        <w:t xml:space="preserve"> – a</w:t>
      </w:r>
      <w:r w:rsidRPr="00367AD3">
        <w:rPr>
          <w:rFonts w:asciiTheme="minorHAnsi" w:hAnsiTheme="minorHAnsi"/>
        </w:rPr>
        <w:t xml:space="preserve">s of November 2011, UNHCR agreed to be the fiscal agent for the ECHO funding </w:t>
      </w:r>
      <w:r w:rsidR="00110A7A" w:rsidRPr="00367AD3">
        <w:rPr>
          <w:rFonts w:asciiTheme="minorHAnsi" w:hAnsiTheme="minorHAnsi"/>
        </w:rPr>
        <w:t>proposal with</w:t>
      </w:r>
      <w:r w:rsidRPr="00367AD3">
        <w:rPr>
          <w:rFonts w:asciiTheme="minorHAnsi" w:hAnsiTheme="minorHAnsi"/>
        </w:rPr>
        <w:t xml:space="preserve"> IOM and </w:t>
      </w:r>
      <w:r w:rsidR="00A9773B" w:rsidRPr="00367AD3">
        <w:rPr>
          <w:rFonts w:asciiTheme="minorHAnsi" w:hAnsiTheme="minorHAnsi"/>
        </w:rPr>
        <w:t>World Vision International</w:t>
      </w:r>
      <w:r w:rsidRPr="00367AD3">
        <w:rPr>
          <w:rFonts w:asciiTheme="minorHAnsi" w:hAnsiTheme="minorHAnsi"/>
        </w:rPr>
        <w:t xml:space="preserve"> as sub-grantees. </w:t>
      </w:r>
      <w:r w:rsidR="00A9773B" w:rsidRPr="00367AD3">
        <w:rPr>
          <w:rFonts w:asciiTheme="minorHAnsi" w:hAnsiTheme="minorHAnsi"/>
        </w:rPr>
        <w:t xml:space="preserve"> </w:t>
      </w:r>
      <w:r w:rsidRPr="00367AD3">
        <w:rPr>
          <w:rFonts w:asciiTheme="minorHAnsi" w:hAnsiTheme="minorHAnsi"/>
        </w:rPr>
        <w:t xml:space="preserve">It was agreed that UNHCR would implement the project in Kenya/Kakuma, IOM in Haiti/Port au Prince and WVI in Sri Lanka/Northern district. </w:t>
      </w:r>
      <w:r w:rsidR="00A9773B" w:rsidRPr="00367AD3">
        <w:rPr>
          <w:rFonts w:asciiTheme="minorHAnsi" w:hAnsiTheme="minorHAnsi"/>
        </w:rPr>
        <w:t xml:space="preserve"> </w:t>
      </w:r>
      <w:r w:rsidRPr="00367AD3">
        <w:rPr>
          <w:rFonts w:asciiTheme="minorHAnsi" w:hAnsiTheme="minorHAnsi"/>
        </w:rPr>
        <w:t>Needs assessments were carried out in each pilot location by the Consortium (UNHCR/IOM/WVI)</w:t>
      </w:r>
      <w:r w:rsidR="00110A7A" w:rsidRPr="00367AD3">
        <w:rPr>
          <w:rFonts w:asciiTheme="minorHAnsi" w:hAnsiTheme="minorHAnsi"/>
        </w:rPr>
        <w:t xml:space="preserve">. Currently </w:t>
      </w:r>
      <w:r w:rsidRPr="00367AD3">
        <w:rPr>
          <w:rFonts w:asciiTheme="minorHAnsi" w:hAnsiTheme="minorHAnsi"/>
        </w:rPr>
        <w:t xml:space="preserve">the Task Force is awaiting a revised version of the Letter of Intent before we officially agree to support the project. </w:t>
      </w:r>
    </w:p>
    <w:p w:rsidR="00A058FC" w:rsidRDefault="005246CE" w:rsidP="00A058FC">
      <w:pPr>
        <w:numPr>
          <w:ilvl w:val="0"/>
          <w:numId w:val="8"/>
        </w:numPr>
        <w:spacing w:after="120"/>
        <w:rPr>
          <w:rFonts w:asciiTheme="minorHAnsi" w:hAnsiTheme="minorHAnsi"/>
        </w:rPr>
      </w:pPr>
      <w:r w:rsidRPr="00367AD3">
        <w:rPr>
          <w:rFonts w:asciiTheme="minorHAnsi" w:hAnsiTheme="minorHAnsi"/>
          <w:b/>
        </w:rPr>
        <w:t xml:space="preserve">An </w:t>
      </w:r>
      <w:r w:rsidR="002A503E" w:rsidRPr="00367AD3">
        <w:rPr>
          <w:rFonts w:asciiTheme="minorHAnsi" w:hAnsiTheme="minorHAnsi"/>
          <w:b/>
        </w:rPr>
        <w:t>ALNAP-CDA</w:t>
      </w:r>
      <w:r w:rsidR="002A503E" w:rsidRPr="00367AD3">
        <w:rPr>
          <w:rFonts w:asciiTheme="minorHAnsi" w:hAnsiTheme="minorHAnsi"/>
        </w:rPr>
        <w:t xml:space="preserve"> project is currently being defined in terms of scope and research questions, but is aimed at looking at to what degree do beneficiary feedback mechanism</w:t>
      </w:r>
      <w:r w:rsidR="00A9773B" w:rsidRPr="00367AD3">
        <w:rPr>
          <w:rFonts w:asciiTheme="minorHAnsi" w:hAnsiTheme="minorHAnsi"/>
        </w:rPr>
        <w:t xml:space="preserve">s work in humanitarian settings. </w:t>
      </w:r>
      <w:r w:rsidR="002A503E" w:rsidRPr="00367AD3">
        <w:rPr>
          <w:rFonts w:asciiTheme="minorHAnsi" w:hAnsiTheme="minorHAnsi"/>
        </w:rPr>
        <w:t xml:space="preserve"> </w:t>
      </w:r>
      <w:r w:rsidR="00A9773B" w:rsidRPr="00367AD3">
        <w:rPr>
          <w:rFonts w:asciiTheme="minorHAnsi" w:hAnsiTheme="minorHAnsi"/>
        </w:rPr>
        <w:t xml:space="preserve">In addition, it will examine the </w:t>
      </w:r>
      <w:r w:rsidR="002A503E" w:rsidRPr="00367AD3">
        <w:rPr>
          <w:rFonts w:asciiTheme="minorHAnsi" w:hAnsiTheme="minorHAnsi"/>
        </w:rPr>
        <w:t xml:space="preserve">features </w:t>
      </w:r>
      <w:r w:rsidR="00A9773B" w:rsidRPr="00367AD3">
        <w:rPr>
          <w:rFonts w:asciiTheme="minorHAnsi" w:hAnsiTheme="minorHAnsi"/>
        </w:rPr>
        <w:t>characterizing</w:t>
      </w:r>
      <w:r w:rsidR="002A503E" w:rsidRPr="00367AD3">
        <w:rPr>
          <w:rFonts w:asciiTheme="minorHAnsi" w:hAnsiTheme="minorHAnsi"/>
        </w:rPr>
        <w:t xml:space="preserve"> those feedback mechanisms that seem to</w:t>
      </w:r>
      <w:r w:rsidR="008102F0">
        <w:rPr>
          <w:rFonts w:asciiTheme="minorHAnsi" w:hAnsiTheme="minorHAnsi"/>
        </w:rPr>
        <w:t xml:space="preserve"> work most successfully.</w:t>
      </w:r>
    </w:p>
    <w:p w:rsidR="008102F0" w:rsidRPr="005A4D4E" w:rsidRDefault="00A058FC" w:rsidP="005A4D4E">
      <w:pPr>
        <w:numPr>
          <w:ilvl w:val="0"/>
          <w:numId w:val="8"/>
        </w:numPr>
        <w:spacing w:after="0"/>
        <w:rPr>
          <w:rFonts w:asciiTheme="minorHAnsi" w:hAnsiTheme="minorHAnsi"/>
        </w:rPr>
      </w:pPr>
      <w:r w:rsidRPr="005A4D4E">
        <w:rPr>
          <w:rFonts w:asciiTheme="minorHAnsi" w:hAnsiTheme="minorHAnsi"/>
        </w:rPr>
        <w:t>The proposal is to build on the WASH, Shelter, Food Security and PSEA pilots and provide additional resources to those countries so that the HC, HCT and other clusters would have the opportunity to engage at a broader level in the pilot countries.</w:t>
      </w:r>
      <w:r w:rsidR="008102F0" w:rsidRPr="005A4D4E">
        <w:rPr>
          <w:rFonts w:asciiTheme="minorHAnsi" w:hAnsiTheme="minorHAnsi"/>
        </w:rPr>
        <w:br w:type="page"/>
      </w:r>
    </w:p>
    <w:p w:rsidR="005A4D4E" w:rsidRDefault="00A058FC" w:rsidP="008102F0">
      <w:pPr>
        <w:spacing w:after="120"/>
        <w:rPr>
          <w:rFonts w:asciiTheme="minorHAnsi" w:hAnsiTheme="minorHAnsi"/>
          <w:b/>
        </w:rPr>
      </w:pPr>
      <w:r>
        <w:rPr>
          <w:rFonts w:asciiTheme="minorHAnsi" w:hAnsiTheme="minorHAnsi"/>
          <w:b/>
        </w:rPr>
        <w:lastRenderedPageBreak/>
        <w:t>Annex 3</w:t>
      </w:r>
    </w:p>
    <w:p w:rsidR="008102F0" w:rsidRPr="008102F0" w:rsidRDefault="008102F0" w:rsidP="008102F0">
      <w:pPr>
        <w:spacing w:after="120"/>
        <w:rPr>
          <w:rFonts w:asciiTheme="minorHAnsi" w:hAnsiTheme="minorHAnsi"/>
          <w:b/>
        </w:rPr>
      </w:pPr>
      <w:r w:rsidRPr="008102F0">
        <w:rPr>
          <w:rFonts w:asciiTheme="minorHAnsi" w:hAnsiTheme="minorHAnsi"/>
          <w:b/>
        </w:rPr>
        <w:t>Terms of Reference – Country-level Coordinators:</w:t>
      </w:r>
    </w:p>
    <w:p w:rsidR="008102F0" w:rsidRDefault="008102F0" w:rsidP="008102F0">
      <w:pPr>
        <w:numPr>
          <w:ilvl w:val="0"/>
          <w:numId w:val="8"/>
        </w:numPr>
        <w:spacing w:after="240"/>
        <w:ind w:left="426"/>
        <w:rPr>
          <w:rFonts w:asciiTheme="minorHAnsi" w:hAnsiTheme="minorHAnsi"/>
          <w:lang w:val="en-US"/>
        </w:rPr>
      </w:pPr>
      <w:r>
        <w:rPr>
          <w:rFonts w:asciiTheme="minorHAnsi" w:hAnsiTheme="minorHAnsi"/>
          <w:lang w:val="en-US"/>
        </w:rPr>
        <w:t xml:space="preserve">Develop a baseline and </w:t>
      </w:r>
      <w:r w:rsidRPr="008102F0">
        <w:rPr>
          <w:rFonts w:asciiTheme="minorHAnsi" w:hAnsiTheme="minorHAnsi"/>
          <w:lang w:val="en-US"/>
        </w:rPr>
        <w:t xml:space="preserve">scope existing practice </w:t>
      </w:r>
      <w:r>
        <w:rPr>
          <w:rFonts w:asciiTheme="minorHAnsi" w:hAnsiTheme="minorHAnsi"/>
          <w:lang w:val="en-US"/>
        </w:rPr>
        <w:t>for accountability initiatives already in place in-country.</w:t>
      </w:r>
    </w:p>
    <w:p w:rsidR="008102F0" w:rsidRDefault="008102F0" w:rsidP="008102F0">
      <w:pPr>
        <w:numPr>
          <w:ilvl w:val="0"/>
          <w:numId w:val="8"/>
        </w:numPr>
        <w:spacing w:after="240"/>
        <w:ind w:left="426"/>
        <w:rPr>
          <w:rFonts w:asciiTheme="minorHAnsi" w:hAnsiTheme="minorHAnsi"/>
          <w:lang w:val="en-US"/>
        </w:rPr>
      </w:pPr>
      <w:r>
        <w:rPr>
          <w:rFonts w:asciiTheme="minorHAnsi" w:hAnsiTheme="minorHAnsi"/>
          <w:lang w:val="en-US"/>
        </w:rPr>
        <w:t>Utilizing the baseline and operational framework, develop an action plan with HC/HCT and clusters/sectors for enhancing AAP across the humanitarian architecture in-country.</w:t>
      </w:r>
    </w:p>
    <w:p w:rsidR="008102F0" w:rsidRDefault="008102F0" w:rsidP="008102F0">
      <w:pPr>
        <w:numPr>
          <w:ilvl w:val="0"/>
          <w:numId w:val="8"/>
        </w:numPr>
        <w:spacing w:after="240"/>
        <w:ind w:left="426"/>
        <w:rPr>
          <w:rFonts w:asciiTheme="minorHAnsi" w:hAnsiTheme="minorHAnsi"/>
          <w:lang w:val="en-US"/>
        </w:rPr>
      </w:pPr>
      <w:r>
        <w:rPr>
          <w:rFonts w:asciiTheme="minorHAnsi" w:hAnsiTheme="minorHAnsi"/>
          <w:lang w:val="en-US"/>
        </w:rPr>
        <w:t>Assist in coordinating the implementation of the action plan, including training and capacity building where necessary.</w:t>
      </w:r>
    </w:p>
    <w:p w:rsidR="008102F0" w:rsidRPr="008102F0" w:rsidRDefault="008102F0" w:rsidP="008102F0">
      <w:pPr>
        <w:numPr>
          <w:ilvl w:val="0"/>
          <w:numId w:val="8"/>
        </w:numPr>
        <w:spacing w:after="240"/>
        <w:ind w:left="426"/>
        <w:rPr>
          <w:rFonts w:asciiTheme="minorHAnsi" w:hAnsiTheme="minorHAnsi"/>
          <w:lang w:val="en-US"/>
        </w:rPr>
      </w:pPr>
      <w:r>
        <w:rPr>
          <w:rFonts w:asciiTheme="minorHAnsi" w:hAnsiTheme="minorHAnsi"/>
          <w:lang w:val="en-US"/>
        </w:rPr>
        <w:t xml:space="preserve">Backstop and </w:t>
      </w:r>
      <w:r w:rsidRPr="008102F0">
        <w:rPr>
          <w:rFonts w:asciiTheme="minorHAnsi" w:hAnsiTheme="minorHAnsi"/>
          <w:lang w:val="en-US"/>
        </w:rPr>
        <w:t xml:space="preserve">provide advice </w:t>
      </w:r>
      <w:r>
        <w:rPr>
          <w:rFonts w:asciiTheme="minorHAnsi" w:hAnsiTheme="minorHAnsi"/>
          <w:lang w:val="en-US"/>
        </w:rPr>
        <w:t>to clusters</w:t>
      </w:r>
      <w:r w:rsidRPr="008102F0">
        <w:rPr>
          <w:rFonts w:asciiTheme="minorHAnsi" w:hAnsiTheme="minorHAnsi"/>
          <w:lang w:val="en-US"/>
        </w:rPr>
        <w:t xml:space="preserve"> in improving their </w:t>
      </w:r>
      <w:r>
        <w:rPr>
          <w:rFonts w:asciiTheme="minorHAnsi" w:hAnsiTheme="minorHAnsi"/>
          <w:lang w:val="en-US"/>
        </w:rPr>
        <w:t>operational strategies</w:t>
      </w:r>
      <w:r w:rsidRPr="008102F0">
        <w:rPr>
          <w:rFonts w:asciiTheme="minorHAnsi" w:hAnsiTheme="minorHAnsi"/>
          <w:lang w:val="en-US"/>
        </w:rPr>
        <w:t xml:space="preserve">. </w:t>
      </w:r>
    </w:p>
    <w:p w:rsidR="008102F0" w:rsidRPr="008102F0" w:rsidRDefault="008102F0" w:rsidP="008102F0">
      <w:pPr>
        <w:numPr>
          <w:ilvl w:val="0"/>
          <w:numId w:val="8"/>
        </w:numPr>
        <w:spacing w:after="240"/>
        <w:ind w:left="426"/>
        <w:rPr>
          <w:rFonts w:asciiTheme="minorHAnsi" w:hAnsiTheme="minorHAnsi"/>
          <w:lang w:val="en-US"/>
        </w:rPr>
      </w:pPr>
      <w:r>
        <w:rPr>
          <w:rFonts w:asciiTheme="minorHAnsi" w:hAnsiTheme="minorHAnsi"/>
          <w:lang w:val="en-US"/>
        </w:rPr>
        <w:t>P</w:t>
      </w:r>
      <w:r w:rsidRPr="008102F0">
        <w:rPr>
          <w:rFonts w:asciiTheme="minorHAnsi" w:hAnsiTheme="minorHAnsi"/>
          <w:lang w:val="en-US"/>
        </w:rPr>
        <w:t xml:space="preserve">rovide an opportunity for further consultation on the Operational Framework from a field practitioner perspective. </w:t>
      </w:r>
    </w:p>
    <w:p w:rsidR="008102F0" w:rsidRDefault="008102F0" w:rsidP="008102F0">
      <w:pPr>
        <w:numPr>
          <w:ilvl w:val="0"/>
          <w:numId w:val="8"/>
        </w:numPr>
        <w:spacing w:after="240"/>
        <w:ind w:left="426"/>
        <w:rPr>
          <w:rFonts w:asciiTheme="minorHAnsi" w:hAnsiTheme="minorHAnsi"/>
          <w:lang w:val="en-US"/>
        </w:rPr>
      </w:pPr>
      <w:r w:rsidRPr="008102F0">
        <w:rPr>
          <w:rFonts w:asciiTheme="minorHAnsi" w:hAnsiTheme="minorHAnsi"/>
          <w:lang w:val="en-US"/>
        </w:rPr>
        <w:t xml:space="preserve">To make recommendations </w:t>
      </w:r>
      <w:r>
        <w:rPr>
          <w:rFonts w:asciiTheme="minorHAnsi" w:hAnsiTheme="minorHAnsi"/>
          <w:lang w:val="en-US"/>
        </w:rPr>
        <w:t xml:space="preserve">to the Global Coordinator </w:t>
      </w:r>
      <w:r w:rsidRPr="008102F0">
        <w:rPr>
          <w:rFonts w:asciiTheme="minorHAnsi" w:hAnsiTheme="minorHAnsi"/>
          <w:lang w:val="en-US"/>
        </w:rPr>
        <w:t>for revisions to the Operational Framework</w:t>
      </w:r>
      <w:r>
        <w:rPr>
          <w:rFonts w:asciiTheme="minorHAnsi" w:hAnsiTheme="minorHAnsi"/>
          <w:lang w:val="en-US"/>
        </w:rPr>
        <w:t>.</w:t>
      </w:r>
    </w:p>
    <w:p w:rsidR="008102F0" w:rsidRDefault="008102F0">
      <w:pPr>
        <w:spacing w:after="0"/>
        <w:rPr>
          <w:rFonts w:asciiTheme="minorHAnsi" w:hAnsiTheme="minorHAnsi"/>
          <w:lang w:val="en-US"/>
        </w:rPr>
      </w:pPr>
      <w:r>
        <w:rPr>
          <w:rFonts w:asciiTheme="minorHAnsi" w:hAnsiTheme="minorHAnsi"/>
          <w:lang w:val="en-US"/>
        </w:rPr>
        <w:br w:type="page"/>
      </w:r>
    </w:p>
    <w:p w:rsidR="003F2E8F" w:rsidRPr="00A058FC" w:rsidRDefault="00A058FC" w:rsidP="008102F0">
      <w:pPr>
        <w:spacing w:after="240"/>
        <w:rPr>
          <w:rFonts w:asciiTheme="minorHAnsi" w:hAnsiTheme="minorHAnsi"/>
          <w:b/>
          <w:lang w:val="en-US"/>
        </w:rPr>
      </w:pPr>
      <w:r>
        <w:rPr>
          <w:rFonts w:asciiTheme="minorHAnsi" w:hAnsiTheme="minorHAnsi"/>
          <w:b/>
          <w:lang w:val="en-US"/>
        </w:rPr>
        <w:lastRenderedPageBreak/>
        <w:t>Annex 4</w:t>
      </w:r>
    </w:p>
    <w:p w:rsidR="008102F0" w:rsidRPr="00A058FC" w:rsidRDefault="008102F0" w:rsidP="008102F0">
      <w:pPr>
        <w:spacing w:after="240"/>
        <w:rPr>
          <w:rFonts w:asciiTheme="minorHAnsi" w:hAnsiTheme="minorHAnsi"/>
          <w:b/>
          <w:lang w:val="en-US"/>
        </w:rPr>
      </w:pPr>
      <w:r w:rsidRPr="00A058FC">
        <w:rPr>
          <w:rFonts w:asciiTheme="minorHAnsi" w:hAnsiTheme="minorHAnsi"/>
          <w:b/>
          <w:lang w:val="en-US"/>
        </w:rPr>
        <w:t>Terms of Reference –Global Coordinator</w:t>
      </w:r>
    </w:p>
    <w:p w:rsidR="008102F0" w:rsidRDefault="008102F0" w:rsidP="008102F0">
      <w:pPr>
        <w:numPr>
          <w:ilvl w:val="0"/>
          <w:numId w:val="8"/>
        </w:numPr>
        <w:spacing w:after="240"/>
        <w:ind w:left="426"/>
        <w:rPr>
          <w:rFonts w:asciiTheme="minorHAnsi" w:hAnsiTheme="minorHAnsi"/>
          <w:lang w:val="en-US"/>
        </w:rPr>
      </w:pPr>
      <w:r>
        <w:rPr>
          <w:rFonts w:asciiTheme="minorHAnsi" w:hAnsiTheme="minorHAnsi"/>
          <w:lang w:val="en-US"/>
        </w:rPr>
        <w:t xml:space="preserve">Backstop and </w:t>
      </w:r>
      <w:r w:rsidRPr="008102F0">
        <w:rPr>
          <w:rFonts w:asciiTheme="minorHAnsi" w:hAnsiTheme="minorHAnsi"/>
          <w:lang w:val="en-US"/>
        </w:rPr>
        <w:t xml:space="preserve">provide advice </w:t>
      </w:r>
      <w:r>
        <w:rPr>
          <w:rFonts w:asciiTheme="minorHAnsi" w:hAnsiTheme="minorHAnsi"/>
          <w:lang w:val="en-US"/>
        </w:rPr>
        <w:t xml:space="preserve">to Field Coordinators </w:t>
      </w:r>
      <w:r w:rsidRPr="008102F0">
        <w:rPr>
          <w:rFonts w:asciiTheme="minorHAnsi" w:hAnsiTheme="minorHAnsi"/>
          <w:lang w:val="en-US"/>
        </w:rPr>
        <w:t xml:space="preserve">in </w:t>
      </w:r>
      <w:r w:rsidR="00A058FC">
        <w:rPr>
          <w:rFonts w:asciiTheme="minorHAnsi" w:hAnsiTheme="minorHAnsi"/>
          <w:lang w:val="en-US"/>
        </w:rPr>
        <w:t>adapting the operational framework based on field level practices.</w:t>
      </w:r>
    </w:p>
    <w:p w:rsidR="00A058FC" w:rsidRDefault="00A058FC" w:rsidP="00A058FC">
      <w:pPr>
        <w:numPr>
          <w:ilvl w:val="0"/>
          <w:numId w:val="8"/>
        </w:numPr>
        <w:spacing w:after="240"/>
        <w:ind w:left="426"/>
        <w:rPr>
          <w:rFonts w:asciiTheme="minorHAnsi" w:hAnsiTheme="minorHAnsi"/>
          <w:lang w:val="en-US"/>
        </w:rPr>
      </w:pPr>
      <w:r>
        <w:rPr>
          <w:rFonts w:asciiTheme="minorHAnsi" w:hAnsiTheme="minorHAnsi"/>
          <w:lang w:val="en-US"/>
        </w:rPr>
        <w:t>Manage the coordination between accountability focal points within humanitarian organizations.</w:t>
      </w:r>
    </w:p>
    <w:p w:rsidR="008102F0" w:rsidRDefault="00A058FC" w:rsidP="00A058FC">
      <w:pPr>
        <w:numPr>
          <w:ilvl w:val="0"/>
          <w:numId w:val="8"/>
        </w:numPr>
        <w:spacing w:after="240"/>
        <w:ind w:left="426"/>
        <w:rPr>
          <w:rFonts w:asciiTheme="minorHAnsi" w:hAnsiTheme="minorHAnsi"/>
          <w:lang w:val="en-US"/>
        </w:rPr>
      </w:pPr>
      <w:r>
        <w:rPr>
          <w:rFonts w:asciiTheme="minorHAnsi" w:hAnsiTheme="minorHAnsi"/>
          <w:lang w:val="en-US"/>
        </w:rPr>
        <w:t>Keep the IASC Sub-Group informed of progress at the field level and draft any required IASC documentation.</w:t>
      </w:r>
    </w:p>
    <w:p w:rsidR="00A058FC" w:rsidRDefault="00A058FC" w:rsidP="00A058FC">
      <w:pPr>
        <w:numPr>
          <w:ilvl w:val="0"/>
          <w:numId w:val="8"/>
        </w:numPr>
        <w:spacing w:after="240"/>
        <w:ind w:left="426"/>
        <w:rPr>
          <w:rFonts w:asciiTheme="minorHAnsi" w:hAnsiTheme="minorHAnsi"/>
          <w:lang w:val="en-US"/>
        </w:rPr>
      </w:pPr>
      <w:r>
        <w:rPr>
          <w:rFonts w:asciiTheme="minorHAnsi" w:hAnsiTheme="minorHAnsi"/>
          <w:lang w:val="en-US"/>
        </w:rPr>
        <w:t>Promote coherence amongst practitioners on implementation of the CAAP.</w:t>
      </w:r>
    </w:p>
    <w:p w:rsidR="00A058FC" w:rsidRDefault="00A058FC" w:rsidP="00A058FC">
      <w:pPr>
        <w:numPr>
          <w:ilvl w:val="0"/>
          <w:numId w:val="8"/>
        </w:numPr>
        <w:spacing w:after="240"/>
        <w:ind w:left="426"/>
        <w:rPr>
          <w:rFonts w:asciiTheme="minorHAnsi" w:hAnsiTheme="minorHAnsi"/>
          <w:lang w:val="en-US"/>
        </w:rPr>
      </w:pPr>
      <w:r>
        <w:rPr>
          <w:rFonts w:asciiTheme="minorHAnsi" w:hAnsiTheme="minorHAnsi"/>
          <w:lang w:val="en-US"/>
        </w:rPr>
        <w:t>Advocacy and dissemination of the operational framework.</w:t>
      </w:r>
    </w:p>
    <w:p w:rsidR="00DD1C36" w:rsidRDefault="00DD1C36">
      <w:pPr>
        <w:spacing w:after="0"/>
        <w:rPr>
          <w:rFonts w:asciiTheme="minorHAnsi" w:hAnsiTheme="minorHAnsi"/>
          <w:b/>
          <w:lang w:val="en-US"/>
        </w:rPr>
      </w:pPr>
      <w:r>
        <w:rPr>
          <w:rFonts w:asciiTheme="minorHAnsi" w:hAnsiTheme="minorHAnsi"/>
          <w:b/>
          <w:lang w:val="en-US"/>
        </w:rPr>
        <w:br w:type="page"/>
      </w:r>
    </w:p>
    <w:p w:rsidR="007B5040" w:rsidRPr="007B5040" w:rsidRDefault="007B5040" w:rsidP="007B5040">
      <w:pPr>
        <w:spacing w:after="240"/>
        <w:rPr>
          <w:rFonts w:asciiTheme="minorHAnsi" w:hAnsiTheme="minorHAnsi"/>
          <w:b/>
          <w:lang w:val="en-US"/>
        </w:rPr>
      </w:pPr>
      <w:r w:rsidRPr="007B5040">
        <w:rPr>
          <w:rFonts w:asciiTheme="minorHAnsi" w:hAnsiTheme="minorHAnsi"/>
          <w:b/>
          <w:lang w:val="en-US"/>
        </w:rPr>
        <w:lastRenderedPageBreak/>
        <w:t>Annex 5</w:t>
      </w:r>
    </w:p>
    <w:tbl>
      <w:tblPr>
        <w:tblW w:w="8820" w:type="dxa"/>
        <w:tblInd w:w="93" w:type="dxa"/>
        <w:tblBorders>
          <w:bottom w:val="double" w:sz="4" w:space="0" w:color="auto"/>
        </w:tblBorders>
        <w:tblLook w:val="04A0"/>
      </w:tblPr>
      <w:tblGrid>
        <w:gridCol w:w="8105"/>
        <w:gridCol w:w="942"/>
      </w:tblGrid>
      <w:tr w:rsidR="007B5040" w:rsidRPr="007B5040" w:rsidTr="007B5040">
        <w:trPr>
          <w:trHeight w:val="375"/>
        </w:trPr>
        <w:tc>
          <w:tcPr>
            <w:tcW w:w="8820" w:type="dxa"/>
            <w:gridSpan w:val="2"/>
            <w:shd w:val="clear" w:color="auto" w:fill="auto"/>
            <w:noWrap/>
            <w:vAlign w:val="bottom"/>
            <w:hideMark/>
          </w:tcPr>
          <w:p w:rsidR="007B5040" w:rsidRPr="007B5040" w:rsidRDefault="007B5040" w:rsidP="007B5040">
            <w:pPr>
              <w:spacing w:after="0"/>
              <w:jc w:val="center"/>
              <w:rPr>
                <w:rFonts w:eastAsia="Times New Roman" w:cs="Arial"/>
                <w:b/>
                <w:bCs/>
                <w:color w:val="000000"/>
                <w:sz w:val="28"/>
                <w:szCs w:val="28"/>
                <w:lang w:val="en-US"/>
              </w:rPr>
            </w:pPr>
            <w:r w:rsidRPr="007B5040">
              <w:rPr>
                <w:rFonts w:eastAsia="Times New Roman" w:cs="Arial"/>
                <w:b/>
                <w:bCs/>
                <w:color w:val="000000"/>
                <w:sz w:val="28"/>
                <w:szCs w:val="28"/>
                <w:lang w:val="en-US"/>
              </w:rPr>
              <w:t>Proposed Budget</w:t>
            </w:r>
          </w:p>
        </w:tc>
      </w:tr>
      <w:tr w:rsidR="007B5040" w:rsidRPr="00DD1C36" w:rsidTr="007B5040">
        <w:trPr>
          <w:trHeight w:val="300"/>
        </w:trPr>
        <w:tc>
          <w:tcPr>
            <w:tcW w:w="8105" w:type="dxa"/>
            <w:shd w:val="clear" w:color="auto" w:fill="auto"/>
            <w:noWrap/>
            <w:vAlign w:val="bottom"/>
            <w:hideMark/>
          </w:tcPr>
          <w:p w:rsidR="007B5040" w:rsidRPr="00DD1C36" w:rsidRDefault="007B5040" w:rsidP="007B5040">
            <w:pPr>
              <w:spacing w:after="0"/>
              <w:rPr>
                <w:rFonts w:asciiTheme="minorHAnsi" w:eastAsia="Times New Roman" w:hAnsiTheme="minorHAnsi" w:cstheme="minorHAnsi"/>
                <w:color w:val="000000"/>
                <w:lang w:val="en-US"/>
              </w:rPr>
            </w:pPr>
          </w:p>
        </w:tc>
        <w:tc>
          <w:tcPr>
            <w:tcW w:w="715" w:type="dxa"/>
            <w:shd w:val="clear" w:color="auto" w:fill="auto"/>
            <w:noWrap/>
            <w:vAlign w:val="bottom"/>
            <w:hideMark/>
          </w:tcPr>
          <w:p w:rsidR="007B5040" w:rsidRPr="00DD1C36" w:rsidRDefault="007B5040" w:rsidP="007B5040">
            <w:pPr>
              <w:spacing w:after="0"/>
              <w:rPr>
                <w:rFonts w:asciiTheme="minorHAnsi" w:eastAsia="Times New Roman" w:hAnsiTheme="minorHAnsi" w:cstheme="minorHAnsi"/>
                <w:b/>
                <w:bCs/>
                <w:color w:val="000000"/>
                <w:lang w:val="en-US"/>
              </w:rPr>
            </w:pPr>
            <w:r w:rsidRPr="00DD1C36">
              <w:rPr>
                <w:rFonts w:asciiTheme="minorHAnsi" w:eastAsia="Times New Roman" w:hAnsiTheme="minorHAnsi" w:cstheme="minorHAnsi"/>
                <w:b/>
                <w:bCs/>
                <w:color w:val="000000"/>
                <w:lang w:val="en-US"/>
              </w:rPr>
              <w:t>USD</w:t>
            </w:r>
          </w:p>
        </w:tc>
      </w:tr>
      <w:tr w:rsidR="007B5040" w:rsidRPr="00DD1C36" w:rsidTr="007B5040">
        <w:trPr>
          <w:trHeight w:val="300"/>
        </w:trPr>
        <w:tc>
          <w:tcPr>
            <w:tcW w:w="8105" w:type="dxa"/>
            <w:shd w:val="clear" w:color="auto" w:fill="auto"/>
            <w:noWrap/>
            <w:vAlign w:val="bottom"/>
            <w:hideMark/>
          </w:tcPr>
          <w:p w:rsidR="007B5040" w:rsidRPr="00DD1C36" w:rsidRDefault="007B5040" w:rsidP="007B5040">
            <w:pPr>
              <w:spacing w:after="0"/>
              <w:rPr>
                <w:rFonts w:asciiTheme="minorHAnsi" w:eastAsia="Times New Roman" w:hAnsiTheme="minorHAnsi" w:cstheme="minorHAnsi"/>
                <w:color w:val="000000"/>
                <w:lang w:val="en-US"/>
              </w:rPr>
            </w:pPr>
            <w:r w:rsidRPr="00DD1C36">
              <w:rPr>
                <w:rFonts w:asciiTheme="minorHAnsi" w:eastAsia="Times New Roman" w:hAnsiTheme="minorHAnsi" w:cstheme="minorHAnsi"/>
                <w:color w:val="000000"/>
                <w:lang w:val="en-US"/>
              </w:rPr>
              <w:t>Global Coordinator (please note that the coordinator will be hosted in a UN agency in Geneva)</w:t>
            </w:r>
            <w:r w:rsidR="00DD1C36">
              <w:rPr>
                <w:rFonts w:asciiTheme="minorHAnsi" w:eastAsia="Times New Roman" w:hAnsiTheme="minorHAnsi" w:cstheme="minorHAnsi"/>
                <w:color w:val="000000"/>
                <w:lang w:val="en-US"/>
              </w:rPr>
              <w:t xml:space="preserve"> – 9 months</w:t>
            </w:r>
          </w:p>
        </w:tc>
        <w:tc>
          <w:tcPr>
            <w:tcW w:w="715" w:type="dxa"/>
            <w:shd w:val="clear" w:color="auto" w:fill="auto"/>
            <w:noWrap/>
            <w:vAlign w:val="bottom"/>
            <w:hideMark/>
          </w:tcPr>
          <w:p w:rsidR="007B5040" w:rsidRPr="00DD1C36" w:rsidRDefault="007B5040" w:rsidP="007B5040">
            <w:pPr>
              <w:spacing w:after="0"/>
              <w:rPr>
                <w:rFonts w:asciiTheme="minorHAnsi" w:eastAsia="Times New Roman" w:hAnsiTheme="minorHAnsi" w:cstheme="minorHAnsi"/>
                <w:b/>
                <w:bCs/>
                <w:color w:val="000000"/>
                <w:lang w:val="en-US"/>
              </w:rPr>
            </w:pPr>
            <w:r w:rsidRPr="00DD1C36">
              <w:rPr>
                <w:rFonts w:asciiTheme="minorHAnsi" w:eastAsia="Times New Roman" w:hAnsiTheme="minorHAnsi" w:cstheme="minorHAnsi"/>
                <w:b/>
                <w:bCs/>
                <w:color w:val="000000"/>
                <w:lang w:val="en-US"/>
              </w:rPr>
              <w:t>90</w:t>
            </w:r>
            <w:r w:rsidR="00DD1C36">
              <w:rPr>
                <w:rFonts w:asciiTheme="minorHAnsi" w:eastAsia="Times New Roman" w:hAnsiTheme="minorHAnsi" w:cstheme="minorHAnsi"/>
                <w:b/>
                <w:bCs/>
                <w:color w:val="000000"/>
                <w:lang w:val="en-US"/>
              </w:rPr>
              <w:t>,</w:t>
            </w:r>
            <w:r w:rsidRPr="00DD1C36">
              <w:rPr>
                <w:rFonts w:asciiTheme="minorHAnsi" w:eastAsia="Times New Roman" w:hAnsiTheme="minorHAnsi" w:cstheme="minorHAnsi"/>
                <w:b/>
                <w:bCs/>
                <w:color w:val="000000"/>
                <w:lang w:val="en-US"/>
              </w:rPr>
              <w:t>000</w:t>
            </w:r>
          </w:p>
        </w:tc>
      </w:tr>
      <w:tr w:rsidR="007B5040" w:rsidRPr="00DD1C36" w:rsidTr="007B5040">
        <w:trPr>
          <w:trHeight w:val="300"/>
        </w:trPr>
        <w:tc>
          <w:tcPr>
            <w:tcW w:w="8105" w:type="dxa"/>
            <w:shd w:val="clear" w:color="auto" w:fill="auto"/>
            <w:noWrap/>
            <w:vAlign w:val="bottom"/>
            <w:hideMark/>
          </w:tcPr>
          <w:p w:rsidR="007B5040" w:rsidRPr="00DD1C36" w:rsidRDefault="007B5040" w:rsidP="007B5040">
            <w:pPr>
              <w:spacing w:after="0"/>
              <w:rPr>
                <w:rFonts w:asciiTheme="minorHAnsi" w:eastAsia="Times New Roman" w:hAnsiTheme="minorHAnsi" w:cstheme="minorHAnsi"/>
                <w:color w:val="000000"/>
                <w:lang w:val="en-US"/>
              </w:rPr>
            </w:pPr>
            <w:r w:rsidRPr="00DD1C36">
              <w:rPr>
                <w:rFonts w:asciiTheme="minorHAnsi" w:eastAsia="Times New Roman" w:hAnsiTheme="minorHAnsi" w:cstheme="minorHAnsi"/>
                <w:color w:val="000000"/>
                <w:lang w:val="en-US"/>
              </w:rPr>
              <w:t>Three Field Coordinators (hosted in the RC/HC office in country)</w:t>
            </w:r>
            <w:r w:rsidR="00DD1C36">
              <w:rPr>
                <w:rFonts w:asciiTheme="minorHAnsi" w:eastAsia="Times New Roman" w:hAnsiTheme="minorHAnsi" w:cstheme="minorHAnsi"/>
                <w:color w:val="000000"/>
                <w:lang w:val="en-US"/>
              </w:rPr>
              <w:t xml:space="preserve"> – 6 months</w:t>
            </w:r>
          </w:p>
        </w:tc>
        <w:tc>
          <w:tcPr>
            <w:tcW w:w="715" w:type="dxa"/>
            <w:shd w:val="clear" w:color="auto" w:fill="auto"/>
            <w:noWrap/>
            <w:vAlign w:val="bottom"/>
            <w:hideMark/>
          </w:tcPr>
          <w:p w:rsidR="007B5040" w:rsidRPr="00DD1C36" w:rsidRDefault="007B5040" w:rsidP="007B5040">
            <w:pPr>
              <w:spacing w:after="0"/>
              <w:rPr>
                <w:rFonts w:asciiTheme="minorHAnsi" w:eastAsia="Times New Roman" w:hAnsiTheme="minorHAnsi" w:cstheme="minorHAnsi"/>
                <w:b/>
                <w:bCs/>
                <w:color w:val="000000"/>
                <w:lang w:val="en-US"/>
              </w:rPr>
            </w:pPr>
            <w:r w:rsidRPr="00DD1C36">
              <w:rPr>
                <w:rFonts w:asciiTheme="minorHAnsi" w:eastAsia="Times New Roman" w:hAnsiTheme="minorHAnsi" w:cstheme="minorHAnsi"/>
                <w:b/>
                <w:bCs/>
                <w:color w:val="000000"/>
                <w:lang w:val="en-US"/>
              </w:rPr>
              <w:t>180</w:t>
            </w:r>
            <w:r w:rsidR="00DD1C36">
              <w:rPr>
                <w:rFonts w:asciiTheme="minorHAnsi" w:eastAsia="Times New Roman" w:hAnsiTheme="minorHAnsi" w:cstheme="minorHAnsi"/>
                <w:b/>
                <w:bCs/>
                <w:color w:val="000000"/>
                <w:lang w:val="en-US"/>
              </w:rPr>
              <w:t>,</w:t>
            </w:r>
            <w:r w:rsidRPr="00DD1C36">
              <w:rPr>
                <w:rFonts w:asciiTheme="minorHAnsi" w:eastAsia="Times New Roman" w:hAnsiTheme="minorHAnsi" w:cstheme="minorHAnsi"/>
                <w:b/>
                <w:bCs/>
                <w:color w:val="000000"/>
                <w:lang w:val="en-US"/>
              </w:rPr>
              <w:t>000</w:t>
            </w:r>
          </w:p>
        </w:tc>
      </w:tr>
      <w:tr w:rsidR="007B5040" w:rsidRPr="00DD1C36" w:rsidTr="007B5040">
        <w:trPr>
          <w:trHeight w:val="300"/>
        </w:trPr>
        <w:tc>
          <w:tcPr>
            <w:tcW w:w="8105" w:type="dxa"/>
            <w:shd w:val="clear" w:color="auto" w:fill="auto"/>
            <w:noWrap/>
            <w:vAlign w:val="bottom"/>
            <w:hideMark/>
          </w:tcPr>
          <w:p w:rsidR="007B5040" w:rsidRPr="00DD1C36" w:rsidRDefault="007B5040" w:rsidP="007B5040">
            <w:pPr>
              <w:spacing w:after="0"/>
              <w:rPr>
                <w:rFonts w:asciiTheme="minorHAnsi" w:eastAsia="Times New Roman" w:hAnsiTheme="minorHAnsi" w:cstheme="minorHAnsi"/>
                <w:color w:val="000000"/>
                <w:lang w:val="en-US"/>
              </w:rPr>
            </w:pPr>
            <w:r w:rsidRPr="00DD1C36">
              <w:rPr>
                <w:rFonts w:asciiTheme="minorHAnsi" w:eastAsia="Times New Roman" w:hAnsiTheme="minorHAnsi" w:cstheme="minorHAnsi"/>
                <w:color w:val="000000"/>
                <w:lang w:val="en-US"/>
              </w:rPr>
              <w:t>Travel</w:t>
            </w:r>
          </w:p>
        </w:tc>
        <w:tc>
          <w:tcPr>
            <w:tcW w:w="715" w:type="dxa"/>
            <w:shd w:val="clear" w:color="auto" w:fill="auto"/>
            <w:noWrap/>
            <w:vAlign w:val="bottom"/>
            <w:hideMark/>
          </w:tcPr>
          <w:p w:rsidR="007B5040" w:rsidRPr="00DD1C36" w:rsidRDefault="00DD1C36" w:rsidP="007B5040">
            <w:pPr>
              <w:spacing w:after="0"/>
              <w:rPr>
                <w:rFonts w:asciiTheme="minorHAnsi" w:eastAsia="Times New Roman" w:hAnsiTheme="minorHAnsi" w:cstheme="minorHAnsi"/>
                <w:b/>
                <w:bCs/>
                <w:color w:val="000000"/>
                <w:lang w:val="en-US"/>
              </w:rPr>
            </w:pPr>
            <w:r>
              <w:rPr>
                <w:rFonts w:asciiTheme="minorHAnsi" w:eastAsia="Times New Roman" w:hAnsiTheme="minorHAnsi" w:cstheme="minorHAnsi"/>
                <w:b/>
                <w:bCs/>
                <w:color w:val="000000"/>
                <w:lang w:val="en-US"/>
              </w:rPr>
              <w:t>2</w:t>
            </w:r>
            <w:r w:rsidR="007B5040" w:rsidRPr="00DD1C36">
              <w:rPr>
                <w:rFonts w:asciiTheme="minorHAnsi" w:eastAsia="Times New Roman" w:hAnsiTheme="minorHAnsi" w:cstheme="minorHAnsi"/>
                <w:b/>
                <w:bCs/>
                <w:color w:val="000000"/>
                <w:lang w:val="en-US"/>
              </w:rPr>
              <w:t>0</w:t>
            </w:r>
            <w:r>
              <w:rPr>
                <w:rFonts w:asciiTheme="minorHAnsi" w:eastAsia="Times New Roman" w:hAnsiTheme="minorHAnsi" w:cstheme="minorHAnsi"/>
                <w:b/>
                <w:bCs/>
                <w:color w:val="000000"/>
                <w:lang w:val="en-US"/>
              </w:rPr>
              <w:t>,</w:t>
            </w:r>
            <w:r w:rsidR="007B5040" w:rsidRPr="00DD1C36">
              <w:rPr>
                <w:rFonts w:asciiTheme="minorHAnsi" w:eastAsia="Times New Roman" w:hAnsiTheme="minorHAnsi" w:cstheme="minorHAnsi"/>
                <w:b/>
                <w:bCs/>
                <w:color w:val="000000"/>
                <w:lang w:val="en-US"/>
              </w:rPr>
              <w:t>000</w:t>
            </w:r>
          </w:p>
        </w:tc>
      </w:tr>
      <w:tr w:rsidR="007B5040" w:rsidRPr="00DD1C36" w:rsidTr="007B5040">
        <w:trPr>
          <w:trHeight w:val="315"/>
        </w:trPr>
        <w:tc>
          <w:tcPr>
            <w:tcW w:w="8105" w:type="dxa"/>
            <w:shd w:val="clear" w:color="auto" w:fill="auto"/>
            <w:noWrap/>
            <w:vAlign w:val="bottom"/>
            <w:hideMark/>
          </w:tcPr>
          <w:p w:rsidR="007B5040" w:rsidRPr="00DD1C36" w:rsidRDefault="007B5040" w:rsidP="007B5040">
            <w:pPr>
              <w:spacing w:after="0"/>
              <w:rPr>
                <w:rFonts w:asciiTheme="minorHAnsi" w:eastAsia="Times New Roman" w:hAnsiTheme="minorHAnsi" w:cstheme="minorHAnsi"/>
                <w:b/>
                <w:bCs/>
                <w:color w:val="000000"/>
                <w:lang w:val="en-US"/>
              </w:rPr>
            </w:pPr>
            <w:r w:rsidRPr="00DD1C36">
              <w:rPr>
                <w:rFonts w:asciiTheme="minorHAnsi" w:eastAsia="Times New Roman" w:hAnsiTheme="minorHAnsi" w:cstheme="minorHAnsi"/>
                <w:b/>
                <w:bCs/>
                <w:color w:val="000000"/>
                <w:lang w:val="en-US"/>
              </w:rPr>
              <w:t>TOTAL</w:t>
            </w:r>
          </w:p>
        </w:tc>
        <w:tc>
          <w:tcPr>
            <w:tcW w:w="715" w:type="dxa"/>
            <w:shd w:val="clear" w:color="auto" w:fill="auto"/>
            <w:noWrap/>
            <w:vAlign w:val="bottom"/>
            <w:hideMark/>
          </w:tcPr>
          <w:p w:rsidR="007B5040" w:rsidRPr="00DD1C36" w:rsidRDefault="007B5040" w:rsidP="00DD1C36">
            <w:pPr>
              <w:spacing w:after="0"/>
              <w:rPr>
                <w:rFonts w:asciiTheme="minorHAnsi" w:eastAsia="Times New Roman" w:hAnsiTheme="minorHAnsi" w:cstheme="minorHAnsi"/>
                <w:b/>
                <w:bCs/>
                <w:color w:val="000000"/>
                <w:lang w:val="en-US"/>
              </w:rPr>
            </w:pPr>
            <w:r w:rsidRPr="00DD1C36">
              <w:rPr>
                <w:rFonts w:asciiTheme="minorHAnsi" w:eastAsia="Times New Roman" w:hAnsiTheme="minorHAnsi" w:cstheme="minorHAnsi"/>
                <w:b/>
                <w:bCs/>
                <w:color w:val="000000"/>
                <w:lang w:val="en-US"/>
              </w:rPr>
              <w:t>2</w:t>
            </w:r>
            <w:r w:rsidR="00DD1C36">
              <w:rPr>
                <w:rFonts w:asciiTheme="minorHAnsi" w:eastAsia="Times New Roman" w:hAnsiTheme="minorHAnsi" w:cstheme="minorHAnsi"/>
                <w:b/>
                <w:bCs/>
                <w:color w:val="000000"/>
                <w:lang w:val="en-US"/>
              </w:rPr>
              <w:t>9</w:t>
            </w:r>
            <w:bookmarkStart w:id="0" w:name="_GoBack"/>
            <w:bookmarkEnd w:id="0"/>
            <w:r w:rsidRPr="00DD1C36">
              <w:rPr>
                <w:rFonts w:asciiTheme="minorHAnsi" w:eastAsia="Times New Roman" w:hAnsiTheme="minorHAnsi" w:cstheme="minorHAnsi"/>
                <w:b/>
                <w:bCs/>
                <w:color w:val="000000"/>
                <w:lang w:val="en-US"/>
              </w:rPr>
              <w:t>0</w:t>
            </w:r>
            <w:r w:rsidR="00DD1C36">
              <w:rPr>
                <w:rFonts w:asciiTheme="minorHAnsi" w:eastAsia="Times New Roman" w:hAnsiTheme="minorHAnsi" w:cstheme="minorHAnsi"/>
                <w:b/>
                <w:bCs/>
                <w:color w:val="000000"/>
                <w:lang w:val="en-US"/>
              </w:rPr>
              <w:t>,</w:t>
            </w:r>
            <w:r w:rsidRPr="00DD1C36">
              <w:rPr>
                <w:rFonts w:asciiTheme="minorHAnsi" w:eastAsia="Times New Roman" w:hAnsiTheme="minorHAnsi" w:cstheme="minorHAnsi"/>
                <w:b/>
                <w:bCs/>
                <w:color w:val="000000"/>
                <w:lang w:val="en-US"/>
              </w:rPr>
              <w:t>000</w:t>
            </w:r>
          </w:p>
        </w:tc>
      </w:tr>
    </w:tbl>
    <w:p w:rsidR="007B5040" w:rsidRPr="00A058FC" w:rsidRDefault="007B5040" w:rsidP="007B5040">
      <w:pPr>
        <w:spacing w:after="240"/>
        <w:rPr>
          <w:rFonts w:asciiTheme="minorHAnsi" w:hAnsiTheme="minorHAnsi"/>
          <w:lang w:val="en-US"/>
        </w:rPr>
      </w:pPr>
    </w:p>
    <w:sectPr w:rsidR="007B5040" w:rsidRPr="00A058FC" w:rsidSect="007B5040">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77B" w:rsidRDefault="00A4077B" w:rsidP="00603238">
      <w:pPr>
        <w:spacing w:after="0"/>
      </w:pPr>
      <w:r>
        <w:separator/>
      </w:r>
    </w:p>
  </w:endnote>
  <w:endnote w:type="continuationSeparator" w:id="0">
    <w:p w:rsidR="00A4077B" w:rsidRDefault="00A4077B" w:rsidP="006032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82E" w:rsidRPr="005A4D4E" w:rsidRDefault="0057719E" w:rsidP="005A4D4E">
    <w:pPr>
      <w:pStyle w:val="Footer"/>
      <w:jc w:val="center"/>
      <w:rPr>
        <w:rFonts w:ascii="Times New Roman" w:hAnsi="Times New Roman"/>
      </w:rPr>
    </w:pPr>
    <w:r w:rsidRPr="00FA782E">
      <w:rPr>
        <w:rFonts w:ascii="Times New Roman" w:hAnsi="Times New Roman"/>
      </w:rPr>
      <w:fldChar w:fldCharType="begin"/>
    </w:r>
    <w:r w:rsidR="00FA782E" w:rsidRPr="00FA782E">
      <w:rPr>
        <w:rFonts w:ascii="Times New Roman" w:hAnsi="Times New Roman"/>
      </w:rPr>
      <w:instrText xml:space="preserve"> PAGE   \* MERGEFORMAT </w:instrText>
    </w:r>
    <w:r w:rsidRPr="00FA782E">
      <w:rPr>
        <w:rFonts w:ascii="Times New Roman" w:hAnsi="Times New Roman"/>
      </w:rPr>
      <w:fldChar w:fldCharType="separate"/>
    </w:r>
    <w:r w:rsidR="007B5384">
      <w:rPr>
        <w:rFonts w:ascii="Times New Roman" w:hAnsi="Times New Roman"/>
        <w:noProof/>
      </w:rPr>
      <w:t>1</w:t>
    </w:r>
    <w:r w:rsidRPr="00FA782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77B" w:rsidRDefault="00A4077B" w:rsidP="00603238">
      <w:pPr>
        <w:spacing w:after="0"/>
      </w:pPr>
      <w:r>
        <w:separator/>
      </w:r>
    </w:p>
  </w:footnote>
  <w:footnote w:type="continuationSeparator" w:id="0">
    <w:p w:rsidR="00A4077B" w:rsidRDefault="00A4077B" w:rsidP="00603238">
      <w:pPr>
        <w:spacing w:after="0"/>
      </w:pPr>
      <w:r>
        <w:continuationSeparator/>
      </w:r>
    </w:p>
  </w:footnote>
  <w:footnote w:id="1">
    <w:p w:rsidR="00D063FE" w:rsidRPr="00D063FE" w:rsidRDefault="00D063FE">
      <w:pPr>
        <w:pStyle w:val="FootnoteText"/>
      </w:pPr>
      <w:r>
        <w:rPr>
          <w:rStyle w:val="FootnoteReference"/>
        </w:rPr>
        <w:footnoteRef/>
      </w:r>
      <w:r>
        <w:t xml:space="preserve"> </w:t>
      </w:r>
      <w:r w:rsidRPr="004B2D57">
        <w:rPr>
          <w:rFonts w:asciiTheme="minorHAnsi" w:hAnsiTheme="minorHAnsi" w:cstheme="minorHAnsi"/>
        </w:rPr>
        <w:t xml:space="preserve">The December 2011 IASC Principals meeting </w:t>
      </w:r>
      <w:r w:rsidR="004B2D57" w:rsidRPr="004B2D57">
        <w:rPr>
          <w:rFonts w:asciiTheme="minorHAnsi" w:hAnsiTheme="minorHAnsi" w:cstheme="minorHAnsi"/>
        </w:rPr>
        <w:t>also acknowledged</w:t>
      </w:r>
      <w:r w:rsidRPr="004B2D57">
        <w:rPr>
          <w:rFonts w:asciiTheme="minorHAnsi" w:hAnsiTheme="minorHAnsi" w:cstheme="minorHAnsi"/>
        </w:rPr>
        <w:t xml:space="preserve"> that the primary responsibility for accountability to</w:t>
      </w:r>
      <w:r w:rsidR="004B2D57" w:rsidRPr="004B2D57">
        <w:rPr>
          <w:rFonts w:asciiTheme="minorHAnsi" w:hAnsiTheme="minorHAnsi" w:cstheme="minorHAnsi"/>
        </w:rPr>
        <w:t xml:space="preserve"> </w:t>
      </w:r>
      <w:r w:rsidRPr="004B2D57">
        <w:rPr>
          <w:rFonts w:asciiTheme="minorHAnsi" w:hAnsiTheme="minorHAnsi" w:cstheme="minorHAnsi"/>
        </w:rPr>
        <w:t>people affected by emergencies was the State and that the IASC’s collective efforts on accountability to affected populations should not substitute or erode national lines and mechanisms of accountability</w:t>
      </w:r>
      <w:r w:rsidR="00DD1C36">
        <w:rPr>
          <w:rFonts w:asciiTheme="minorHAnsi" w:hAnsiTheme="minorHAnsi" w:cstheme="minorHAnsi"/>
        </w:rPr>
        <w:t>.</w:t>
      </w:r>
    </w:p>
  </w:footnote>
  <w:footnote w:id="2">
    <w:p w:rsidR="00A058FC" w:rsidRPr="00A058FC" w:rsidRDefault="00A058FC" w:rsidP="00A058FC">
      <w:pPr>
        <w:pStyle w:val="FootnoteText"/>
        <w:tabs>
          <w:tab w:val="clear" w:pos="284"/>
          <w:tab w:val="left" w:pos="142"/>
        </w:tabs>
        <w:ind w:left="142" w:hanging="142"/>
        <w:rPr>
          <w:rFonts w:asciiTheme="minorHAnsi" w:hAnsiTheme="minorHAnsi" w:cstheme="minorHAnsi"/>
        </w:rPr>
      </w:pPr>
      <w:r w:rsidRPr="00A058FC">
        <w:rPr>
          <w:rStyle w:val="FootnoteReference"/>
          <w:rFonts w:asciiTheme="minorHAnsi" w:hAnsiTheme="minorHAnsi" w:cstheme="minorHAnsi"/>
        </w:rPr>
        <w:footnoteRef/>
      </w:r>
      <w:r w:rsidRPr="00A058FC">
        <w:rPr>
          <w:rFonts w:asciiTheme="minorHAnsi" w:hAnsiTheme="minorHAnsi" w:cstheme="minorHAnsi"/>
        </w:rPr>
        <w:t xml:space="preserve"> Specific issues raised by affected individuals regarding violations and/or physical abuse that may have human rights and legal, psychological or other implications should have the same entry point as programme-type complaints, but procedures for handling these should be adapted accordingly.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B98"/>
    <w:multiLevelType w:val="hybridMultilevel"/>
    <w:tmpl w:val="4CC46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C301555"/>
    <w:multiLevelType w:val="hybridMultilevel"/>
    <w:tmpl w:val="31DA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B0F37"/>
    <w:multiLevelType w:val="hybridMultilevel"/>
    <w:tmpl w:val="A65C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70415"/>
    <w:multiLevelType w:val="hybridMultilevel"/>
    <w:tmpl w:val="6ED6A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527C2"/>
    <w:multiLevelType w:val="hybridMultilevel"/>
    <w:tmpl w:val="142A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B569B1"/>
    <w:multiLevelType w:val="hybridMultilevel"/>
    <w:tmpl w:val="F384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907EE3"/>
    <w:multiLevelType w:val="hybridMultilevel"/>
    <w:tmpl w:val="3B28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6014D7"/>
    <w:multiLevelType w:val="hybridMultilevel"/>
    <w:tmpl w:val="51C0A5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D800775"/>
    <w:multiLevelType w:val="hybridMultilevel"/>
    <w:tmpl w:val="9F06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C0316E"/>
    <w:multiLevelType w:val="hybridMultilevel"/>
    <w:tmpl w:val="8A9E6122"/>
    <w:lvl w:ilvl="0" w:tplc="790681E4">
      <w:start w:val="1"/>
      <w:numFmt w:val="decimal"/>
      <w:pStyle w:val="Parag"/>
      <w:lvlText w:val="%1."/>
      <w:lvlJc w:val="left"/>
      <w:pPr>
        <w:tabs>
          <w:tab w:val="num" w:pos="357"/>
        </w:tabs>
        <w:ind w:left="284" w:hanging="28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C0B0CD50">
      <w:start w:val="1"/>
      <w:numFmt w:val="decimal"/>
      <w:lvlText w:val="%2."/>
      <w:lvlJc w:val="left"/>
      <w:pPr>
        <w:tabs>
          <w:tab w:val="num" w:pos="-20"/>
        </w:tabs>
        <w:ind w:left="-20" w:hanging="34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09001B">
      <w:start w:val="1"/>
      <w:numFmt w:val="decimal"/>
      <w:lvlText w:val="%3."/>
      <w:lvlJc w:val="left"/>
      <w:pPr>
        <w:tabs>
          <w:tab w:val="num" w:pos="-20"/>
        </w:tabs>
        <w:ind w:left="-20" w:hanging="34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78651299"/>
    <w:multiLevelType w:val="hybridMultilevel"/>
    <w:tmpl w:val="EACC2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E6413E3"/>
    <w:multiLevelType w:val="hybridMultilevel"/>
    <w:tmpl w:val="BF84DEEA"/>
    <w:lvl w:ilvl="0" w:tplc="07E40C5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EA60AE2"/>
    <w:multiLevelType w:val="hybridMultilevel"/>
    <w:tmpl w:val="7B96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3"/>
  </w:num>
  <w:num w:numId="5">
    <w:abstractNumId w:val="11"/>
  </w:num>
  <w:num w:numId="6">
    <w:abstractNumId w:val="9"/>
  </w:num>
  <w:num w:numId="7">
    <w:abstractNumId w:val="4"/>
  </w:num>
  <w:num w:numId="8">
    <w:abstractNumId w:val="10"/>
  </w:num>
  <w:num w:numId="9">
    <w:abstractNumId w:val="1"/>
  </w:num>
  <w:num w:numId="10">
    <w:abstractNumId w:val="12"/>
  </w:num>
  <w:num w:numId="11">
    <w:abstractNumId w:val="2"/>
  </w:num>
  <w:num w:numId="12">
    <w:abstractNumId w:val="8"/>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34EAB"/>
    <w:rsid w:val="0002242A"/>
    <w:rsid w:val="00022E8F"/>
    <w:rsid w:val="0003029F"/>
    <w:rsid w:val="00034EAB"/>
    <w:rsid w:val="00053B19"/>
    <w:rsid w:val="00061F22"/>
    <w:rsid w:val="00070450"/>
    <w:rsid w:val="000778D0"/>
    <w:rsid w:val="000852B3"/>
    <w:rsid w:val="0009281D"/>
    <w:rsid w:val="000B0303"/>
    <w:rsid w:val="000C498C"/>
    <w:rsid w:val="000C4EF1"/>
    <w:rsid w:val="000D1B3B"/>
    <w:rsid w:val="000D21E1"/>
    <w:rsid w:val="000F08AC"/>
    <w:rsid w:val="001055E7"/>
    <w:rsid w:val="00110A7A"/>
    <w:rsid w:val="001138D4"/>
    <w:rsid w:val="00141021"/>
    <w:rsid w:val="001438FA"/>
    <w:rsid w:val="00155CA2"/>
    <w:rsid w:val="001706E3"/>
    <w:rsid w:val="00177477"/>
    <w:rsid w:val="00185477"/>
    <w:rsid w:val="00186479"/>
    <w:rsid w:val="00194449"/>
    <w:rsid w:val="001B485D"/>
    <w:rsid w:val="001C0ED6"/>
    <w:rsid w:val="001C6E76"/>
    <w:rsid w:val="001D4D77"/>
    <w:rsid w:val="00211ACC"/>
    <w:rsid w:val="00215A2B"/>
    <w:rsid w:val="00237F73"/>
    <w:rsid w:val="002556DB"/>
    <w:rsid w:val="00271AC4"/>
    <w:rsid w:val="002740BD"/>
    <w:rsid w:val="002A503E"/>
    <w:rsid w:val="002E45B9"/>
    <w:rsid w:val="002E49AE"/>
    <w:rsid w:val="0031548E"/>
    <w:rsid w:val="00333A7A"/>
    <w:rsid w:val="00336FE4"/>
    <w:rsid w:val="003511CA"/>
    <w:rsid w:val="00367AD3"/>
    <w:rsid w:val="003707AB"/>
    <w:rsid w:val="00396587"/>
    <w:rsid w:val="003A15E7"/>
    <w:rsid w:val="003C2107"/>
    <w:rsid w:val="003C5E0F"/>
    <w:rsid w:val="003D5C7E"/>
    <w:rsid w:val="003F2E8F"/>
    <w:rsid w:val="003F3002"/>
    <w:rsid w:val="003F5163"/>
    <w:rsid w:val="004038CE"/>
    <w:rsid w:val="004308B8"/>
    <w:rsid w:val="0043320B"/>
    <w:rsid w:val="00454ED4"/>
    <w:rsid w:val="00455647"/>
    <w:rsid w:val="004668F3"/>
    <w:rsid w:val="00475904"/>
    <w:rsid w:val="004774AE"/>
    <w:rsid w:val="00485E06"/>
    <w:rsid w:val="004A22C9"/>
    <w:rsid w:val="004B0F17"/>
    <w:rsid w:val="004B1CBD"/>
    <w:rsid w:val="004B2D57"/>
    <w:rsid w:val="005008AA"/>
    <w:rsid w:val="00517145"/>
    <w:rsid w:val="0052333D"/>
    <w:rsid w:val="005246CE"/>
    <w:rsid w:val="00530E1C"/>
    <w:rsid w:val="005409BB"/>
    <w:rsid w:val="00560951"/>
    <w:rsid w:val="005652D1"/>
    <w:rsid w:val="00574650"/>
    <w:rsid w:val="0057719E"/>
    <w:rsid w:val="005A21A6"/>
    <w:rsid w:val="005A4D4E"/>
    <w:rsid w:val="005B531B"/>
    <w:rsid w:val="005C2EAC"/>
    <w:rsid w:val="005D6D57"/>
    <w:rsid w:val="005E03FA"/>
    <w:rsid w:val="006023F7"/>
    <w:rsid w:val="006031EE"/>
    <w:rsid w:val="00603238"/>
    <w:rsid w:val="00610F2B"/>
    <w:rsid w:val="006122B0"/>
    <w:rsid w:val="0062777D"/>
    <w:rsid w:val="0064064D"/>
    <w:rsid w:val="00650AF1"/>
    <w:rsid w:val="00651CCD"/>
    <w:rsid w:val="00654710"/>
    <w:rsid w:val="006A1D1F"/>
    <w:rsid w:val="006B7A8F"/>
    <w:rsid w:val="006C01E8"/>
    <w:rsid w:val="006C18A3"/>
    <w:rsid w:val="006E4F08"/>
    <w:rsid w:val="006F447E"/>
    <w:rsid w:val="006F5186"/>
    <w:rsid w:val="006F721B"/>
    <w:rsid w:val="006F724D"/>
    <w:rsid w:val="00707DDF"/>
    <w:rsid w:val="00762E24"/>
    <w:rsid w:val="00770DE9"/>
    <w:rsid w:val="00771687"/>
    <w:rsid w:val="007B5040"/>
    <w:rsid w:val="007B5384"/>
    <w:rsid w:val="007F36E6"/>
    <w:rsid w:val="007F467F"/>
    <w:rsid w:val="008102F0"/>
    <w:rsid w:val="00811135"/>
    <w:rsid w:val="0085165C"/>
    <w:rsid w:val="00856956"/>
    <w:rsid w:val="008634CF"/>
    <w:rsid w:val="008704EB"/>
    <w:rsid w:val="008852B5"/>
    <w:rsid w:val="0089396C"/>
    <w:rsid w:val="00897052"/>
    <w:rsid w:val="008A0F17"/>
    <w:rsid w:val="008C5C8D"/>
    <w:rsid w:val="008F1512"/>
    <w:rsid w:val="008F2903"/>
    <w:rsid w:val="009222A0"/>
    <w:rsid w:val="00923CA2"/>
    <w:rsid w:val="009324A0"/>
    <w:rsid w:val="00934AB5"/>
    <w:rsid w:val="00950987"/>
    <w:rsid w:val="00956061"/>
    <w:rsid w:val="00983221"/>
    <w:rsid w:val="009919D8"/>
    <w:rsid w:val="009B24A1"/>
    <w:rsid w:val="009B3BB3"/>
    <w:rsid w:val="009E2294"/>
    <w:rsid w:val="009E50EF"/>
    <w:rsid w:val="009E5FFE"/>
    <w:rsid w:val="00A02E46"/>
    <w:rsid w:val="00A058FC"/>
    <w:rsid w:val="00A3517D"/>
    <w:rsid w:val="00A4077B"/>
    <w:rsid w:val="00A56101"/>
    <w:rsid w:val="00A74AB7"/>
    <w:rsid w:val="00A83F94"/>
    <w:rsid w:val="00A8495D"/>
    <w:rsid w:val="00A960A5"/>
    <w:rsid w:val="00A9773B"/>
    <w:rsid w:val="00AC1D21"/>
    <w:rsid w:val="00AD014D"/>
    <w:rsid w:val="00AF7F5A"/>
    <w:rsid w:val="00B05852"/>
    <w:rsid w:val="00B85687"/>
    <w:rsid w:val="00BB00BA"/>
    <w:rsid w:val="00BC23FF"/>
    <w:rsid w:val="00BD0A1D"/>
    <w:rsid w:val="00BE5879"/>
    <w:rsid w:val="00BF25E4"/>
    <w:rsid w:val="00C04044"/>
    <w:rsid w:val="00C37282"/>
    <w:rsid w:val="00C47663"/>
    <w:rsid w:val="00C90DDE"/>
    <w:rsid w:val="00CA4CB0"/>
    <w:rsid w:val="00CC0511"/>
    <w:rsid w:val="00CE1E8D"/>
    <w:rsid w:val="00CF1BBF"/>
    <w:rsid w:val="00CF265D"/>
    <w:rsid w:val="00D063FE"/>
    <w:rsid w:val="00D12047"/>
    <w:rsid w:val="00D146A9"/>
    <w:rsid w:val="00D14FB1"/>
    <w:rsid w:val="00D20535"/>
    <w:rsid w:val="00D24395"/>
    <w:rsid w:val="00D264EA"/>
    <w:rsid w:val="00D32DF9"/>
    <w:rsid w:val="00D43F8C"/>
    <w:rsid w:val="00D519CE"/>
    <w:rsid w:val="00D55B2D"/>
    <w:rsid w:val="00D80D11"/>
    <w:rsid w:val="00D820FD"/>
    <w:rsid w:val="00DB0A81"/>
    <w:rsid w:val="00DD1C36"/>
    <w:rsid w:val="00DD5F9E"/>
    <w:rsid w:val="00E1225E"/>
    <w:rsid w:val="00E60977"/>
    <w:rsid w:val="00E80139"/>
    <w:rsid w:val="00E91A7D"/>
    <w:rsid w:val="00EF00A7"/>
    <w:rsid w:val="00F02C21"/>
    <w:rsid w:val="00F05DEF"/>
    <w:rsid w:val="00F6021D"/>
    <w:rsid w:val="00F735DD"/>
    <w:rsid w:val="00F8490C"/>
    <w:rsid w:val="00FA782E"/>
    <w:rsid w:val="00FB312F"/>
    <w:rsid w:val="00FC3000"/>
    <w:rsid w:val="00FC6385"/>
    <w:rsid w:val="00FD3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AB"/>
    <w:pPr>
      <w:spacing w:after="80"/>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145"/>
    <w:pPr>
      <w:spacing w:after="0"/>
      <w:ind w:left="720"/>
    </w:pPr>
    <w:rPr>
      <w:lang w:val="en-US"/>
    </w:rPr>
  </w:style>
  <w:style w:type="paragraph" w:customStyle="1" w:styleId="Parag">
    <w:name w:val="Parag"/>
    <w:basedOn w:val="Normal"/>
    <w:rsid w:val="00603238"/>
    <w:pPr>
      <w:numPr>
        <w:numId w:val="2"/>
      </w:numPr>
      <w:tabs>
        <w:tab w:val="left" w:pos="284"/>
        <w:tab w:val="left" w:pos="567"/>
        <w:tab w:val="left" w:pos="992"/>
      </w:tabs>
      <w:spacing w:before="180" w:after="0" w:line="280" w:lineRule="exact"/>
      <w:jc w:val="both"/>
    </w:pPr>
    <w:rPr>
      <w:rFonts w:ascii="Times New Roman" w:eastAsia="SimSun" w:hAnsi="Times New Roman"/>
      <w:lang w:eastAsia="zh-CN"/>
    </w:rPr>
  </w:style>
  <w:style w:type="paragraph" w:styleId="FootnoteText">
    <w:name w:val="footnote text"/>
    <w:basedOn w:val="Normal"/>
    <w:link w:val="FootnoteTextChar"/>
    <w:uiPriority w:val="99"/>
    <w:rsid w:val="00603238"/>
    <w:pPr>
      <w:tabs>
        <w:tab w:val="left" w:pos="284"/>
        <w:tab w:val="left" w:pos="992"/>
      </w:tabs>
      <w:spacing w:after="0" w:line="240" w:lineRule="exact"/>
      <w:ind w:left="284" w:hanging="284"/>
    </w:pPr>
    <w:rPr>
      <w:rFonts w:ascii="Times New Roman" w:eastAsia="Times New Roman" w:hAnsi="Times New Roman"/>
      <w:sz w:val="19"/>
      <w:szCs w:val="20"/>
    </w:rPr>
  </w:style>
  <w:style w:type="character" w:customStyle="1" w:styleId="FootnoteTextChar">
    <w:name w:val="Footnote Text Char"/>
    <w:basedOn w:val="DefaultParagraphFont"/>
    <w:link w:val="FootnoteText"/>
    <w:uiPriority w:val="99"/>
    <w:rsid w:val="00603238"/>
    <w:rPr>
      <w:rFonts w:ascii="Times New Roman" w:eastAsia="Times New Roman" w:hAnsi="Times New Roman"/>
      <w:sz w:val="19"/>
      <w:lang w:val="en-GB"/>
    </w:rPr>
  </w:style>
  <w:style w:type="character" w:styleId="FootnoteReference">
    <w:name w:val="footnote reference"/>
    <w:uiPriority w:val="99"/>
    <w:rsid w:val="00603238"/>
    <w:rPr>
      <w:vertAlign w:val="superscript"/>
    </w:rPr>
  </w:style>
  <w:style w:type="character" w:styleId="CommentReference">
    <w:name w:val="annotation reference"/>
    <w:basedOn w:val="DefaultParagraphFont"/>
    <w:uiPriority w:val="99"/>
    <w:semiHidden/>
    <w:unhideWhenUsed/>
    <w:rsid w:val="008C5C8D"/>
    <w:rPr>
      <w:sz w:val="16"/>
      <w:szCs w:val="16"/>
    </w:rPr>
  </w:style>
  <w:style w:type="paragraph" w:styleId="CommentText">
    <w:name w:val="annotation text"/>
    <w:basedOn w:val="Normal"/>
    <w:link w:val="CommentTextChar"/>
    <w:uiPriority w:val="99"/>
    <w:semiHidden/>
    <w:unhideWhenUsed/>
    <w:rsid w:val="008C5C8D"/>
    <w:rPr>
      <w:sz w:val="20"/>
      <w:szCs w:val="20"/>
    </w:rPr>
  </w:style>
  <w:style w:type="character" w:customStyle="1" w:styleId="CommentTextChar">
    <w:name w:val="Comment Text Char"/>
    <w:basedOn w:val="DefaultParagraphFont"/>
    <w:link w:val="CommentText"/>
    <w:uiPriority w:val="99"/>
    <w:semiHidden/>
    <w:rsid w:val="008C5C8D"/>
    <w:rPr>
      <w:lang w:val="en-GB"/>
    </w:rPr>
  </w:style>
  <w:style w:type="paragraph" w:styleId="CommentSubject">
    <w:name w:val="annotation subject"/>
    <w:basedOn w:val="CommentText"/>
    <w:next w:val="CommentText"/>
    <w:link w:val="CommentSubjectChar"/>
    <w:uiPriority w:val="99"/>
    <w:semiHidden/>
    <w:unhideWhenUsed/>
    <w:rsid w:val="008C5C8D"/>
    <w:rPr>
      <w:b/>
      <w:bCs/>
    </w:rPr>
  </w:style>
  <w:style w:type="character" w:customStyle="1" w:styleId="CommentSubjectChar">
    <w:name w:val="Comment Subject Char"/>
    <w:basedOn w:val="CommentTextChar"/>
    <w:link w:val="CommentSubject"/>
    <w:uiPriority w:val="99"/>
    <w:semiHidden/>
    <w:rsid w:val="008C5C8D"/>
    <w:rPr>
      <w:b/>
      <w:bCs/>
      <w:lang w:val="en-GB"/>
    </w:rPr>
  </w:style>
  <w:style w:type="paragraph" w:styleId="BalloonText">
    <w:name w:val="Balloon Text"/>
    <w:basedOn w:val="Normal"/>
    <w:link w:val="BalloonTextChar"/>
    <w:uiPriority w:val="99"/>
    <w:semiHidden/>
    <w:unhideWhenUsed/>
    <w:rsid w:val="008C5C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C8D"/>
    <w:rPr>
      <w:rFonts w:ascii="Tahoma" w:hAnsi="Tahoma" w:cs="Tahoma"/>
      <w:sz w:val="16"/>
      <w:szCs w:val="16"/>
      <w:lang w:val="en-GB"/>
    </w:rPr>
  </w:style>
  <w:style w:type="paragraph" w:styleId="Header">
    <w:name w:val="header"/>
    <w:basedOn w:val="Normal"/>
    <w:link w:val="HeaderChar"/>
    <w:uiPriority w:val="99"/>
    <w:unhideWhenUsed/>
    <w:rsid w:val="00FA782E"/>
    <w:pPr>
      <w:tabs>
        <w:tab w:val="center" w:pos="4680"/>
        <w:tab w:val="right" w:pos="9360"/>
      </w:tabs>
    </w:pPr>
  </w:style>
  <w:style w:type="character" w:customStyle="1" w:styleId="HeaderChar">
    <w:name w:val="Header Char"/>
    <w:basedOn w:val="DefaultParagraphFont"/>
    <w:link w:val="Header"/>
    <w:uiPriority w:val="99"/>
    <w:rsid w:val="00FA782E"/>
    <w:rPr>
      <w:sz w:val="22"/>
      <w:szCs w:val="22"/>
      <w:lang w:val="en-GB"/>
    </w:rPr>
  </w:style>
  <w:style w:type="paragraph" w:styleId="Footer">
    <w:name w:val="footer"/>
    <w:basedOn w:val="Normal"/>
    <w:link w:val="FooterChar"/>
    <w:uiPriority w:val="99"/>
    <w:unhideWhenUsed/>
    <w:rsid w:val="00FA782E"/>
    <w:pPr>
      <w:tabs>
        <w:tab w:val="center" w:pos="4680"/>
        <w:tab w:val="right" w:pos="9360"/>
      </w:tabs>
    </w:pPr>
  </w:style>
  <w:style w:type="character" w:customStyle="1" w:styleId="FooterChar">
    <w:name w:val="Footer Char"/>
    <w:basedOn w:val="DefaultParagraphFont"/>
    <w:link w:val="Footer"/>
    <w:uiPriority w:val="99"/>
    <w:rsid w:val="00FA782E"/>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AB"/>
    <w:pPr>
      <w:spacing w:after="80"/>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145"/>
    <w:pPr>
      <w:spacing w:after="0"/>
      <w:ind w:left="720"/>
    </w:pPr>
    <w:rPr>
      <w:lang w:val="en-US"/>
    </w:rPr>
  </w:style>
  <w:style w:type="paragraph" w:customStyle="1" w:styleId="Parag">
    <w:name w:val="Parag"/>
    <w:basedOn w:val="Normal"/>
    <w:rsid w:val="00603238"/>
    <w:pPr>
      <w:numPr>
        <w:numId w:val="2"/>
      </w:numPr>
      <w:tabs>
        <w:tab w:val="left" w:pos="284"/>
        <w:tab w:val="left" w:pos="567"/>
        <w:tab w:val="left" w:pos="992"/>
      </w:tabs>
      <w:spacing w:before="180" w:after="0" w:line="280" w:lineRule="exact"/>
      <w:jc w:val="both"/>
    </w:pPr>
    <w:rPr>
      <w:rFonts w:ascii="Times New Roman" w:eastAsia="SimSun" w:hAnsi="Times New Roman"/>
      <w:lang w:eastAsia="zh-CN"/>
    </w:rPr>
  </w:style>
  <w:style w:type="paragraph" w:styleId="FootnoteText">
    <w:name w:val="footnote text"/>
    <w:basedOn w:val="Normal"/>
    <w:link w:val="FootnoteTextChar"/>
    <w:uiPriority w:val="99"/>
    <w:rsid w:val="00603238"/>
    <w:pPr>
      <w:tabs>
        <w:tab w:val="left" w:pos="284"/>
        <w:tab w:val="left" w:pos="992"/>
      </w:tabs>
      <w:spacing w:after="0" w:line="240" w:lineRule="exact"/>
      <w:ind w:left="284" w:hanging="284"/>
    </w:pPr>
    <w:rPr>
      <w:rFonts w:ascii="Times New Roman" w:eastAsia="Times New Roman" w:hAnsi="Times New Roman"/>
      <w:sz w:val="19"/>
      <w:szCs w:val="20"/>
    </w:rPr>
  </w:style>
  <w:style w:type="character" w:customStyle="1" w:styleId="FootnoteTextChar">
    <w:name w:val="Footnote Text Char"/>
    <w:basedOn w:val="DefaultParagraphFont"/>
    <w:link w:val="FootnoteText"/>
    <w:uiPriority w:val="99"/>
    <w:rsid w:val="00603238"/>
    <w:rPr>
      <w:rFonts w:ascii="Times New Roman" w:eastAsia="Times New Roman" w:hAnsi="Times New Roman"/>
      <w:sz w:val="19"/>
      <w:lang w:val="en-GB"/>
    </w:rPr>
  </w:style>
  <w:style w:type="character" w:styleId="FootnoteReference">
    <w:name w:val="footnote reference"/>
    <w:uiPriority w:val="99"/>
    <w:rsid w:val="00603238"/>
    <w:rPr>
      <w:vertAlign w:val="superscript"/>
    </w:rPr>
  </w:style>
  <w:style w:type="character" w:styleId="CommentReference">
    <w:name w:val="annotation reference"/>
    <w:basedOn w:val="DefaultParagraphFont"/>
    <w:uiPriority w:val="99"/>
    <w:semiHidden/>
    <w:unhideWhenUsed/>
    <w:rsid w:val="008C5C8D"/>
    <w:rPr>
      <w:sz w:val="16"/>
      <w:szCs w:val="16"/>
    </w:rPr>
  </w:style>
  <w:style w:type="paragraph" w:styleId="CommentText">
    <w:name w:val="annotation text"/>
    <w:basedOn w:val="Normal"/>
    <w:link w:val="CommentTextChar"/>
    <w:uiPriority w:val="99"/>
    <w:semiHidden/>
    <w:unhideWhenUsed/>
    <w:rsid w:val="008C5C8D"/>
    <w:rPr>
      <w:sz w:val="20"/>
      <w:szCs w:val="20"/>
    </w:rPr>
  </w:style>
  <w:style w:type="character" w:customStyle="1" w:styleId="CommentTextChar">
    <w:name w:val="Comment Text Char"/>
    <w:basedOn w:val="DefaultParagraphFont"/>
    <w:link w:val="CommentText"/>
    <w:uiPriority w:val="99"/>
    <w:semiHidden/>
    <w:rsid w:val="008C5C8D"/>
    <w:rPr>
      <w:lang w:val="en-GB"/>
    </w:rPr>
  </w:style>
  <w:style w:type="paragraph" w:styleId="CommentSubject">
    <w:name w:val="annotation subject"/>
    <w:basedOn w:val="CommentText"/>
    <w:next w:val="CommentText"/>
    <w:link w:val="CommentSubjectChar"/>
    <w:uiPriority w:val="99"/>
    <w:semiHidden/>
    <w:unhideWhenUsed/>
    <w:rsid w:val="008C5C8D"/>
    <w:rPr>
      <w:b/>
      <w:bCs/>
    </w:rPr>
  </w:style>
  <w:style w:type="character" w:customStyle="1" w:styleId="CommentSubjectChar">
    <w:name w:val="Comment Subject Char"/>
    <w:basedOn w:val="CommentTextChar"/>
    <w:link w:val="CommentSubject"/>
    <w:uiPriority w:val="99"/>
    <w:semiHidden/>
    <w:rsid w:val="008C5C8D"/>
    <w:rPr>
      <w:b/>
      <w:bCs/>
      <w:lang w:val="en-GB"/>
    </w:rPr>
  </w:style>
  <w:style w:type="paragraph" w:styleId="BalloonText">
    <w:name w:val="Balloon Text"/>
    <w:basedOn w:val="Normal"/>
    <w:link w:val="BalloonTextChar"/>
    <w:uiPriority w:val="99"/>
    <w:semiHidden/>
    <w:unhideWhenUsed/>
    <w:rsid w:val="008C5C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C8D"/>
    <w:rPr>
      <w:rFonts w:ascii="Tahoma" w:hAnsi="Tahoma" w:cs="Tahoma"/>
      <w:sz w:val="16"/>
      <w:szCs w:val="16"/>
      <w:lang w:val="en-GB"/>
    </w:rPr>
  </w:style>
  <w:style w:type="paragraph" w:styleId="Header">
    <w:name w:val="header"/>
    <w:basedOn w:val="Normal"/>
    <w:link w:val="HeaderChar"/>
    <w:uiPriority w:val="99"/>
    <w:unhideWhenUsed/>
    <w:rsid w:val="00FA782E"/>
    <w:pPr>
      <w:tabs>
        <w:tab w:val="center" w:pos="4680"/>
        <w:tab w:val="right" w:pos="9360"/>
      </w:tabs>
    </w:pPr>
  </w:style>
  <w:style w:type="character" w:customStyle="1" w:styleId="HeaderChar">
    <w:name w:val="Header Char"/>
    <w:basedOn w:val="DefaultParagraphFont"/>
    <w:link w:val="Header"/>
    <w:uiPriority w:val="99"/>
    <w:rsid w:val="00FA782E"/>
    <w:rPr>
      <w:sz w:val="22"/>
      <w:szCs w:val="22"/>
      <w:lang w:val="en-GB"/>
    </w:rPr>
  </w:style>
  <w:style w:type="paragraph" w:styleId="Footer">
    <w:name w:val="footer"/>
    <w:basedOn w:val="Normal"/>
    <w:link w:val="FooterChar"/>
    <w:uiPriority w:val="99"/>
    <w:unhideWhenUsed/>
    <w:rsid w:val="00FA782E"/>
    <w:pPr>
      <w:tabs>
        <w:tab w:val="center" w:pos="4680"/>
        <w:tab w:val="right" w:pos="9360"/>
      </w:tabs>
    </w:pPr>
  </w:style>
  <w:style w:type="character" w:customStyle="1" w:styleId="FooterChar">
    <w:name w:val="Footer Char"/>
    <w:basedOn w:val="DefaultParagraphFont"/>
    <w:link w:val="Footer"/>
    <w:uiPriority w:val="99"/>
    <w:rsid w:val="00FA782E"/>
    <w:rPr>
      <w:sz w:val="22"/>
      <w:szCs w:val="22"/>
      <w:lang w:val="en-GB"/>
    </w:rPr>
  </w:style>
</w:styles>
</file>

<file path=word/webSettings.xml><?xml version="1.0" encoding="utf-8"?>
<w:webSettings xmlns:r="http://schemas.openxmlformats.org/officeDocument/2006/relationships" xmlns:w="http://schemas.openxmlformats.org/wordprocessingml/2006/main">
  <w:divs>
    <w:div w:id="82268913">
      <w:bodyDiv w:val="1"/>
      <w:marLeft w:val="0"/>
      <w:marRight w:val="0"/>
      <w:marTop w:val="0"/>
      <w:marBottom w:val="0"/>
      <w:divBdr>
        <w:top w:val="none" w:sz="0" w:space="0" w:color="auto"/>
        <w:left w:val="none" w:sz="0" w:space="0" w:color="auto"/>
        <w:bottom w:val="none" w:sz="0" w:space="0" w:color="auto"/>
        <w:right w:val="none" w:sz="0" w:space="0" w:color="auto"/>
      </w:divBdr>
    </w:div>
    <w:div w:id="1087727714">
      <w:bodyDiv w:val="1"/>
      <w:marLeft w:val="0"/>
      <w:marRight w:val="0"/>
      <w:marTop w:val="0"/>
      <w:marBottom w:val="0"/>
      <w:divBdr>
        <w:top w:val="none" w:sz="0" w:space="0" w:color="auto"/>
        <w:left w:val="none" w:sz="0" w:space="0" w:color="auto"/>
        <w:bottom w:val="none" w:sz="0" w:space="0" w:color="auto"/>
        <w:right w:val="none" w:sz="0" w:space="0" w:color="auto"/>
      </w:divBdr>
    </w:div>
    <w:div w:id="1097487279">
      <w:bodyDiv w:val="1"/>
      <w:marLeft w:val="0"/>
      <w:marRight w:val="0"/>
      <w:marTop w:val="0"/>
      <w:marBottom w:val="0"/>
      <w:divBdr>
        <w:top w:val="none" w:sz="0" w:space="0" w:color="auto"/>
        <w:left w:val="none" w:sz="0" w:space="0" w:color="auto"/>
        <w:bottom w:val="none" w:sz="0" w:space="0" w:color="auto"/>
        <w:right w:val="none" w:sz="0" w:space="0" w:color="auto"/>
      </w:divBdr>
    </w:div>
    <w:div w:id="13824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7B37A-3249-40AE-8463-18943110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 Lewis</dc:creator>
  <cp:lastModifiedBy>Gwyn Lewis</cp:lastModifiedBy>
  <cp:revision>2</cp:revision>
  <cp:lastPrinted>2012-03-29T13:00:00Z</cp:lastPrinted>
  <dcterms:created xsi:type="dcterms:W3CDTF">2012-03-30T08:04:00Z</dcterms:created>
  <dcterms:modified xsi:type="dcterms:W3CDTF">2012-03-30T08:04:00Z</dcterms:modified>
</cp:coreProperties>
</file>