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A6" w:rsidRPr="004F56DF" w:rsidRDefault="00B426A3" w:rsidP="00EC232B">
      <w:pPr>
        <w:rPr>
          <w:b/>
          <w:sz w:val="22"/>
          <w:lang w:val="en-US"/>
        </w:rPr>
      </w:pPr>
      <w:r>
        <w:rPr>
          <w:b/>
          <w:sz w:val="22"/>
          <w:lang w:val="en-US"/>
        </w:rPr>
        <w:t>Discussion paper</w:t>
      </w:r>
      <w:r w:rsidR="008A2E25" w:rsidRPr="004F56DF">
        <w:rPr>
          <w:b/>
          <w:sz w:val="22"/>
          <w:lang w:val="en-US"/>
        </w:rPr>
        <w:t xml:space="preserve">: </w:t>
      </w:r>
      <w:proofErr w:type="gramStart"/>
      <w:r w:rsidR="00A532C4" w:rsidRPr="004F56DF">
        <w:rPr>
          <w:b/>
          <w:sz w:val="22"/>
          <w:lang w:val="en-US"/>
        </w:rPr>
        <w:t>T</w:t>
      </w:r>
      <w:r w:rsidR="008A2E25" w:rsidRPr="004F56DF">
        <w:rPr>
          <w:b/>
          <w:sz w:val="22"/>
          <w:lang w:val="en-US"/>
        </w:rPr>
        <w:t>owards</w:t>
      </w:r>
      <w:proofErr w:type="gramEnd"/>
      <w:r w:rsidR="008A2E25" w:rsidRPr="004F56DF">
        <w:rPr>
          <w:b/>
          <w:sz w:val="22"/>
          <w:lang w:val="en-US"/>
        </w:rPr>
        <w:t xml:space="preserve"> a sunset of the</w:t>
      </w:r>
      <w:r w:rsidR="00F54BA6" w:rsidRPr="004F56DF">
        <w:rPr>
          <w:b/>
          <w:sz w:val="22"/>
          <w:lang w:val="en-US"/>
        </w:rPr>
        <w:t xml:space="preserve"> IASC </w:t>
      </w:r>
      <w:r w:rsidR="00A532C4" w:rsidRPr="004F56DF">
        <w:rPr>
          <w:b/>
          <w:sz w:val="22"/>
          <w:lang w:val="en-US"/>
        </w:rPr>
        <w:t xml:space="preserve">Task Force </w:t>
      </w:r>
      <w:r w:rsidR="00F54BA6" w:rsidRPr="004F56DF">
        <w:rPr>
          <w:b/>
          <w:sz w:val="22"/>
          <w:lang w:val="en-US"/>
        </w:rPr>
        <w:t>on</w:t>
      </w:r>
      <w:r w:rsidR="005843E9" w:rsidRPr="004F56DF">
        <w:rPr>
          <w:b/>
          <w:sz w:val="22"/>
          <w:lang w:val="en-US"/>
        </w:rPr>
        <w:t xml:space="preserve"> C</w:t>
      </w:r>
      <w:r w:rsidR="00E95DF4">
        <w:rPr>
          <w:b/>
          <w:sz w:val="22"/>
          <w:lang w:val="en-US"/>
        </w:rPr>
        <w:t xml:space="preserve">limate </w:t>
      </w:r>
      <w:r w:rsidR="005843E9" w:rsidRPr="004F56DF">
        <w:rPr>
          <w:b/>
          <w:sz w:val="22"/>
          <w:lang w:val="en-US"/>
        </w:rPr>
        <w:t>C</w:t>
      </w:r>
      <w:r w:rsidR="00E95DF4">
        <w:rPr>
          <w:b/>
          <w:sz w:val="22"/>
          <w:lang w:val="en-US"/>
        </w:rPr>
        <w:t>hange</w:t>
      </w:r>
      <w:r>
        <w:rPr>
          <w:rStyle w:val="FootnoteReference"/>
          <w:b/>
          <w:sz w:val="22"/>
          <w:lang w:val="en-US"/>
        </w:rPr>
        <w:footnoteReference w:id="2"/>
      </w:r>
    </w:p>
    <w:p w:rsidR="000B29A6" w:rsidRPr="000B29A6" w:rsidRDefault="00A532C4" w:rsidP="00EC232B">
      <w:pPr>
        <w:rPr>
          <w:sz w:val="22"/>
          <w:lang w:val="en-US"/>
        </w:rPr>
      </w:pPr>
      <w:r w:rsidRPr="000B29A6">
        <w:rPr>
          <w:sz w:val="22"/>
          <w:lang w:val="en-US"/>
        </w:rPr>
        <w:t>Anna Zinecker</w:t>
      </w:r>
      <w:r w:rsidR="000B29A6" w:rsidRPr="000B29A6">
        <w:rPr>
          <w:sz w:val="22"/>
          <w:lang w:val="en-US"/>
        </w:rPr>
        <w:t xml:space="preserve">, </w:t>
      </w:r>
      <w:r w:rsidR="00F4019B">
        <w:rPr>
          <w:sz w:val="22"/>
          <w:lang w:val="en-US"/>
        </w:rPr>
        <w:t>IASC Task Force on Climate Change Secretariat</w:t>
      </w:r>
    </w:p>
    <w:p w:rsidR="000B29A6" w:rsidRDefault="00A532C4" w:rsidP="00EC232B">
      <w:pPr>
        <w:rPr>
          <w:sz w:val="22"/>
        </w:rPr>
      </w:pPr>
      <w:r w:rsidRPr="004F56DF">
        <w:rPr>
          <w:sz w:val="22"/>
        </w:rPr>
        <w:t>Daniel Kull</w:t>
      </w:r>
      <w:r w:rsidR="000B29A6">
        <w:rPr>
          <w:sz w:val="22"/>
        </w:rPr>
        <w:t>, IFRC</w:t>
      </w:r>
      <w:r w:rsidRPr="004F56DF">
        <w:rPr>
          <w:sz w:val="22"/>
        </w:rPr>
        <w:t xml:space="preserve"> </w:t>
      </w:r>
    </w:p>
    <w:p w:rsidR="000B29A6" w:rsidRPr="000B29A6" w:rsidRDefault="00A532C4" w:rsidP="00EC232B">
      <w:pPr>
        <w:rPr>
          <w:sz w:val="22"/>
          <w:lang w:val="en-US"/>
        </w:rPr>
      </w:pPr>
      <w:r w:rsidRPr="000B29A6">
        <w:rPr>
          <w:sz w:val="22"/>
          <w:lang w:val="en-US"/>
        </w:rPr>
        <w:t>Madeleen Helmer</w:t>
      </w:r>
      <w:r w:rsidR="000B29A6" w:rsidRPr="000B29A6">
        <w:rPr>
          <w:sz w:val="22"/>
          <w:lang w:val="en-US"/>
        </w:rPr>
        <w:t>, RC</w:t>
      </w:r>
      <w:r w:rsidR="00F4019B">
        <w:rPr>
          <w:sz w:val="22"/>
          <w:lang w:val="en-US"/>
        </w:rPr>
        <w:t>/RC</w:t>
      </w:r>
      <w:r w:rsidR="000B29A6" w:rsidRPr="000B29A6">
        <w:rPr>
          <w:sz w:val="22"/>
          <w:lang w:val="en-US"/>
        </w:rPr>
        <w:t xml:space="preserve"> Climate </w:t>
      </w:r>
      <w:r w:rsidR="00F4019B">
        <w:rPr>
          <w:sz w:val="22"/>
          <w:lang w:val="en-US"/>
        </w:rPr>
        <w:t>C</w:t>
      </w:r>
      <w:r w:rsidR="000B29A6" w:rsidRPr="000B29A6">
        <w:rPr>
          <w:sz w:val="22"/>
          <w:lang w:val="en-US"/>
        </w:rPr>
        <w:t>entre</w:t>
      </w:r>
    </w:p>
    <w:p w:rsidR="00A532C4" w:rsidRPr="000B29A6" w:rsidRDefault="00A532C4" w:rsidP="00EC232B">
      <w:pPr>
        <w:rPr>
          <w:sz w:val="22"/>
          <w:lang w:val="en-US"/>
        </w:rPr>
      </w:pPr>
    </w:p>
    <w:p w:rsidR="00A532C4" w:rsidRPr="004F56DF" w:rsidRDefault="000B29A6" w:rsidP="00EC232B">
      <w:pPr>
        <w:rPr>
          <w:sz w:val="22"/>
          <w:lang w:val="en-US"/>
        </w:rPr>
      </w:pPr>
      <w:r>
        <w:rPr>
          <w:sz w:val="22"/>
          <w:lang w:val="en-US"/>
        </w:rPr>
        <w:t xml:space="preserve">September </w:t>
      </w:r>
      <w:r w:rsidR="00A532C4" w:rsidRPr="004F56DF">
        <w:rPr>
          <w:sz w:val="22"/>
          <w:lang w:val="en-US"/>
        </w:rPr>
        <w:t>2010</w:t>
      </w:r>
    </w:p>
    <w:p w:rsidR="00A532C4" w:rsidRPr="004F56DF" w:rsidRDefault="00A532C4" w:rsidP="00EC232B">
      <w:pPr>
        <w:rPr>
          <w:sz w:val="22"/>
          <w:lang w:val="en-US"/>
        </w:rPr>
      </w:pPr>
    </w:p>
    <w:p w:rsidR="00D74EA4" w:rsidRDefault="00F54BA6" w:rsidP="00EC232B">
      <w:pPr>
        <w:rPr>
          <w:b/>
          <w:sz w:val="22"/>
          <w:lang w:val="en-US"/>
        </w:rPr>
      </w:pPr>
      <w:r w:rsidRPr="004F56DF">
        <w:rPr>
          <w:b/>
          <w:sz w:val="22"/>
          <w:lang w:val="en-US"/>
        </w:rPr>
        <w:t>Background:</w:t>
      </w:r>
    </w:p>
    <w:p w:rsidR="00472861" w:rsidRPr="004F56DF" w:rsidRDefault="00472861" w:rsidP="004F56DF">
      <w:pPr>
        <w:jc w:val="both"/>
        <w:rPr>
          <w:sz w:val="22"/>
          <w:lang w:val="en-US"/>
        </w:rPr>
      </w:pPr>
      <w:r w:rsidRPr="004F56DF">
        <w:rPr>
          <w:sz w:val="22"/>
          <w:lang w:val="en-US"/>
        </w:rPr>
        <w:t>In June 2008 the IAS</w:t>
      </w:r>
      <w:r w:rsidR="00F54BA6" w:rsidRPr="004F56DF">
        <w:rPr>
          <w:sz w:val="22"/>
          <w:lang w:val="en-US"/>
        </w:rPr>
        <w:t xml:space="preserve">C </w:t>
      </w:r>
      <w:r w:rsidR="001519C7" w:rsidRPr="004F56DF">
        <w:rPr>
          <w:sz w:val="22"/>
          <w:lang w:val="en-US"/>
        </w:rPr>
        <w:t xml:space="preserve">Working Group </w:t>
      </w:r>
      <w:r w:rsidR="00F54BA6" w:rsidRPr="004F56DF">
        <w:rPr>
          <w:sz w:val="22"/>
          <w:lang w:val="en-US"/>
        </w:rPr>
        <w:t xml:space="preserve">established the informal </w:t>
      </w:r>
      <w:r w:rsidR="00E95DF4">
        <w:rPr>
          <w:sz w:val="22"/>
          <w:lang w:val="en-US"/>
        </w:rPr>
        <w:t>T</w:t>
      </w:r>
      <w:r w:rsidR="00E95DF4" w:rsidRPr="004F56DF">
        <w:rPr>
          <w:sz w:val="22"/>
          <w:lang w:val="en-US"/>
        </w:rPr>
        <w:t xml:space="preserve">ask </w:t>
      </w:r>
      <w:r w:rsidR="00E95DF4">
        <w:rPr>
          <w:sz w:val="22"/>
          <w:lang w:val="en-US"/>
        </w:rPr>
        <w:t>F</w:t>
      </w:r>
      <w:r w:rsidR="00E95DF4" w:rsidRPr="004F56DF">
        <w:rPr>
          <w:sz w:val="22"/>
          <w:lang w:val="en-US"/>
        </w:rPr>
        <w:t xml:space="preserve">orce </w:t>
      </w:r>
      <w:r w:rsidR="00F54BA6" w:rsidRPr="004F56DF">
        <w:rPr>
          <w:sz w:val="22"/>
          <w:lang w:val="en-US"/>
        </w:rPr>
        <w:t>on climate change</w:t>
      </w:r>
      <w:r w:rsidR="000B29A6">
        <w:rPr>
          <w:sz w:val="22"/>
          <w:lang w:val="en-US"/>
        </w:rPr>
        <w:t xml:space="preserve">. </w:t>
      </w:r>
      <w:r w:rsidR="00E95DF4">
        <w:rPr>
          <w:sz w:val="22"/>
          <w:lang w:val="en-US"/>
        </w:rPr>
        <w:t>This was motivated by</w:t>
      </w:r>
      <w:r w:rsidR="00F54BA6" w:rsidRPr="004F56DF">
        <w:rPr>
          <w:sz w:val="22"/>
          <w:lang w:val="en-US"/>
        </w:rPr>
        <w:t xml:space="preserve"> </w:t>
      </w:r>
      <w:r w:rsidR="00B426A3">
        <w:rPr>
          <w:sz w:val="22"/>
          <w:lang w:val="en-US"/>
        </w:rPr>
        <w:t xml:space="preserve">the recognition of the “human dimension” of climate change and its impact on the work of humanitarian agencies. </w:t>
      </w:r>
      <w:r w:rsidR="00E95DF4">
        <w:rPr>
          <w:sz w:val="22"/>
          <w:lang w:val="en-US"/>
        </w:rPr>
        <w:t>T</w:t>
      </w:r>
      <w:r w:rsidR="00F54BA6" w:rsidRPr="004F56DF">
        <w:rPr>
          <w:sz w:val="22"/>
          <w:lang w:val="en-US"/>
        </w:rPr>
        <w:t xml:space="preserve">he UNFCCC Bali Action Plan </w:t>
      </w:r>
      <w:r w:rsidR="00F4019B">
        <w:rPr>
          <w:sz w:val="22"/>
          <w:lang w:val="en-US"/>
        </w:rPr>
        <w:t xml:space="preserve">(BAP) </w:t>
      </w:r>
      <w:r w:rsidRPr="004F56DF">
        <w:rPr>
          <w:sz w:val="22"/>
          <w:lang w:val="en-US"/>
        </w:rPr>
        <w:t>of December 2007</w:t>
      </w:r>
      <w:r w:rsidR="001C1884" w:rsidRPr="004F56DF">
        <w:rPr>
          <w:sz w:val="22"/>
          <w:lang w:val="en-US"/>
        </w:rPr>
        <w:t xml:space="preserve"> provided</w:t>
      </w:r>
      <w:r w:rsidR="00F54BA6" w:rsidRPr="004F56DF">
        <w:rPr>
          <w:sz w:val="22"/>
          <w:lang w:val="en-US"/>
        </w:rPr>
        <w:t xml:space="preserve"> the negotiation mandate for a new global climate change agreement to be adopted at </w:t>
      </w:r>
      <w:r w:rsidR="000B29A6">
        <w:rPr>
          <w:sz w:val="22"/>
          <w:lang w:val="en-US"/>
        </w:rPr>
        <w:t xml:space="preserve">the UN Climate Conference </w:t>
      </w:r>
      <w:r w:rsidR="00F54BA6" w:rsidRPr="004F56DF">
        <w:rPr>
          <w:sz w:val="22"/>
          <w:lang w:val="en-US"/>
        </w:rPr>
        <w:t xml:space="preserve">COP 15 in Copenhagen. </w:t>
      </w:r>
      <w:r w:rsidR="00F4019B">
        <w:rPr>
          <w:sz w:val="22"/>
          <w:lang w:val="en-US"/>
        </w:rPr>
        <w:t>T</w:t>
      </w:r>
      <w:r w:rsidR="00F54BA6" w:rsidRPr="004F56DF">
        <w:rPr>
          <w:sz w:val="22"/>
          <w:lang w:val="en-US"/>
        </w:rPr>
        <w:t xml:space="preserve">he BAP </w:t>
      </w:r>
      <w:r w:rsidR="00F4019B">
        <w:rPr>
          <w:sz w:val="22"/>
          <w:lang w:val="en-US"/>
        </w:rPr>
        <w:t>included</w:t>
      </w:r>
      <w:r w:rsidRPr="004F56DF">
        <w:rPr>
          <w:sz w:val="22"/>
          <w:lang w:val="en-US"/>
        </w:rPr>
        <w:t xml:space="preserve"> a full chapter addressing </w:t>
      </w:r>
      <w:r w:rsidR="00F54BA6" w:rsidRPr="004F56DF">
        <w:rPr>
          <w:sz w:val="22"/>
          <w:lang w:val="en-US"/>
        </w:rPr>
        <w:t>adaptation to the unavoidable impacts of climate change</w:t>
      </w:r>
      <w:r w:rsidR="00E95DF4">
        <w:rPr>
          <w:sz w:val="22"/>
          <w:lang w:val="en-US"/>
        </w:rPr>
        <w:t>, including</w:t>
      </w:r>
      <w:r w:rsidRPr="004F56DF">
        <w:rPr>
          <w:sz w:val="22"/>
          <w:lang w:val="en-US"/>
        </w:rPr>
        <w:t xml:space="preserve"> disaster risk management as an important element of adaptation.</w:t>
      </w:r>
    </w:p>
    <w:p w:rsidR="001519C7" w:rsidRPr="004F56DF" w:rsidRDefault="001519C7" w:rsidP="004F56DF">
      <w:pPr>
        <w:jc w:val="both"/>
        <w:rPr>
          <w:sz w:val="22"/>
          <w:lang w:val="en-US"/>
        </w:rPr>
      </w:pPr>
    </w:p>
    <w:p w:rsidR="007F0615" w:rsidRDefault="00AC5225" w:rsidP="004F56DF">
      <w:pPr>
        <w:jc w:val="both"/>
        <w:rPr>
          <w:sz w:val="22"/>
          <w:lang w:val="en-US"/>
        </w:rPr>
      </w:pPr>
      <w:r>
        <w:rPr>
          <w:sz w:val="22"/>
          <w:lang w:val="en-US"/>
        </w:rPr>
        <w:t>T</w:t>
      </w:r>
      <w:r w:rsidR="004E1B48" w:rsidRPr="004F56DF">
        <w:rPr>
          <w:sz w:val="22"/>
          <w:lang w:val="en-US"/>
        </w:rPr>
        <w:t xml:space="preserve">he </w:t>
      </w:r>
      <w:r w:rsidR="001519C7" w:rsidRPr="004F56DF">
        <w:rPr>
          <w:sz w:val="22"/>
          <w:lang w:val="en-US"/>
        </w:rPr>
        <w:t xml:space="preserve">informal </w:t>
      </w:r>
      <w:r>
        <w:rPr>
          <w:sz w:val="22"/>
          <w:lang w:val="en-US"/>
        </w:rPr>
        <w:t xml:space="preserve">IASC </w:t>
      </w:r>
      <w:r w:rsidR="00F4019B">
        <w:rPr>
          <w:sz w:val="22"/>
          <w:lang w:val="en-US"/>
        </w:rPr>
        <w:t>T</w:t>
      </w:r>
      <w:r>
        <w:rPr>
          <w:sz w:val="22"/>
          <w:lang w:val="en-US"/>
        </w:rPr>
        <w:t>ask</w:t>
      </w:r>
      <w:r w:rsidR="00F4019B">
        <w:rPr>
          <w:sz w:val="22"/>
          <w:lang w:val="en-US"/>
        </w:rPr>
        <w:t xml:space="preserve"> F</w:t>
      </w:r>
      <w:r>
        <w:rPr>
          <w:sz w:val="22"/>
          <w:lang w:val="en-US"/>
        </w:rPr>
        <w:t xml:space="preserve">orce on Climate </w:t>
      </w:r>
      <w:r w:rsidR="00F4019B">
        <w:rPr>
          <w:sz w:val="22"/>
          <w:lang w:val="en-US"/>
        </w:rPr>
        <w:t xml:space="preserve">Change (TF) </w:t>
      </w:r>
      <w:r>
        <w:rPr>
          <w:sz w:val="22"/>
          <w:lang w:val="en-US"/>
        </w:rPr>
        <w:t xml:space="preserve">was </w:t>
      </w:r>
      <w:r w:rsidR="00F464A4">
        <w:rPr>
          <w:sz w:val="22"/>
          <w:lang w:val="en-US"/>
        </w:rPr>
        <w:t xml:space="preserve">therefore </w:t>
      </w:r>
      <w:r>
        <w:rPr>
          <w:sz w:val="22"/>
          <w:lang w:val="en-US"/>
        </w:rPr>
        <w:t xml:space="preserve">established </w:t>
      </w:r>
      <w:r w:rsidR="00C878BE" w:rsidRPr="004F56DF">
        <w:rPr>
          <w:sz w:val="22"/>
          <w:lang w:val="en-US"/>
        </w:rPr>
        <w:t xml:space="preserve">with </w:t>
      </w:r>
      <w:r w:rsidR="00F4019B">
        <w:rPr>
          <w:sz w:val="22"/>
          <w:lang w:val="en-US"/>
        </w:rPr>
        <w:t>the</w:t>
      </w:r>
      <w:r w:rsidR="00F4019B" w:rsidRPr="004F56DF">
        <w:rPr>
          <w:sz w:val="22"/>
          <w:lang w:val="en-US"/>
        </w:rPr>
        <w:t xml:space="preserve"> </w:t>
      </w:r>
      <w:r w:rsidR="00C878BE" w:rsidRPr="004F56DF">
        <w:rPr>
          <w:sz w:val="22"/>
          <w:lang w:val="en-US"/>
        </w:rPr>
        <w:t xml:space="preserve">mandate to provide inputs into the </w:t>
      </w:r>
      <w:r>
        <w:rPr>
          <w:sz w:val="22"/>
          <w:lang w:val="en-US"/>
        </w:rPr>
        <w:t xml:space="preserve">UNFCCC </w:t>
      </w:r>
      <w:r w:rsidR="00C878BE" w:rsidRPr="004F56DF">
        <w:rPr>
          <w:sz w:val="22"/>
          <w:lang w:val="en-US"/>
        </w:rPr>
        <w:t xml:space="preserve">negotiation process and </w:t>
      </w:r>
      <w:r>
        <w:rPr>
          <w:sz w:val="22"/>
          <w:lang w:val="en-US"/>
        </w:rPr>
        <w:t xml:space="preserve">to </w:t>
      </w:r>
      <w:r w:rsidR="00C878BE" w:rsidRPr="000B29A6">
        <w:rPr>
          <w:sz w:val="22"/>
          <w:lang w:val="en-US"/>
        </w:rPr>
        <w:t>provide guidance on integrating climate risk management into agency policies, operations and relevant IASC guidelines and tools</w:t>
      </w:r>
      <w:r w:rsidR="004E1B48" w:rsidRPr="004F56DF">
        <w:rPr>
          <w:sz w:val="22"/>
          <w:lang w:val="en-US"/>
        </w:rPr>
        <w:t xml:space="preserve">. IFRC was asked </w:t>
      </w:r>
      <w:r w:rsidR="00F4019B">
        <w:rPr>
          <w:sz w:val="22"/>
          <w:lang w:val="en-US"/>
        </w:rPr>
        <w:t xml:space="preserve">and subsequently agreed </w:t>
      </w:r>
      <w:r w:rsidR="004E1B48" w:rsidRPr="004F56DF">
        <w:rPr>
          <w:sz w:val="22"/>
          <w:lang w:val="en-US"/>
        </w:rPr>
        <w:t xml:space="preserve">to </w:t>
      </w:r>
      <w:r w:rsidR="001519C7" w:rsidRPr="004F56DF">
        <w:rPr>
          <w:sz w:val="22"/>
          <w:lang w:val="en-US"/>
        </w:rPr>
        <w:t xml:space="preserve">chair and host </w:t>
      </w:r>
      <w:r w:rsidR="004E1B48" w:rsidRPr="004F56DF">
        <w:rPr>
          <w:sz w:val="22"/>
          <w:lang w:val="en-US"/>
        </w:rPr>
        <w:t xml:space="preserve">the secretariat. Since September 2008 the </w:t>
      </w:r>
      <w:r w:rsidR="00A532C4" w:rsidRPr="004F56DF">
        <w:rPr>
          <w:sz w:val="22"/>
          <w:lang w:val="en-US"/>
        </w:rPr>
        <w:t>TF</w:t>
      </w:r>
      <w:r w:rsidR="004E1B48" w:rsidRPr="004F56DF">
        <w:rPr>
          <w:sz w:val="22"/>
          <w:lang w:val="en-US"/>
        </w:rPr>
        <w:t xml:space="preserve"> has met on a monthly basis</w:t>
      </w:r>
      <w:r w:rsidR="000B29A6">
        <w:rPr>
          <w:sz w:val="22"/>
          <w:lang w:val="en-US"/>
        </w:rPr>
        <w:t xml:space="preserve"> with a participation o</w:t>
      </w:r>
      <w:r>
        <w:rPr>
          <w:sz w:val="22"/>
          <w:lang w:val="en-US"/>
        </w:rPr>
        <w:t xml:space="preserve">f </w:t>
      </w:r>
      <w:proofErr w:type="gramStart"/>
      <w:r w:rsidR="001C1884" w:rsidRPr="004F56DF">
        <w:rPr>
          <w:sz w:val="22"/>
          <w:lang w:val="en-US"/>
        </w:rPr>
        <w:t>20-3</w:t>
      </w:r>
      <w:r w:rsidR="00C878BE" w:rsidRPr="004F56DF">
        <w:rPr>
          <w:sz w:val="22"/>
          <w:lang w:val="en-US"/>
        </w:rPr>
        <w:t>5</w:t>
      </w:r>
      <w:r w:rsidR="001C1884" w:rsidRPr="004F56DF">
        <w:rPr>
          <w:sz w:val="22"/>
          <w:lang w:val="en-US"/>
        </w:rPr>
        <w:t xml:space="preserve"> people and a mailing list of currently 150 people</w:t>
      </w:r>
      <w:r w:rsidR="004E1B48" w:rsidRPr="004F56DF">
        <w:rPr>
          <w:sz w:val="22"/>
          <w:lang w:val="en-US"/>
        </w:rPr>
        <w:t>.</w:t>
      </w:r>
      <w:proofErr w:type="gramEnd"/>
      <w:r w:rsidR="004E1B48" w:rsidRPr="004F56DF">
        <w:rPr>
          <w:sz w:val="22"/>
          <w:lang w:val="en-US"/>
        </w:rPr>
        <w:t xml:space="preserve"> </w:t>
      </w:r>
      <w:r w:rsidR="001519C7" w:rsidRPr="004F56DF">
        <w:rPr>
          <w:sz w:val="22"/>
          <w:lang w:val="en-US"/>
        </w:rPr>
        <w:t>UN</w:t>
      </w:r>
      <w:r w:rsidR="004E1B48" w:rsidRPr="004F56DF">
        <w:rPr>
          <w:sz w:val="22"/>
          <w:lang w:val="en-US"/>
        </w:rPr>
        <w:t xml:space="preserve">ISDR was invited from the beginning </w:t>
      </w:r>
      <w:r w:rsidR="00F464A4">
        <w:rPr>
          <w:sz w:val="22"/>
          <w:lang w:val="en-US"/>
        </w:rPr>
        <w:t xml:space="preserve">and accepted </w:t>
      </w:r>
      <w:r w:rsidR="004E1B48" w:rsidRPr="004F56DF">
        <w:rPr>
          <w:sz w:val="22"/>
          <w:lang w:val="en-US"/>
        </w:rPr>
        <w:t>to participate and to work collectively</w:t>
      </w:r>
      <w:r>
        <w:rPr>
          <w:sz w:val="22"/>
          <w:lang w:val="en-US"/>
        </w:rPr>
        <w:t>,</w:t>
      </w:r>
      <w:r w:rsidR="004E1B48" w:rsidRPr="004F56DF">
        <w:rPr>
          <w:sz w:val="22"/>
          <w:lang w:val="en-US"/>
        </w:rPr>
        <w:t xml:space="preserve"> in </w:t>
      </w:r>
      <w:r>
        <w:rPr>
          <w:sz w:val="22"/>
          <w:lang w:val="en-US"/>
        </w:rPr>
        <w:t xml:space="preserve">particular in the </w:t>
      </w:r>
      <w:r w:rsidR="004E1B48" w:rsidRPr="004F56DF">
        <w:rPr>
          <w:sz w:val="22"/>
          <w:lang w:val="en-US"/>
        </w:rPr>
        <w:t xml:space="preserve">UNFCCC context. </w:t>
      </w:r>
    </w:p>
    <w:p w:rsidR="007F0615" w:rsidRDefault="007F0615" w:rsidP="004F56DF">
      <w:pPr>
        <w:jc w:val="both"/>
        <w:rPr>
          <w:sz w:val="22"/>
          <w:lang w:val="en-US"/>
        </w:rPr>
      </w:pPr>
    </w:p>
    <w:p w:rsidR="001519C7" w:rsidRPr="004F56DF" w:rsidRDefault="007F0615" w:rsidP="004F56DF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In 2008 and 2009, much of the work focused on the climate change negotiations. </w:t>
      </w:r>
      <w:r w:rsidR="004E1B48" w:rsidRPr="004F56DF">
        <w:rPr>
          <w:sz w:val="22"/>
          <w:lang w:val="en-US"/>
        </w:rPr>
        <w:t xml:space="preserve">It was felt that a coordinated input </w:t>
      </w:r>
      <w:r w:rsidR="00F4019B">
        <w:rPr>
          <w:sz w:val="22"/>
          <w:lang w:val="en-US"/>
        </w:rPr>
        <w:t>to</w:t>
      </w:r>
      <w:r w:rsidR="00F4019B" w:rsidRPr="004F56DF">
        <w:rPr>
          <w:sz w:val="22"/>
          <w:lang w:val="en-US"/>
        </w:rPr>
        <w:t xml:space="preserve"> </w:t>
      </w:r>
      <w:r w:rsidR="004E1B48" w:rsidRPr="004F56DF">
        <w:rPr>
          <w:sz w:val="22"/>
          <w:lang w:val="en-US"/>
        </w:rPr>
        <w:t xml:space="preserve">the </w:t>
      </w:r>
      <w:r w:rsidR="001C1884" w:rsidRPr="004F56DF">
        <w:rPr>
          <w:sz w:val="22"/>
          <w:lang w:val="en-US"/>
        </w:rPr>
        <w:t xml:space="preserve">UNFCCC </w:t>
      </w:r>
      <w:r w:rsidR="004E1B48" w:rsidRPr="004F56DF">
        <w:rPr>
          <w:sz w:val="22"/>
          <w:lang w:val="en-US"/>
        </w:rPr>
        <w:t xml:space="preserve">workshop </w:t>
      </w:r>
      <w:r w:rsidR="00F464A4">
        <w:rPr>
          <w:sz w:val="22"/>
          <w:lang w:val="en-US"/>
        </w:rPr>
        <w:t xml:space="preserve">for government delegations </w:t>
      </w:r>
      <w:r w:rsidR="00F464A4" w:rsidRPr="004F56DF">
        <w:rPr>
          <w:sz w:val="22"/>
          <w:lang w:val="en-US"/>
        </w:rPr>
        <w:t xml:space="preserve">on risk management and risk sharing </w:t>
      </w:r>
      <w:r>
        <w:rPr>
          <w:sz w:val="22"/>
          <w:lang w:val="en-US"/>
        </w:rPr>
        <w:t>at COP14</w:t>
      </w:r>
      <w:r w:rsidR="004E1B48" w:rsidRPr="004F56DF">
        <w:rPr>
          <w:sz w:val="22"/>
          <w:lang w:val="en-US"/>
        </w:rPr>
        <w:t xml:space="preserve"> would be the </w:t>
      </w:r>
      <w:r w:rsidR="00F4019B">
        <w:rPr>
          <w:sz w:val="22"/>
          <w:lang w:val="en-US"/>
        </w:rPr>
        <w:t>most effective</w:t>
      </w:r>
      <w:r w:rsidR="00F4019B" w:rsidRPr="004F56DF">
        <w:rPr>
          <w:sz w:val="22"/>
          <w:lang w:val="en-US"/>
        </w:rPr>
        <w:t xml:space="preserve"> </w:t>
      </w:r>
      <w:r w:rsidR="004E1B48" w:rsidRPr="004F56DF">
        <w:rPr>
          <w:sz w:val="22"/>
          <w:lang w:val="en-US"/>
        </w:rPr>
        <w:t xml:space="preserve">representation of </w:t>
      </w:r>
      <w:r w:rsidR="00F4019B">
        <w:rPr>
          <w:sz w:val="22"/>
          <w:lang w:val="en-US"/>
        </w:rPr>
        <w:t xml:space="preserve">both </w:t>
      </w:r>
      <w:r w:rsidR="004E1B48" w:rsidRPr="004F56DF">
        <w:rPr>
          <w:sz w:val="22"/>
          <w:lang w:val="en-US"/>
        </w:rPr>
        <w:t>the humanitarian and DRR communit</w:t>
      </w:r>
      <w:r w:rsidR="00F4019B">
        <w:rPr>
          <w:sz w:val="22"/>
          <w:lang w:val="en-US"/>
        </w:rPr>
        <w:t>ies</w:t>
      </w:r>
      <w:r w:rsidR="004E1B48" w:rsidRPr="004F56DF">
        <w:rPr>
          <w:sz w:val="22"/>
          <w:lang w:val="en-US"/>
        </w:rPr>
        <w:t xml:space="preserve">. A joint paper </w:t>
      </w:r>
      <w:r w:rsidR="00F464A4">
        <w:rPr>
          <w:sz w:val="22"/>
          <w:lang w:val="en-US"/>
        </w:rPr>
        <w:t xml:space="preserve">on disaster risk management </w:t>
      </w:r>
      <w:r w:rsidR="004E1B48" w:rsidRPr="004F56DF">
        <w:rPr>
          <w:sz w:val="22"/>
          <w:lang w:val="en-US"/>
        </w:rPr>
        <w:t xml:space="preserve">with active input </w:t>
      </w:r>
      <w:r w:rsidR="00212DB8" w:rsidRPr="004F56DF">
        <w:rPr>
          <w:sz w:val="22"/>
          <w:lang w:val="en-US"/>
        </w:rPr>
        <w:t xml:space="preserve">from IASC members </w:t>
      </w:r>
      <w:r w:rsidR="001C688F">
        <w:rPr>
          <w:sz w:val="22"/>
          <w:lang w:val="en-US"/>
        </w:rPr>
        <w:t xml:space="preserve">and </w:t>
      </w:r>
      <w:r w:rsidR="00F4019B">
        <w:rPr>
          <w:sz w:val="22"/>
          <w:lang w:val="en-US"/>
        </w:rPr>
        <w:t>UN</w:t>
      </w:r>
      <w:r w:rsidR="001C688F">
        <w:rPr>
          <w:sz w:val="22"/>
          <w:lang w:val="en-US"/>
        </w:rPr>
        <w:t xml:space="preserve">ISDR </w:t>
      </w:r>
      <w:r w:rsidR="00212DB8" w:rsidRPr="004F56DF">
        <w:rPr>
          <w:sz w:val="22"/>
          <w:lang w:val="en-US"/>
        </w:rPr>
        <w:t>was presented and well received by governments and the UNFCCC.</w:t>
      </w:r>
      <w:r w:rsidR="00F464A4">
        <w:rPr>
          <w:sz w:val="22"/>
          <w:lang w:val="en-US"/>
        </w:rPr>
        <w:t xml:space="preserve"> At the same time</w:t>
      </w:r>
      <w:r>
        <w:rPr>
          <w:sz w:val="22"/>
          <w:lang w:val="en-US"/>
        </w:rPr>
        <w:t>,</w:t>
      </w:r>
      <w:r w:rsidR="00F464A4">
        <w:rPr>
          <w:sz w:val="22"/>
          <w:lang w:val="en-US"/>
        </w:rPr>
        <w:t xml:space="preserve"> the IOM/UNHCR-led sub-group worked on migration and displacement. </w:t>
      </w:r>
    </w:p>
    <w:p w:rsidR="00212DB8" w:rsidRPr="004F56DF" w:rsidRDefault="00212DB8" w:rsidP="004F56DF">
      <w:pPr>
        <w:jc w:val="both"/>
        <w:rPr>
          <w:sz w:val="22"/>
          <w:lang w:val="en-US"/>
        </w:rPr>
      </w:pPr>
    </w:p>
    <w:p w:rsidR="004E1B48" w:rsidRPr="004F56DF" w:rsidRDefault="00212DB8" w:rsidP="004F56DF">
      <w:pPr>
        <w:jc w:val="both"/>
        <w:rPr>
          <w:sz w:val="22"/>
          <w:lang w:val="en-US"/>
        </w:rPr>
      </w:pPr>
      <w:r w:rsidRPr="004F56DF">
        <w:rPr>
          <w:sz w:val="22"/>
          <w:lang w:val="en-US"/>
        </w:rPr>
        <w:t xml:space="preserve">In 2009 the IASC </w:t>
      </w:r>
      <w:r w:rsidR="00A532C4" w:rsidRPr="004F56DF">
        <w:rPr>
          <w:sz w:val="22"/>
          <w:lang w:val="en-US"/>
        </w:rPr>
        <w:t>TF</w:t>
      </w:r>
      <w:r w:rsidRPr="004F56DF">
        <w:rPr>
          <w:sz w:val="22"/>
          <w:lang w:val="en-US"/>
        </w:rPr>
        <w:t xml:space="preserve"> continued </w:t>
      </w:r>
      <w:r w:rsidR="001519C7" w:rsidRPr="004F56DF">
        <w:rPr>
          <w:sz w:val="22"/>
          <w:lang w:val="en-US"/>
        </w:rPr>
        <w:t>meeting</w:t>
      </w:r>
      <w:r w:rsidRPr="004F56DF">
        <w:rPr>
          <w:sz w:val="22"/>
          <w:lang w:val="en-US"/>
        </w:rPr>
        <w:t xml:space="preserve"> on a regular bas</w:t>
      </w:r>
      <w:r w:rsidR="007316D9">
        <w:rPr>
          <w:sz w:val="22"/>
          <w:lang w:val="en-US"/>
        </w:rPr>
        <w:t>i</w:t>
      </w:r>
      <w:r w:rsidRPr="004F56DF">
        <w:rPr>
          <w:sz w:val="22"/>
          <w:lang w:val="en-US"/>
        </w:rPr>
        <w:t>s</w:t>
      </w:r>
      <w:r w:rsidR="00F4019B">
        <w:rPr>
          <w:sz w:val="22"/>
          <w:lang w:val="en-US"/>
        </w:rPr>
        <w:t>, with</w:t>
      </w:r>
      <w:r w:rsidRPr="004F56DF">
        <w:rPr>
          <w:sz w:val="22"/>
          <w:lang w:val="en-US"/>
        </w:rPr>
        <w:t xml:space="preserve"> IASC members appreciat</w:t>
      </w:r>
      <w:r w:rsidR="00F4019B">
        <w:rPr>
          <w:sz w:val="22"/>
          <w:lang w:val="en-US"/>
        </w:rPr>
        <w:t>ing</w:t>
      </w:r>
      <w:r w:rsidRPr="004F56DF">
        <w:rPr>
          <w:sz w:val="22"/>
          <w:lang w:val="en-US"/>
        </w:rPr>
        <w:t xml:space="preserve"> the catalyt</w:t>
      </w:r>
      <w:r w:rsidR="00F4019B">
        <w:rPr>
          <w:sz w:val="22"/>
          <w:lang w:val="en-US"/>
        </w:rPr>
        <w:t>ic</w:t>
      </w:r>
      <w:r w:rsidRPr="004F56DF">
        <w:rPr>
          <w:sz w:val="22"/>
          <w:lang w:val="en-US"/>
        </w:rPr>
        <w:t xml:space="preserve"> role of the </w:t>
      </w:r>
      <w:r w:rsidR="00A532C4" w:rsidRPr="004F56DF">
        <w:rPr>
          <w:sz w:val="22"/>
          <w:lang w:val="en-US"/>
        </w:rPr>
        <w:t>TF</w:t>
      </w:r>
      <w:r w:rsidRPr="004F56DF">
        <w:rPr>
          <w:sz w:val="22"/>
          <w:lang w:val="en-US"/>
        </w:rPr>
        <w:t>.</w:t>
      </w:r>
      <w:r w:rsidR="00C878BE" w:rsidRPr="004F56DF">
        <w:rPr>
          <w:sz w:val="22"/>
          <w:lang w:val="en-US"/>
        </w:rPr>
        <w:t xml:space="preserve"> Through the network </w:t>
      </w:r>
      <w:r w:rsidR="00F4019B" w:rsidRPr="004F56DF">
        <w:rPr>
          <w:sz w:val="22"/>
          <w:lang w:val="en-US"/>
        </w:rPr>
        <w:t xml:space="preserve">systematic information-sharing </w:t>
      </w:r>
      <w:r w:rsidR="00C878BE" w:rsidRPr="004F56DF">
        <w:rPr>
          <w:sz w:val="22"/>
          <w:lang w:val="en-US"/>
        </w:rPr>
        <w:t xml:space="preserve">of colleagues and experts working on similar issues the </w:t>
      </w:r>
      <w:r w:rsidR="00F4019B">
        <w:rPr>
          <w:sz w:val="22"/>
          <w:lang w:val="en-US"/>
        </w:rPr>
        <w:t>TF</w:t>
      </w:r>
      <w:r w:rsidR="00C878BE" w:rsidRPr="004F56DF">
        <w:rPr>
          <w:sz w:val="22"/>
          <w:lang w:val="en-US"/>
        </w:rPr>
        <w:t xml:space="preserve"> contributed to capacity-building in </w:t>
      </w:r>
      <w:r w:rsidR="003E04AE">
        <w:rPr>
          <w:sz w:val="22"/>
          <w:lang w:val="en-US"/>
        </w:rPr>
        <w:t>IASC</w:t>
      </w:r>
      <w:r w:rsidR="00F4019B" w:rsidRPr="004F56DF">
        <w:rPr>
          <w:sz w:val="22"/>
          <w:lang w:val="en-US"/>
        </w:rPr>
        <w:t xml:space="preserve"> </w:t>
      </w:r>
      <w:r w:rsidR="00C878BE" w:rsidRPr="004F56DF">
        <w:rPr>
          <w:sz w:val="22"/>
          <w:lang w:val="en-US"/>
        </w:rPr>
        <w:t>agencies</w:t>
      </w:r>
      <w:r w:rsidR="007316D9">
        <w:rPr>
          <w:sz w:val="22"/>
          <w:lang w:val="en-US"/>
        </w:rPr>
        <w:t xml:space="preserve"> and development of an IASC policy framework</w:t>
      </w:r>
      <w:r w:rsidR="00C878BE" w:rsidRPr="004F56DF">
        <w:rPr>
          <w:sz w:val="22"/>
          <w:lang w:val="en-US"/>
        </w:rPr>
        <w:t xml:space="preserve">. </w:t>
      </w:r>
      <w:r w:rsidR="007316D9">
        <w:rPr>
          <w:sz w:val="22"/>
          <w:lang w:val="en-US"/>
        </w:rPr>
        <w:t>The TF helped agencies coordinate their advocacy efforts and facilitated the preparation of</w:t>
      </w:r>
      <w:r w:rsidR="007316D9" w:rsidRPr="004F56DF">
        <w:rPr>
          <w:sz w:val="22"/>
          <w:lang w:val="en-US"/>
        </w:rPr>
        <w:t xml:space="preserve"> </w:t>
      </w:r>
      <w:r w:rsidR="007316D9">
        <w:rPr>
          <w:sz w:val="22"/>
          <w:lang w:val="en-US"/>
        </w:rPr>
        <w:t xml:space="preserve">several </w:t>
      </w:r>
      <w:r w:rsidR="007316D9" w:rsidRPr="004F56DF">
        <w:rPr>
          <w:sz w:val="22"/>
          <w:lang w:val="en-US"/>
        </w:rPr>
        <w:t xml:space="preserve">papers for the negotiation process on subthemes including health, migration, food security and local adaptation strategies. </w:t>
      </w:r>
    </w:p>
    <w:p w:rsidR="001519C7" w:rsidRPr="004F56DF" w:rsidRDefault="001519C7" w:rsidP="004F56DF">
      <w:pPr>
        <w:jc w:val="both"/>
        <w:rPr>
          <w:sz w:val="22"/>
          <w:lang w:val="en-US"/>
        </w:rPr>
      </w:pPr>
    </w:p>
    <w:p w:rsidR="003E04AE" w:rsidRPr="00512661" w:rsidRDefault="003E04AE" w:rsidP="003E04AE">
      <w:pPr>
        <w:jc w:val="both"/>
        <w:rPr>
          <w:b/>
          <w:sz w:val="22"/>
          <w:lang w:val="en-US"/>
        </w:rPr>
      </w:pPr>
      <w:r w:rsidRPr="00512661">
        <w:rPr>
          <w:b/>
          <w:sz w:val="22"/>
          <w:lang w:val="en-US"/>
        </w:rPr>
        <w:t>Current situation</w:t>
      </w:r>
      <w:r>
        <w:rPr>
          <w:b/>
          <w:sz w:val="22"/>
          <w:lang w:val="en-US"/>
        </w:rPr>
        <w:t>:</w:t>
      </w:r>
    </w:p>
    <w:p w:rsidR="00BE204C" w:rsidRDefault="00212DB8" w:rsidP="004F56DF">
      <w:pPr>
        <w:jc w:val="both"/>
        <w:rPr>
          <w:sz w:val="22"/>
          <w:lang w:val="en-US"/>
        </w:rPr>
      </w:pPr>
      <w:r w:rsidRPr="004F56DF">
        <w:rPr>
          <w:sz w:val="22"/>
          <w:lang w:val="en-US"/>
        </w:rPr>
        <w:t xml:space="preserve">The </w:t>
      </w:r>
      <w:r w:rsidR="00A532C4" w:rsidRPr="004F56DF">
        <w:rPr>
          <w:sz w:val="22"/>
          <w:lang w:val="en-US"/>
        </w:rPr>
        <w:t>TF</w:t>
      </w:r>
      <w:r w:rsidRPr="004F56DF">
        <w:rPr>
          <w:sz w:val="22"/>
          <w:lang w:val="en-US"/>
        </w:rPr>
        <w:t xml:space="preserve"> has been very successful in contributing to the integration of DRR and CCA in policy development at the global level</w:t>
      </w:r>
      <w:r w:rsidR="007A4735" w:rsidRPr="004F56DF">
        <w:rPr>
          <w:sz w:val="22"/>
          <w:lang w:val="en-US"/>
        </w:rPr>
        <w:t xml:space="preserve"> by using the “window of opportunity” that was open after the adoption of the BAP</w:t>
      </w:r>
      <w:r w:rsidRPr="004F56DF">
        <w:rPr>
          <w:sz w:val="22"/>
          <w:lang w:val="en-US"/>
        </w:rPr>
        <w:t xml:space="preserve">. </w:t>
      </w:r>
      <w:r w:rsidR="00BE204C">
        <w:rPr>
          <w:sz w:val="22"/>
          <w:lang w:val="en-US"/>
        </w:rPr>
        <w:t>Much of the language in the relevant chapter of UNFCCC negotiation documents reflect</w:t>
      </w:r>
      <w:r w:rsidR="00D323BC">
        <w:rPr>
          <w:sz w:val="22"/>
          <w:lang w:val="en-US"/>
        </w:rPr>
        <w:t>s</w:t>
      </w:r>
      <w:r w:rsidR="00BE204C">
        <w:rPr>
          <w:sz w:val="22"/>
          <w:lang w:val="en-US"/>
        </w:rPr>
        <w:t xml:space="preserve"> the vision and proposals of the IASC </w:t>
      </w:r>
      <w:r w:rsidR="00D323BC">
        <w:rPr>
          <w:sz w:val="22"/>
          <w:lang w:val="en-US"/>
        </w:rPr>
        <w:t>TF</w:t>
      </w:r>
      <w:r w:rsidR="00BE204C">
        <w:rPr>
          <w:sz w:val="22"/>
          <w:lang w:val="en-US"/>
        </w:rPr>
        <w:t xml:space="preserve">. </w:t>
      </w:r>
      <w:r w:rsidR="00D323BC">
        <w:rPr>
          <w:sz w:val="22"/>
          <w:lang w:val="en-US"/>
        </w:rPr>
        <w:t>This is a</w:t>
      </w:r>
      <w:r w:rsidR="00BE204C">
        <w:rPr>
          <w:sz w:val="22"/>
          <w:lang w:val="en-US"/>
        </w:rPr>
        <w:t xml:space="preserve">lso </w:t>
      </w:r>
      <w:r w:rsidR="00D323BC">
        <w:rPr>
          <w:sz w:val="22"/>
          <w:lang w:val="en-US"/>
        </w:rPr>
        <w:t xml:space="preserve">the case </w:t>
      </w:r>
      <w:r w:rsidR="00BE204C">
        <w:rPr>
          <w:sz w:val="22"/>
          <w:lang w:val="en-US"/>
        </w:rPr>
        <w:t>in related documents like regional strategies and donor countries strategies</w:t>
      </w:r>
      <w:r w:rsidR="00D323BC">
        <w:rPr>
          <w:sz w:val="22"/>
          <w:lang w:val="en-US"/>
        </w:rPr>
        <w:t>.</w:t>
      </w:r>
      <w:r w:rsidR="00BE204C">
        <w:rPr>
          <w:sz w:val="22"/>
          <w:lang w:val="en-US"/>
        </w:rPr>
        <w:t xml:space="preserve"> </w:t>
      </w:r>
    </w:p>
    <w:p w:rsidR="00BE204C" w:rsidRPr="00512661" w:rsidRDefault="00BE204C" w:rsidP="004F56DF">
      <w:pPr>
        <w:jc w:val="both"/>
        <w:rPr>
          <w:b/>
          <w:sz w:val="22"/>
          <w:lang w:val="en-US"/>
        </w:rPr>
      </w:pPr>
    </w:p>
    <w:p w:rsidR="00212DB8" w:rsidRPr="004F56DF" w:rsidRDefault="00D323BC" w:rsidP="004F56DF">
      <w:pPr>
        <w:jc w:val="both"/>
        <w:rPr>
          <w:sz w:val="22"/>
          <w:lang w:val="en-US"/>
        </w:rPr>
      </w:pPr>
      <w:r>
        <w:rPr>
          <w:sz w:val="22"/>
          <w:lang w:val="en-US"/>
        </w:rPr>
        <w:t>However</w:t>
      </w:r>
      <w:r w:rsidR="003E04AE">
        <w:rPr>
          <w:sz w:val="22"/>
          <w:lang w:val="en-US"/>
        </w:rPr>
        <w:t>,</w:t>
      </w:r>
      <w:r>
        <w:rPr>
          <w:sz w:val="22"/>
          <w:lang w:val="en-US"/>
        </w:rPr>
        <w:t xml:space="preserve"> </w:t>
      </w:r>
      <w:r w:rsidR="00212DB8" w:rsidRPr="004F56DF">
        <w:rPr>
          <w:sz w:val="22"/>
          <w:lang w:val="en-US"/>
        </w:rPr>
        <w:t xml:space="preserve">already before COP 15 in Copenhagen it was felt that </w:t>
      </w:r>
      <w:r w:rsidR="001519C7" w:rsidRPr="004F56DF">
        <w:rPr>
          <w:sz w:val="22"/>
          <w:lang w:val="en-US"/>
        </w:rPr>
        <w:t xml:space="preserve">this </w:t>
      </w:r>
      <w:r w:rsidR="00212DB8" w:rsidRPr="004F56DF">
        <w:rPr>
          <w:sz w:val="22"/>
          <w:lang w:val="en-US"/>
        </w:rPr>
        <w:t xml:space="preserve">advocacy role </w:t>
      </w:r>
      <w:r w:rsidR="001519C7" w:rsidRPr="004F56DF">
        <w:rPr>
          <w:sz w:val="22"/>
          <w:lang w:val="en-US"/>
        </w:rPr>
        <w:t xml:space="preserve">was coming </w:t>
      </w:r>
      <w:r w:rsidR="00212DB8" w:rsidRPr="004F56DF">
        <w:rPr>
          <w:sz w:val="22"/>
          <w:lang w:val="en-US"/>
        </w:rPr>
        <w:t xml:space="preserve">to </w:t>
      </w:r>
      <w:r>
        <w:rPr>
          <w:sz w:val="22"/>
          <w:lang w:val="en-US"/>
        </w:rPr>
        <w:t>a natural</w:t>
      </w:r>
      <w:r w:rsidRPr="004F56DF">
        <w:rPr>
          <w:sz w:val="22"/>
          <w:lang w:val="en-US"/>
        </w:rPr>
        <w:t xml:space="preserve"> </w:t>
      </w:r>
      <w:r w:rsidR="00212DB8" w:rsidRPr="004F56DF">
        <w:rPr>
          <w:sz w:val="22"/>
          <w:lang w:val="en-US"/>
        </w:rPr>
        <w:t xml:space="preserve">end and that the </w:t>
      </w:r>
      <w:r w:rsidR="00A532C4" w:rsidRPr="004F56DF">
        <w:rPr>
          <w:sz w:val="22"/>
          <w:lang w:val="en-US"/>
        </w:rPr>
        <w:t>TF</w:t>
      </w:r>
      <w:r w:rsidR="00212DB8" w:rsidRPr="004F56DF">
        <w:rPr>
          <w:sz w:val="22"/>
          <w:lang w:val="en-US"/>
        </w:rPr>
        <w:t xml:space="preserve"> should shift its focus from advocacy towards </w:t>
      </w:r>
      <w:r w:rsidR="007A4735" w:rsidRPr="004F56DF">
        <w:rPr>
          <w:sz w:val="22"/>
          <w:lang w:val="en-US"/>
        </w:rPr>
        <w:t xml:space="preserve">the second part of its mandate, i.e. guidance for </w:t>
      </w:r>
      <w:r w:rsidR="00DD1D58" w:rsidRPr="004F56DF">
        <w:rPr>
          <w:sz w:val="22"/>
          <w:lang w:val="en-US"/>
        </w:rPr>
        <w:t xml:space="preserve">policy </w:t>
      </w:r>
      <w:r w:rsidR="00212DB8" w:rsidRPr="004F56DF">
        <w:rPr>
          <w:sz w:val="22"/>
          <w:lang w:val="en-US"/>
        </w:rPr>
        <w:t xml:space="preserve">implementation at the </w:t>
      </w:r>
      <w:r>
        <w:rPr>
          <w:sz w:val="22"/>
          <w:lang w:val="en-US"/>
        </w:rPr>
        <w:t xml:space="preserve">local, </w:t>
      </w:r>
      <w:r w:rsidR="00212DB8" w:rsidRPr="004F56DF">
        <w:rPr>
          <w:sz w:val="22"/>
          <w:lang w:val="en-US"/>
        </w:rPr>
        <w:t xml:space="preserve">national and </w:t>
      </w:r>
      <w:r w:rsidR="00212DB8" w:rsidRPr="004F56DF">
        <w:rPr>
          <w:sz w:val="22"/>
          <w:lang w:val="en-US"/>
        </w:rPr>
        <w:lastRenderedPageBreak/>
        <w:t>regional level</w:t>
      </w:r>
      <w:r>
        <w:rPr>
          <w:sz w:val="22"/>
          <w:lang w:val="en-US"/>
        </w:rPr>
        <w:t>s</w:t>
      </w:r>
      <w:r w:rsidR="00DD1D58" w:rsidRPr="004F56DF">
        <w:rPr>
          <w:sz w:val="22"/>
          <w:lang w:val="en-US"/>
        </w:rPr>
        <w:t xml:space="preserve"> in developing countries</w:t>
      </w:r>
      <w:r w:rsidR="00212DB8" w:rsidRPr="004F56DF">
        <w:rPr>
          <w:sz w:val="22"/>
          <w:lang w:val="en-US"/>
        </w:rPr>
        <w:t xml:space="preserve">. The </w:t>
      </w:r>
      <w:r>
        <w:rPr>
          <w:sz w:val="22"/>
          <w:lang w:val="en-US"/>
        </w:rPr>
        <w:t>lack of progress</w:t>
      </w:r>
      <w:r w:rsidRPr="004F56DF">
        <w:rPr>
          <w:sz w:val="22"/>
          <w:lang w:val="en-US"/>
        </w:rPr>
        <w:t xml:space="preserve"> </w:t>
      </w:r>
      <w:r w:rsidR="00DD1D58" w:rsidRPr="004F56DF">
        <w:rPr>
          <w:sz w:val="22"/>
          <w:lang w:val="en-US"/>
        </w:rPr>
        <w:t xml:space="preserve">of COP 15 </w:t>
      </w:r>
      <w:r>
        <w:rPr>
          <w:sz w:val="22"/>
          <w:lang w:val="en-US"/>
        </w:rPr>
        <w:t>provided further impetus for adopting such</w:t>
      </w:r>
      <w:r w:rsidR="00DD1D58" w:rsidRPr="004F56DF">
        <w:rPr>
          <w:sz w:val="22"/>
          <w:lang w:val="en-US"/>
        </w:rPr>
        <w:t xml:space="preserve"> </w:t>
      </w:r>
      <w:r>
        <w:rPr>
          <w:sz w:val="22"/>
          <w:lang w:val="en-US"/>
        </w:rPr>
        <w:t>a</w:t>
      </w:r>
      <w:r w:rsidR="00DD1D58" w:rsidRPr="004F56DF">
        <w:rPr>
          <w:sz w:val="22"/>
          <w:lang w:val="en-US"/>
        </w:rPr>
        <w:t xml:space="preserve"> strategy.</w:t>
      </w:r>
    </w:p>
    <w:p w:rsidR="00DD1D58" w:rsidRPr="004F56DF" w:rsidRDefault="00DD1D58" w:rsidP="004F56DF">
      <w:pPr>
        <w:jc w:val="both"/>
        <w:rPr>
          <w:sz w:val="22"/>
          <w:lang w:val="en-US"/>
        </w:rPr>
      </w:pPr>
    </w:p>
    <w:p w:rsidR="00D323BC" w:rsidRDefault="00D323BC" w:rsidP="004F56DF">
      <w:pPr>
        <w:jc w:val="both"/>
        <w:rPr>
          <w:sz w:val="22"/>
          <w:lang w:val="en-US"/>
        </w:rPr>
      </w:pPr>
      <w:r>
        <w:rPr>
          <w:sz w:val="22"/>
          <w:lang w:val="en-US"/>
        </w:rPr>
        <w:t>T</w:t>
      </w:r>
      <w:r w:rsidR="009A5471" w:rsidRPr="004F56DF">
        <w:rPr>
          <w:sz w:val="22"/>
          <w:lang w:val="en-US"/>
        </w:rPr>
        <w:t xml:space="preserve">he provision of policy guidance </w:t>
      </w:r>
      <w:r w:rsidR="00016C98">
        <w:rPr>
          <w:sz w:val="22"/>
          <w:lang w:val="en-US"/>
        </w:rPr>
        <w:t>proved to be more difficult</w:t>
      </w:r>
      <w:r w:rsidR="00AC5225">
        <w:rPr>
          <w:sz w:val="22"/>
          <w:lang w:val="en-US"/>
        </w:rPr>
        <w:t>.</w:t>
      </w:r>
      <w:r w:rsidR="001C688F">
        <w:rPr>
          <w:sz w:val="22"/>
          <w:lang w:val="en-US"/>
        </w:rPr>
        <w:t xml:space="preserve"> </w:t>
      </w:r>
      <w:r w:rsidR="00ED0EF8">
        <w:rPr>
          <w:sz w:val="22"/>
          <w:lang w:val="en-US"/>
        </w:rPr>
        <w:t>On the one hand, two t</w:t>
      </w:r>
      <w:r w:rsidR="009A5471" w:rsidRPr="004F56DF">
        <w:rPr>
          <w:sz w:val="22"/>
          <w:lang w:val="en-US"/>
        </w:rPr>
        <w:t>hematic</w:t>
      </w:r>
      <w:r w:rsidR="001519C7" w:rsidRPr="004F56DF">
        <w:rPr>
          <w:sz w:val="22"/>
          <w:lang w:val="en-US"/>
        </w:rPr>
        <w:t xml:space="preserve"> TF </w:t>
      </w:r>
      <w:r w:rsidR="00DD1D58" w:rsidRPr="004F56DF">
        <w:rPr>
          <w:sz w:val="22"/>
          <w:lang w:val="en-US"/>
        </w:rPr>
        <w:t xml:space="preserve">meetings </w:t>
      </w:r>
      <w:r w:rsidR="009A5471" w:rsidRPr="004F56DF">
        <w:rPr>
          <w:sz w:val="22"/>
          <w:lang w:val="en-US"/>
        </w:rPr>
        <w:t xml:space="preserve">on </w:t>
      </w:r>
      <w:r w:rsidR="009A5471" w:rsidRPr="000B29A6">
        <w:rPr>
          <w:sz w:val="22"/>
          <w:lang w:val="en-US"/>
        </w:rPr>
        <w:t xml:space="preserve">vulnerability and risk assessment tools and coordination processes at country-level </w:t>
      </w:r>
      <w:r w:rsidR="00ED0EF8">
        <w:rPr>
          <w:sz w:val="22"/>
          <w:lang w:val="en-US"/>
        </w:rPr>
        <w:t>we</w:t>
      </w:r>
      <w:r w:rsidRPr="004F56DF">
        <w:rPr>
          <w:sz w:val="22"/>
          <w:lang w:val="en-US"/>
        </w:rPr>
        <w:t xml:space="preserve">re </w:t>
      </w:r>
      <w:r w:rsidR="009A5471" w:rsidRPr="004F56DF">
        <w:rPr>
          <w:sz w:val="22"/>
          <w:lang w:val="en-US"/>
        </w:rPr>
        <w:t xml:space="preserve">very well attended and the </w:t>
      </w:r>
      <w:r>
        <w:rPr>
          <w:sz w:val="22"/>
          <w:lang w:val="en-US"/>
        </w:rPr>
        <w:t xml:space="preserve">related </w:t>
      </w:r>
      <w:r w:rsidR="009A5471" w:rsidRPr="004F56DF">
        <w:rPr>
          <w:sz w:val="22"/>
          <w:lang w:val="en-US"/>
        </w:rPr>
        <w:t>documentation</w:t>
      </w:r>
      <w:r w:rsidR="0089426B" w:rsidRPr="004F56DF">
        <w:rPr>
          <w:sz w:val="22"/>
          <w:lang w:val="en-US"/>
        </w:rPr>
        <w:t xml:space="preserve"> </w:t>
      </w:r>
      <w:r w:rsidR="00ED0EF8">
        <w:rPr>
          <w:sz w:val="22"/>
          <w:lang w:val="en-US"/>
        </w:rPr>
        <w:t>frequently</w:t>
      </w:r>
      <w:r>
        <w:rPr>
          <w:sz w:val="22"/>
          <w:lang w:val="en-US"/>
        </w:rPr>
        <w:t xml:space="preserve"> requested</w:t>
      </w:r>
      <w:r w:rsidR="004F56DF">
        <w:rPr>
          <w:sz w:val="22"/>
          <w:lang w:val="en-US"/>
        </w:rPr>
        <w:t>.</w:t>
      </w:r>
      <w:r w:rsidR="009A5471" w:rsidRPr="004F56DF">
        <w:rPr>
          <w:sz w:val="22"/>
          <w:lang w:val="en-US"/>
        </w:rPr>
        <w:t xml:space="preserve"> </w:t>
      </w:r>
      <w:r w:rsidR="0089426B" w:rsidRPr="004F56DF">
        <w:rPr>
          <w:sz w:val="22"/>
          <w:lang w:val="en-US"/>
        </w:rPr>
        <w:t>A</w:t>
      </w:r>
      <w:r w:rsidR="00C80746" w:rsidRPr="004F56DF">
        <w:rPr>
          <w:sz w:val="22"/>
          <w:lang w:val="en-US"/>
        </w:rPr>
        <w:t xml:space="preserve">t the same time it </w:t>
      </w:r>
      <w:r w:rsidR="001519C7" w:rsidRPr="004F56DF">
        <w:rPr>
          <w:sz w:val="22"/>
          <w:lang w:val="en-US"/>
        </w:rPr>
        <w:t xml:space="preserve">is </w:t>
      </w:r>
      <w:r w:rsidR="00C80746" w:rsidRPr="004F56DF">
        <w:rPr>
          <w:sz w:val="22"/>
          <w:lang w:val="en-US"/>
        </w:rPr>
        <w:t xml:space="preserve">very difficult to develop generic </w:t>
      </w:r>
      <w:r w:rsidR="004D3D9A" w:rsidRPr="004F56DF">
        <w:rPr>
          <w:sz w:val="22"/>
          <w:lang w:val="en-US"/>
        </w:rPr>
        <w:t xml:space="preserve">global </w:t>
      </w:r>
      <w:r w:rsidR="00C80746" w:rsidRPr="004F56DF">
        <w:rPr>
          <w:sz w:val="22"/>
          <w:lang w:val="en-US"/>
        </w:rPr>
        <w:t>guidance to colleagues in the field.</w:t>
      </w:r>
      <w:r w:rsidR="00ED0EF8">
        <w:rPr>
          <w:sz w:val="22"/>
          <w:lang w:val="en-US"/>
        </w:rPr>
        <w:t xml:space="preserve"> A “quick guide” in the form of an accessible 8-</w:t>
      </w:r>
      <w:proofErr w:type="spellStart"/>
      <w:r w:rsidR="00ED0EF8">
        <w:rPr>
          <w:sz w:val="22"/>
          <w:lang w:val="en-US"/>
        </w:rPr>
        <w:t>pager</w:t>
      </w:r>
      <w:proofErr w:type="spellEnd"/>
      <w:r w:rsidR="00ED0EF8">
        <w:rPr>
          <w:sz w:val="22"/>
          <w:lang w:val="en-US"/>
        </w:rPr>
        <w:t xml:space="preserve"> providing basic information and guidance on further resources is well </w:t>
      </w:r>
      <w:r w:rsidR="00016C98">
        <w:rPr>
          <w:sz w:val="22"/>
          <w:lang w:val="en-US"/>
        </w:rPr>
        <w:t>received;</w:t>
      </w:r>
      <w:r w:rsidR="00ED0EF8">
        <w:rPr>
          <w:sz w:val="22"/>
          <w:lang w:val="en-US"/>
        </w:rPr>
        <w:t xml:space="preserve"> nevertheless it is felt that “heavier” guidance might not be the right approach. </w:t>
      </w:r>
    </w:p>
    <w:p w:rsidR="00D323BC" w:rsidRDefault="00D323BC" w:rsidP="004F56DF">
      <w:pPr>
        <w:jc w:val="both"/>
        <w:rPr>
          <w:sz w:val="22"/>
          <w:lang w:val="en-US"/>
        </w:rPr>
      </w:pPr>
    </w:p>
    <w:p w:rsidR="001519C7" w:rsidRPr="004F56DF" w:rsidRDefault="00D323BC" w:rsidP="004F56DF">
      <w:pPr>
        <w:jc w:val="both"/>
        <w:rPr>
          <w:sz w:val="22"/>
          <w:lang w:val="en-US"/>
        </w:rPr>
      </w:pPr>
      <w:r>
        <w:rPr>
          <w:sz w:val="22"/>
          <w:lang w:val="en-US"/>
        </w:rPr>
        <w:t>On-going e</w:t>
      </w:r>
      <w:r w:rsidR="00C80746" w:rsidRPr="004F56DF">
        <w:rPr>
          <w:sz w:val="22"/>
          <w:lang w:val="en-US"/>
        </w:rPr>
        <w:t>xperience</w:t>
      </w:r>
      <w:r>
        <w:rPr>
          <w:sz w:val="22"/>
          <w:lang w:val="en-US"/>
        </w:rPr>
        <w:t xml:space="preserve"> is</w:t>
      </w:r>
      <w:r w:rsidR="00C80746" w:rsidRPr="004F56DF">
        <w:rPr>
          <w:sz w:val="22"/>
          <w:lang w:val="en-US"/>
        </w:rPr>
        <w:t xml:space="preserve"> demonstrat</w:t>
      </w:r>
      <w:r>
        <w:rPr>
          <w:sz w:val="22"/>
          <w:lang w:val="en-US"/>
        </w:rPr>
        <w:t>ing</w:t>
      </w:r>
      <w:r w:rsidR="00C80746" w:rsidRPr="004F56DF">
        <w:rPr>
          <w:sz w:val="22"/>
          <w:lang w:val="en-US"/>
        </w:rPr>
        <w:t xml:space="preserve"> that the conditions in countries </w:t>
      </w:r>
      <w:r w:rsidR="004D3D9A" w:rsidRPr="004F56DF">
        <w:rPr>
          <w:sz w:val="22"/>
          <w:lang w:val="en-US"/>
        </w:rPr>
        <w:t>are very diverse. I</w:t>
      </w:r>
      <w:r w:rsidR="00C80746" w:rsidRPr="004F56DF">
        <w:rPr>
          <w:sz w:val="22"/>
          <w:lang w:val="en-US"/>
        </w:rPr>
        <w:t xml:space="preserve">n one country there </w:t>
      </w:r>
      <w:r w:rsidR="001519C7" w:rsidRPr="004F56DF">
        <w:rPr>
          <w:sz w:val="22"/>
          <w:lang w:val="en-US"/>
        </w:rPr>
        <w:t>may be</w:t>
      </w:r>
      <w:r w:rsidR="00C80746" w:rsidRPr="004F56DF">
        <w:rPr>
          <w:sz w:val="22"/>
          <w:lang w:val="en-US"/>
        </w:rPr>
        <w:t xml:space="preserve"> no interest or policy to address climate</w:t>
      </w:r>
      <w:r>
        <w:rPr>
          <w:sz w:val="22"/>
          <w:lang w:val="en-US"/>
        </w:rPr>
        <w:t>-</w:t>
      </w:r>
      <w:r w:rsidR="00C80746" w:rsidRPr="004F56DF">
        <w:rPr>
          <w:sz w:val="22"/>
          <w:lang w:val="en-US"/>
        </w:rPr>
        <w:t xml:space="preserve">related risks, </w:t>
      </w:r>
      <w:r w:rsidR="001519C7" w:rsidRPr="004F56DF">
        <w:rPr>
          <w:sz w:val="22"/>
          <w:lang w:val="en-US"/>
        </w:rPr>
        <w:t xml:space="preserve">while </w:t>
      </w:r>
      <w:r w:rsidR="00C80746" w:rsidRPr="004F56DF">
        <w:rPr>
          <w:sz w:val="22"/>
          <w:lang w:val="en-US"/>
        </w:rPr>
        <w:t xml:space="preserve">in another it is dependent on the personal </w:t>
      </w:r>
      <w:r w:rsidR="00ED0EF8">
        <w:rPr>
          <w:sz w:val="22"/>
          <w:lang w:val="en-US"/>
        </w:rPr>
        <w:t>engagement</w:t>
      </w:r>
      <w:r w:rsidR="00ED0EF8" w:rsidRPr="004F56DF">
        <w:rPr>
          <w:sz w:val="22"/>
          <w:lang w:val="en-US"/>
        </w:rPr>
        <w:t xml:space="preserve"> </w:t>
      </w:r>
      <w:r w:rsidR="00C80746" w:rsidRPr="004F56DF">
        <w:rPr>
          <w:sz w:val="22"/>
          <w:lang w:val="en-US"/>
        </w:rPr>
        <w:t xml:space="preserve">of government officials or the permanent UN </w:t>
      </w:r>
      <w:r>
        <w:rPr>
          <w:sz w:val="22"/>
          <w:lang w:val="en-US"/>
        </w:rPr>
        <w:t>Representative</w:t>
      </w:r>
      <w:r w:rsidR="00C80746" w:rsidRPr="004F56DF">
        <w:rPr>
          <w:sz w:val="22"/>
          <w:lang w:val="en-US"/>
        </w:rPr>
        <w:t xml:space="preserve">. </w:t>
      </w:r>
      <w:r w:rsidR="004D3D9A" w:rsidRPr="004F56DF">
        <w:rPr>
          <w:sz w:val="22"/>
          <w:lang w:val="en-US"/>
        </w:rPr>
        <w:t xml:space="preserve">Depending on </w:t>
      </w:r>
      <w:r w:rsidR="00F16E58">
        <w:rPr>
          <w:sz w:val="22"/>
          <w:lang w:val="en-US"/>
        </w:rPr>
        <w:t>the “champion” of climate change on the national level,</w:t>
      </w:r>
      <w:r w:rsidR="004D3D9A" w:rsidRPr="004F56DF">
        <w:rPr>
          <w:sz w:val="22"/>
          <w:lang w:val="en-US"/>
        </w:rPr>
        <w:t xml:space="preserve"> the direction of policies and </w:t>
      </w:r>
      <w:proofErr w:type="spellStart"/>
      <w:r w:rsidR="004D3D9A" w:rsidRPr="004F56DF">
        <w:rPr>
          <w:sz w:val="22"/>
          <w:lang w:val="en-US"/>
        </w:rPr>
        <w:t>programmes</w:t>
      </w:r>
      <w:proofErr w:type="spellEnd"/>
      <w:r w:rsidR="004D3D9A" w:rsidRPr="004F56DF">
        <w:rPr>
          <w:sz w:val="22"/>
          <w:lang w:val="en-US"/>
        </w:rPr>
        <w:t xml:space="preserve"> </w:t>
      </w:r>
      <w:r w:rsidR="00F16E58">
        <w:rPr>
          <w:sz w:val="22"/>
          <w:lang w:val="en-US"/>
        </w:rPr>
        <w:t>can have</w:t>
      </w:r>
      <w:r w:rsidR="004D3D9A" w:rsidRPr="004F56DF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different </w:t>
      </w:r>
      <w:proofErr w:type="spellStart"/>
      <w:r>
        <w:rPr>
          <w:sz w:val="22"/>
          <w:lang w:val="en-US"/>
        </w:rPr>
        <w:t>sectoral</w:t>
      </w:r>
      <w:proofErr w:type="spellEnd"/>
      <w:r>
        <w:rPr>
          <w:sz w:val="22"/>
          <w:lang w:val="en-US"/>
        </w:rPr>
        <w:t xml:space="preserve"> orientations such </w:t>
      </w:r>
      <w:proofErr w:type="gramStart"/>
      <w:r>
        <w:rPr>
          <w:sz w:val="22"/>
          <w:lang w:val="en-US"/>
        </w:rPr>
        <w:t xml:space="preserve">as </w:t>
      </w:r>
      <w:r w:rsidR="004D3D9A" w:rsidRPr="004F56DF">
        <w:rPr>
          <w:sz w:val="22"/>
          <w:lang w:val="en-US"/>
        </w:rPr>
        <w:t xml:space="preserve"> agriculture</w:t>
      </w:r>
      <w:proofErr w:type="gramEnd"/>
      <w:r w:rsidR="004D3D9A" w:rsidRPr="004F56DF">
        <w:rPr>
          <w:sz w:val="22"/>
          <w:lang w:val="en-US"/>
        </w:rPr>
        <w:t>, water</w:t>
      </w:r>
      <w:r>
        <w:rPr>
          <w:sz w:val="22"/>
          <w:lang w:val="en-US"/>
        </w:rPr>
        <w:t>,</w:t>
      </w:r>
      <w:r w:rsidR="004D3D9A" w:rsidRPr="004F56DF">
        <w:rPr>
          <w:sz w:val="22"/>
          <w:lang w:val="en-US"/>
        </w:rPr>
        <w:t xml:space="preserve"> etc.</w:t>
      </w:r>
      <w:r w:rsidR="0089426B" w:rsidRPr="004F56DF">
        <w:rPr>
          <w:sz w:val="22"/>
          <w:lang w:val="en-US"/>
        </w:rPr>
        <w:t xml:space="preserve"> </w:t>
      </w:r>
      <w:r w:rsidR="00F16E58">
        <w:rPr>
          <w:sz w:val="22"/>
          <w:lang w:val="en-US"/>
        </w:rPr>
        <w:t>Therefore,</w:t>
      </w:r>
      <w:r w:rsidR="0089426B" w:rsidRPr="004F56DF">
        <w:rPr>
          <w:sz w:val="22"/>
          <w:lang w:val="en-US"/>
        </w:rPr>
        <w:t xml:space="preserve"> </w:t>
      </w:r>
      <w:proofErr w:type="spellStart"/>
      <w:r w:rsidR="0089426B" w:rsidRPr="004F56DF">
        <w:rPr>
          <w:sz w:val="22"/>
          <w:lang w:val="en-US"/>
        </w:rPr>
        <w:t>programme</w:t>
      </w:r>
      <w:proofErr w:type="spellEnd"/>
      <w:r w:rsidR="0089426B" w:rsidRPr="004F56DF">
        <w:rPr>
          <w:sz w:val="22"/>
          <w:lang w:val="en-US"/>
        </w:rPr>
        <w:t xml:space="preserve"> implementation </w:t>
      </w:r>
      <w:r>
        <w:rPr>
          <w:sz w:val="22"/>
          <w:lang w:val="en-US"/>
        </w:rPr>
        <w:t>needs a context-relevant approach by</w:t>
      </w:r>
      <w:r w:rsidR="0089426B" w:rsidRPr="004F56DF">
        <w:rPr>
          <w:sz w:val="22"/>
          <w:lang w:val="en-US"/>
        </w:rPr>
        <w:t xml:space="preserve"> individual </w:t>
      </w:r>
      <w:r>
        <w:rPr>
          <w:sz w:val="22"/>
          <w:lang w:val="en-US"/>
        </w:rPr>
        <w:t xml:space="preserve">(but coordinated) </w:t>
      </w:r>
      <w:r w:rsidR="0089426B" w:rsidRPr="004F56DF">
        <w:rPr>
          <w:sz w:val="22"/>
          <w:lang w:val="en-US"/>
        </w:rPr>
        <w:t xml:space="preserve">agencies.  </w:t>
      </w:r>
    </w:p>
    <w:p w:rsidR="00DD1D58" w:rsidRPr="004F56DF" w:rsidRDefault="00DD1D58" w:rsidP="004F56DF">
      <w:pPr>
        <w:jc w:val="both"/>
        <w:rPr>
          <w:sz w:val="22"/>
          <w:lang w:val="en-US"/>
        </w:rPr>
      </w:pPr>
    </w:p>
    <w:p w:rsidR="00D323BC" w:rsidRDefault="00C80746" w:rsidP="004F56DF">
      <w:pPr>
        <w:jc w:val="both"/>
        <w:rPr>
          <w:sz w:val="22"/>
          <w:lang w:val="en-US"/>
        </w:rPr>
      </w:pPr>
      <w:r w:rsidRPr="004F56DF">
        <w:rPr>
          <w:sz w:val="22"/>
          <w:lang w:val="en-US"/>
        </w:rPr>
        <w:t>The</w:t>
      </w:r>
      <w:r w:rsidR="004D3D9A" w:rsidRPr="004F56DF">
        <w:rPr>
          <w:sz w:val="22"/>
          <w:lang w:val="en-US"/>
        </w:rPr>
        <w:t xml:space="preserve">se observations </w:t>
      </w:r>
      <w:r w:rsidR="001519C7" w:rsidRPr="004F56DF">
        <w:rPr>
          <w:sz w:val="22"/>
          <w:lang w:val="en-US"/>
        </w:rPr>
        <w:t xml:space="preserve">have </w:t>
      </w:r>
      <w:r w:rsidR="004D3D9A" w:rsidRPr="004F56DF">
        <w:rPr>
          <w:sz w:val="22"/>
          <w:lang w:val="en-US"/>
        </w:rPr>
        <w:t xml:space="preserve">led </w:t>
      </w:r>
      <w:r w:rsidRPr="004F56DF">
        <w:rPr>
          <w:sz w:val="22"/>
          <w:lang w:val="en-US"/>
        </w:rPr>
        <w:t xml:space="preserve">to the </w:t>
      </w:r>
      <w:r w:rsidR="00BE204C">
        <w:rPr>
          <w:sz w:val="22"/>
          <w:lang w:val="en-US"/>
        </w:rPr>
        <w:t>following con</w:t>
      </w:r>
      <w:r w:rsidRPr="004F56DF">
        <w:rPr>
          <w:sz w:val="22"/>
          <w:lang w:val="en-US"/>
        </w:rPr>
        <w:t>clusion</w:t>
      </w:r>
      <w:r w:rsidR="00BE204C">
        <w:rPr>
          <w:sz w:val="22"/>
          <w:lang w:val="en-US"/>
        </w:rPr>
        <w:t xml:space="preserve">s regarding the mandate of the IASC </w:t>
      </w:r>
      <w:r w:rsidR="00D323BC">
        <w:rPr>
          <w:sz w:val="22"/>
          <w:lang w:val="en-US"/>
        </w:rPr>
        <w:t>Task Force</w:t>
      </w:r>
      <w:r w:rsidR="00BE204C">
        <w:rPr>
          <w:sz w:val="22"/>
          <w:lang w:val="en-US"/>
        </w:rPr>
        <w:t xml:space="preserve"> on </w:t>
      </w:r>
      <w:r w:rsidR="00D323BC">
        <w:rPr>
          <w:sz w:val="22"/>
          <w:lang w:val="en-US"/>
        </w:rPr>
        <w:t>C</w:t>
      </w:r>
      <w:r w:rsidR="00BE204C">
        <w:rPr>
          <w:sz w:val="22"/>
          <w:lang w:val="en-US"/>
        </w:rPr>
        <w:t xml:space="preserve">limate </w:t>
      </w:r>
      <w:r w:rsidR="00D323BC">
        <w:rPr>
          <w:sz w:val="22"/>
          <w:lang w:val="en-US"/>
        </w:rPr>
        <w:t>C</w:t>
      </w:r>
      <w:r w:rsidR="00BE204C">
        <w:rPr>
          <w:sz w:val="22"/>
          <w:lang w:val="en-US"/>
        </w:rPr>
        <w:t>hange:</w:t>
      </w:r>
    </w:p>
    <w:p w:rsidR="00D323BC" w:rsidRDefault="00D323BC" w:rsidP="004F56DF">
      <w:pPr>
        <w:jc w:val="both"/>
        <w:rPr>
          <w:sz w:val="22"/>
          <w:lang w:val="en-US"/>
        </w:rPr>
      </w:pPr>
    </w:p>
    <w:p w:rsidR="001C688F" w:rsidRDefault="00FB1A97" w:rsidP="004F56DF">
      <w:pPr>
        <w:jc w:val="both"/>
        <w:rPr>
          <w:sz w:val="22"/>
          <w:lang w:val="en-US"/>
        </w:rPr>
      </w:pPr>
      <w:r w:rsidRPr="00FB1A97">
        <w:rPr>
          <w:sz w:val="22"/>
          <w:lang w:val="en-US"/>
        </w:rPr>
      </w:r>
      <w:r>
        <w:rPr>
          <w:sz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54.05pt;height:88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fillcolor="#d8d8d8 [2732]">
            <v:textbox style="mso-next-textbox:#_x0000_s1026">
              <w:txbxContent>
                <w:p w:rsidR="00F16E58" w:rsidRDefault="00F16E58" w:rsidP="00F16E58">
                  <w:pPr>
                    <w:jc w:val="both"/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T</w:t>
                  </w:r>
                  <w:r w:rsidRPr="004F56DF">
                    <w:rPr>
                      <w:sz w:val="22"/>
                      <w:lang w:val="en-US"/>
                    </w:rPr>
                    <w:t xml:space="preserve">here is a great need </w:t>
                  </w:r>
                  <w:r>
                    <w:rPr>
                      <w:sz w:val="22"/>
                      <w:lang w:val="en-US"/>
                    </w:rPr>
                    <w:t xml:space="preserve">for continued mutual knowledge-sharing and </w:t>
                  </w:r>
                  <w:r w:rsidRPr="004F56DF">
                    <w:rPr>
                      <w:sz w:val="22"/>
                      <w:lang w:val="en-US"/>
                    </w:rPr>
                    <w:t xml:space="preserve">support </w:t>
                  </w:r>
                  <w:r>
                    <w:rPr>
                      <w:sz w:val="22"/>
                      <w:lang w:val="en-US"/>
                    </w:rPr>
                    <w:t xml:space="preserve">for </w:t>
                  </w:r>
                  <w:r w:rsidRPr="004F56DF">
                    <w:rPr>
                      <w:sz w:val="22"/>
                      <w:lang w:val="en-US"/>
                    </w:rPr>
                    <w:t>national and regional initiatives for DRR/CCA</w:t>
                  </w:r>
                  <w:r>
                    <w:rPr>
                      <w:sz w:val="22"/>
                      <w:lang w:val="en-US"/>
                    </w:rPr>
                    <w:t>,</w:t>
                  </w:r>
                  <w:r w:rsidRPr="004F56DF">
                    <w:rPr>
                      <w:sz w:val="22"/>
                      <w:lang w:val="en-US"/>
                    </w:rPr>
                    <w:t xml:space="preserve"> but collective products of a generic nature are no</w:t>
                  </w:r>
                  <w:r>
                    <w:rPr>
                      <w:sz w:val="22"/>
                      <w:lang w:val="en-US"/>
                    </w:rPr>
                    <w:t xml:space="preserve">t the most relevant and/or useful. </w:t>
                  </w:r>
                </w:p>
                <w:p w:rsidR="00F16E58" w:rsidRDefault="00F16E58" w:rsidP="00F16E58">
                  <w:pPr>
                    <w:jc w:val="both"/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Therefore, a</w:t>
                  </w:r>
                  <w:r w:rsidRPr="004F56DF">
                    <w:rPr>
                      <w:sz w:val="22"/>
                      <w:lang w:val="en-US"/>
                    </w:rPr>
                    <w:t xml:space="preserve"> </w:t>
                  </w:r>
                  <w:r w:rsidRPr="001C688F">
                    <w:rPr>
                      <w:b/>
                      <w:i/>
                      <w:sz w:val="22"/>
                      <w:lang w:val="en-US"/>
                    </w:rPr>
                    <w:t>network approach</w:t>
                  </w:r>
                  <w:r w:rsidRPr="004F56DF">
                    <w:rPr>
                      <w:sz w:val="22"/>
                      <w:lang w:val="en-US"/>
                    </w:rPr>
                    <w:t xml:space="preserve"> where experiences can be shared seems to be a more appropriate form for the near future. </w:t>
                  </w:r>
                  <w:r>
                    <w:rPr>
                      <w:sz w:val="22"/>
                      <w:lang w:val="en-US"/>
                    </w:rPr>
                    <w:t>As such the IASC TF’s mandate should not be extended beyond its current expiry date of January 2011.</w:t>
                  </w:r>
                </w:p>
                <w:p w:rsidR="00F16E58" w:rsidRPr="00076F8E" w:rsidRDefault="00F16E58" w:rsidP="00F16E58">
                  <w:pPr>
                    <w:rPr>
                      <w:lang w:val="en-US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F16E58" w:rsidRDefault="00F16E58" w:rsidP="004F56DF">
      <w:pPr>
        <w:jc w:val="both"/>
        <w:rPr>
          <w:b/>
          <w:sz w:val="22"/>
          <w:lang w:val="en-US"/>
        </w:rPr>
      </w:pPr>
    </w:p>
    <w:p w:rsidR="004D3D9A" w:rsidRPr="009B46DA" w:rsidRDefault="001C688F" w:rsidP="004F56DF">
      <w:pPr>
        <w:jc w:val="both"/>
        <w:rPr>
          <w:b/>
          <w:sz w:val="22"/>
          <w:lang w:val="en-US"/>
        </w:rPr>
      </w:pPr>
      <w:r>
        <w:rPr>
          <w:b/>
          <w:sz w:val="22"/>
          <w:lang w:val="en-US"/>
        </w:rPr>
        <w:t xml:space="preserve">Suggested </w:t>
      </w:r>
      <w:r w:rsidR="009B46DA" w:rsidRPr="009B46DA">
        <w:rPr>
          <w:b/>
          <w:sz w:val="22"/>
          <w:lang w:val="en-US"/>
        </w:rPr>
        <w:t xml:space="preserve">Way forward: </w:t>
      </w:r>
    </w:p>
    <w:p w:rsidR="00BE204C" w:rsidRDefault="00BE204C" w:rsidP="004F56DF">
      <w:pPr>
        <w:jc w:val="both"/>
        <w:rPr>
          <w:sz w:val="22"/>
          <w:lang w:val="en-US"/>
        </w:rPr>
      </w:pPr>
    </w:p>
    <w:p w:rsidR="00474DF5" w:rsidRDefault="00474DF5" w:rsidP="004F56DF">
      <w:pPr>
        <w:jc w:val="both"/>
        <w:rPr>
          <w:b/>
          <w:sz w:val="22"/>
          <w:lang w:val="en-US"/>
        </w:rPr>
      </w:pPr>
      <w:r w:rsidRPr="00474DF5">
        <w:rPr>
          <w:b/>
          <w:sz w:val="22"/>
          <w:lang w:val="en-US"/>
        </w:rPr>
        <w:t xml:space="preserve">1. From </w:t>
      </w:r>
      <w:r w:rsidR="00076F8E">
        <w:rPr>
          <w:b/>
          <w:sz w:val="22"/>
          <w:lang w:val="en-US"/>
        </w:rPr>
        <w:t>TF</w:t>
      </w:r>
      <w:r w:rsidR="00076F8E" w:rsidRPr="00474DF5">
        <w:rPr>
          <w:b/>
          <w:sz w:val="22"/>
          <w:lang w:val="en-US"/>
        </w:rPr>
        <w:t xml:space="preserve"> </w:t>
      </w:r>
      <w:r w:rsidRPr="00474DF5">
        <w:rPr>
          <w:b/>
          <w:sz w:val="22"/>
          <w:lang w:val="en-US"/>
        </w:rPr>
        <w:t>to network</w:t>
      </w:r>
    </w:p>
    <w:p w:rsidR="00474DF5" w:rsidRDefault="00474DF5" w:rsidP="004F56DF">
      <w:pPr>
        <w:jc w:val="both"/>
        <w:rPr>
          <w:sz w:val="22"/>
          <w:lang w:val="en-US"/>
        </w:rPr>
      </w:pPr>
      <w:r>
        <w:rPr>
          <w:sz w:val="22"/>
          <w:lang w:val="en-US"/>
        </w:rPr>
        <w:t>Now that the general policy conditions are more or less set f</w:t>
      </w:r>
      <w:r w:rsidR="009A0786">
        <w:rPr>
          <w:sz w:val="22"/>
          <w:lang w:val="en-US"/>
        </w:rPr>
        <w:t>or</w:t>
      </w:r>
      <w:r>
        <w:rPr>
          <w:sz w:val="22"/>
          <w:lang w:val="en-US"/>
        </w:rPr>
        <w:t xml:space="preserve"> addressing the humanitarian consequences of climate change and financial modalities are improving to implement these policies,</w:t>
      </w:r>
      <w:r w:rsidR="00F16E58">
        <w:rPr>
          <w:sz w:val="22"/>
          <w:lang w:val="en-US"/>
        </w:rPr>
        <w:t xml:space="preserve"> agencies are integrating climate risk management into their operations. To build on these experiences,</w:t>
      </w:r>
      <w:r>
        <w:rPr>
          <w:sz w:val="22"/>
          <w:lang w:val="en-US"/>
        </w:rPr>
        <w:t xml:space="preserve"> it is of the essence that IASC member </w:t>
      </w:r>
      <w:r w:rsidR="00076F8E">
        <w:rPr>
          <w:sz w:val="22"/>
          <w:lang w:val="en-US"/>
        </w:rPr>
        <w:t xml:space="preserve">agencies </w:t>
      </w:r>
      <w:r w:rsidR="00F16E58">
        <w:rPr>
          <w:sz w:val="22"/>
          <w:lang w:val="en-US"/>
        </w:rPr>
        <w:t xml:space="preserve">continue to </w:t>
      </w:r>
      <w:r w:rsidR="00076F8E">
        <w:rPr>
          <w:sz w:val="22"/>
          <w:lang w:val="en-US"/>
        </w:rPr>
        <w:t xml:space="preserve">strengthen </w:t>
      </w:r>
      <w:r>
        <w:rPr>
          <w:sz w:val="22"/>
          <w:lang w:val="en-US"/>
        </w:rPr>
        <w:t xml:space="preserve">their capacities to develop and implement strategies and </w:t>
      </w:r>
      <w:proofErr w:type="spellStart"/>
      <w:r>
        <w:rPr>
          <w:sz w:val="22"/>
          <w:lang w:val="en-US"/>
        </w:rPr>
        <w:t>programmes</w:t>
      </w:r>
      <w:proofErr w:type="spellEnd"/>
      <w:r>
        <w:rPr>
          <w:sz w:val="22"/>
          <w:lang w:val="en-US"/>
        </w:rPr>
        <w:t xml:space="preserve"> to reduce climate</w:t>
      </w:r>
      <w:r w:rsidR="00076F8E">
        <w:rPr>
          <w:sz w:val="22"/>
          <w:lang w:val="en-US"/>
        </w:rPr>
        <w:t>-</w:t>
      </w:r>
      <w:r>
        <w:rPr>
          <w:sz w:val="22"/>
          <w:lang w:val="en-US"/>
        </w:rPr>
        <w:t>related risks for the most vulnerable people.</w:t>
      </w:r>
    </w:p>
    <w:p w:rsidR="00076F8E" w:rsidRDefault="00076F8E" w:rsidP="004F56DF">
      <w:pPr>
        <w:jc w:val="both"/>
        <w:rPr>
          <w:sz w:val="22"/>
          <w:lang w:val="en-US"/>
        </w:rPr>
      </w:pPr>
    </w:p>
    <w:p w:rsidR="00474DF5" w:rsidRDefault="00347A3C" w:rsidP="004F56DF">
      <w:pPr>
        <w:jc w:val="both"/>
        <w:rPr>
          <w:sz w:val="22"/>
          <w:lang w:val="en-US"/>
        </w:rPr>
      </w:pPr>
      <w:r>
        <w:rPr>
          <w:sz w:val="22"/>
          <w:lang w:val="en-US"/>
        </w:rPr>
        <w:t>Information-sharing supports “l</w:t>
      </w:r>
      <w:r w:rsidR="00474DF5">
        <w:rPr>
          <w:sz w:val="22"/>
          <w:lang w:val="en-US"/>
        </w:rPr>
        <w:t>earning by doing</w:t>
      </w:r>
      <w:r>
        <w:rPr>
          <w:sz w:val="22"/>
          <w:lang w:val="en-US"/>
        </w:rPr>
        <w:t>” and coordination</w:t>
      </w:r>
      <w:r w:rsidR="00474DF5">
        <w:rPr>
          <w:sz w:val="22"/>
          <w:lang w:val="en-US"/>
        </w:rPr>
        <w:t xml:space="preserve">. The IASC </w:t>
      </w:r>
      <w:r w:rsidR="00076F8E">
        <w:rPr>
          <w:sz w:val="22"/>
          <w:lang w:val="en-US"/>
        </w:rPr>
        <w:t xml:space="preserve">TF </w:t>
      </w:r>
      <w:r w:rsidR="00474DF5">
        <w:rPr>
          <w:sz w:val="22"/>
          <w:lang w:val="en-US"/>
        </w:rPr>
        <w:t>has been appreciated by its members as a helpful source of information and knowledge sharing</w:t>
      </w:r>
      <w:r>
        <w:rPr>
          <w:sz w:val="22"/>
          <w:lang w:val="en-US"/>
        </w:rPr>
        <w:t xml:space="preserve"> among a wide range of actors</w:t>
      </w:r>
      <w:r w:rsidR="00474DF5">
        <w:rPr>
          <w:sz w:val="22"/>
          <w:lang w:val="en-US"/>
        </w:rPr>
        <w:t xml:space="preserve">. This </w:t>
      </w:r>
      <w:r w:rsidR="00076F8E">
        <w:rPr>
          <w:sz w:val="22"/>
          <w:lang w:val="en-US"/>
        </w:rPr>
        <w:t xml:space="preserve">function </w:t>
      </w:r>
      <w:r>
        <w:rPr>
          <w:sz w:val="22"/>
          <w:lang w:val="en-US"/>
        </w:rPr>
        <w:t>should</w:t>
      </w:r>
      <w:r w:rsidR="00076F8E">
        <w:rPr>
          <w:sz w:val="22"/>
          <w:lang w:val="en-US"/>
        </w:rPr>
        <w:t xml:space="preserve"> be </w:t>
      </w:r>
      <w:r w:rsidR="00474DF5">
        <w:rPr>
          <w:sz w:val="22"/>
          <w:lang w:val="en-US"/>
        </w:rPr>
        <w:t>maintain</w:t>
      </w:r>
      <w:r w:rsidR="00076F8E">
        <w:rPr>
          <w:sz w:val="22"/>
          <w:lang w:val="en-US"/>
        </w:rPr>
        <w:t>ed</w:t>
      </w:r>
      <w:r w:rsidR="00474DF5">
        <w:rPr>
          <w:sz w:val="22"/>
          <w:lang w:val="en-US"/>
        </w:rPr>
        <w:t xml:space="preserve"> and </w:t>
      </w:r>
      <w:r w:rsidR="00076F8E">
        <w:rPr>
          <w:sz w:val="22"/>
          <w:lang w:val="en-US"/>
        </w:rPr>
        <w:t>potentially</w:t>
      </w:r>
      <w:r w:rsidR="00474DF5">
        <w:rPr>
          <w:sz w:val="22"/>
          <w:lang w:val="en-US"/>
        </w:rPr>
        <w:t xml:space="preserve"> further develop</w:t>
      </w:r>
      <w:r w:rsidR="00076F8E">
        <w:rPr>
          <w:sz w:val="22"/>
          <w:lang w:val="en-US"/>
        </w:rPr>
        <w:t>ed</w:t>
      </w:r>
      <w:r w:rsidR="00474DF5">
        <w:rPr>
          <w:sz w:val="22"/>
          <w:lang w:val="en-US"/>
        </w:rPr>
        <w:t xml:space="preserve"> along two tracks:</w:t>
      </w:r>
    </w:p>
    <w:p w:rsidR="00474DF5" w:rsidRPr="00076F8E" w:rsidRDefault="00076F8E" w:rsidP="00076F8E">
      <w:pPr>
        <w:pStyle w:val="ListParagraph"/>
        <w:numPr>
          <w:ilvl w:val="0"/>
          <w:numId w:val="1"/>
        </w:numPr>
        <w:jc w:val="both"/>
        <w:rPr>
          <w:sz w:val="22"/>
          <w:lang w:val="en-US"/>
        </w:rPr>
      </w:pPr>
      <w:r>
        <w:rPr>
          <w:sz w:val="22"/>
          <w:lang w:val="en-US"/>
        </w:rPr>
        <w:t>A</w:t>
      </w:r>
      <w:r w:rsidR="00474DF5" w:rsidRPr="00076F8E">
        <w:rPr>
          <w:sz w:val="22"/>
          <w:lang w:val="en-US"/>
        </w:rPr>
        <w:t xml:space="preserve">n </w:t>
      </w:r>
      <w:r w:rsidR="006B39C1" w:rsidRPr="006B39C1">
        <w:rPr>
          <w:b/>
          <w:sz w:val="22"/>
          <w:lang w:val="en-US"/>
        </w:rPr>
        <w:t>active e-mail list-server and website</w:t>
      </w:r>
      <w:r w:rsidR="00474DF5" w:rsidRPr="00076F8E">
        <w:rPr>
          <w:sz w:val="22"/>
          <w:lang w:val="en-US"/>
        </w:rPr>
        <w:t xml:space="preserve"> </w:t>
      </w:r>
      <w:r w:rsidR="00347A3C">
        <w:rPr>
          <w:sz w:val="22"/>
          <w:lang w:val="en-US"/>
        </w:rPr>
        <w:t>to exchange</w:t>
      </w:r>
      <w:r w:rsidR="009A0786" w:rsidRPr="00076F8E">
        <w:rPr>
          <w:sz w:val="22"/>
          <w:lang w:val="en-US"/>
        </w:rPr>
        <w:t xml:space="preserve"> </w:t>
      </w:r>
      <w:r w:rsidR="00474DF5" w:rsidRPr="00076F8E">
        <w:rPr>
          <w:sz w:val="22"/>
          <w:lang w:val="en-US"/>
        </w:rPr>
        <w:t xml:space="preserve">relevant information and developments </w:t>
      </w:r>
      <w:r w:rsidR="00347A3C">
        <w:rPr>
          <w:sz w:val="22"/>
          <w:lang w:val="en-US"/>
        </w:rPr>
        <w:t>and find coalitions for possible joint activities</w:t>
      </w:r>
      <w:r w:rsidR="00474DF5" w:rsidRPr="00076F8E">
        <w:rPr>
          <w:sz w:val="22"/>
          <w:lang w:val="en-US"/>
        </w:rPr>
        <w:t>.</w:t>
      </w:r>
    </w:p>
    <w:p w:rsidR="009A0786" w:rsidRPr="00076F8E" w:rsidRDefault="006B39C1" w:rsidP="00076F8E">
      <w:pPr>
        <w:pStyle w:val="ListParagraph"/>
        <w:numPr>
          <w:ilvl w:val="0"/>
          <w:numId w:val="1"/>
        </w:numPr>
        <w:jc w:val="both"/>
        <w:rPr>
          <w:sz w:val="22"/>
          <w:lang w:val="en-US"/>
        </w:rPr>
      </w:pPr>
      <w:r w:rsidRPr="006B39C1">
        <w:rPr>
          <w:b/>
          <w:sz w:val="22"/>
          <w:lang w:val="en-US"/>
        </w:rPr>
        <w:t>Half-yearly seminars</w:t>
      </w:r>
      <w:r w:rsidR="00474DF5" w:rsidRPr="00076F8E">
        <w:rPr>
          <w:sz w:val="22"/>
          <w:lang w:val="en-US"/>
        </w:rPr>
        <w:t xml:space="preserve"> </w:t>
      </w:r>
      <w:r w:rsidR="00347A3C">
        <w:rPr>
          <w:sz w:val="22"/>
          <w:lang w:val="en-US"/>
        </w:rPr>
        <w:t>on</w:t>
      </w:r>
      <w:r w:rsidR="00347A3C" w:rsidRPr="00076F8E">
        <w:rPr>
          <w:sz w:val="22"/>
          <w:lang w:val="en-US"/>
        </w:rPr>
        <w:t xml:space="preserve"> </w:t>
      </w:r>
      <w:r w:rsidR="00474DF5" w:rsidRPr="00076F8E">
        <w:rPr>
          <w:sz w:val="22"/>
          <w:lang w:val="en-US"/>
        </w:rPr>
        <w:t xml:space="preserve">capacity development </w:t>
      </w:r>
      <w:r w:rsidR="00347A3C">
        <w:rPr>
          <w:sz w:val="22"/>
          <w:lang w:val="en-US"/>
        </w:rPr>
        <w:t>and</w:t>
      </w:r>
      <w:r w:rsidR="00347A3C" w:rsidRPr="00076F8E">
        <w:rPr>
          <w:sz w:val="22"/>
          <w:lang w:val="en-US"/>
        </w:rPr>
        <w:t xml:space="preserve"> </w:t>
      </w:r>
      <w:r w:rsidR="00474DF5" w:rsidRPr="00076F8E">
        <w:rPr>
          <w:sz w:val="22"/>
          <w:lang w:val="en-US"/>
        </w:rPr>
        <w:t xml:space="preserve">central </w:t>
      </w:r>
      <w:r w:rsidR="00076F8E">
        <w:rPr>
          <w:sz w:val="22"/>
          <w:lang w:val="en-US"/>
        </w:rPr>
        <w:t xml:space="preserve">climate change </w:t>
      </w:r>
      <w:r w:rsidR="00474DF5" w:rsidRPr="00076F8E">
        <w:rPr>
          <w:sz w:val="22"/>
          <w:lang w:val="en-US"/>
        </w:rPr>
        <w:t xml:space="preserve">themes </w:t>
      </w:r>
    </w:p>
    <w:p w:rsidR="009A0786" w:rsidRDefault="009A0786" w:rsidP="004F56DF">
      <w:pPr>
        <w:jc w:val="both"/>
        <w:rPr>
          <w:sz w:val="22"/>
          <w:lang w:val="en-US"/>
        </w:rPr>
      </w:pPr>
    </w:p>
    <w:p w:rsidR="009A0786" w:rsidRDefault="009A0786" w:rsidP="004F56DF">
      <w:pPr>
        <w:jc w:val="both"/>
        <w:rPr>
          <w:b/>
          <w:sz w:val="22"/>
          <w:lang w:val="en-US"/>
        </w:rPr>
      </w:pPr>
      <w:r w:rsidRPr="009A0786">
        <w:rPr>
          <w:b/>
          <w:sz w:val="22"/>
          <w:lang w:val="en-US"/>
        </w:rPr>
        <w:t xml:space="preserve">2. </w:t>
      </w:r>
      <w:r w:rsidR="00474DF5" w:rsidRPr="009A0786">
        <w:rPr>
          <w:b/>
          <w:sz w:val="22"/>
          <w:lang w:val="en-US"/>
        </w:rPr>
        <w:t xml:space="preserve"> </w:t>
      </w:r>
      <w:r w:rsidR="00733525">
        <w:rPr>
          <w:b/>
          <w:sz w:val="22"/>
          <w:lang w:val="en-US"/>
        </w:rPr>
        <w:t>Finding an “institutional home”</w:t>
      </w:r>
    </w:p>
    <w:p w:rsidR="001F405E" w:rsidRDefault="00347A3C" w:rsidP="004F56DF">
      <w:pPr>
        <w:jc w:val="both"/>
        <w:rPr>
          <w:sz w:val="22"/>
          <w:lang w:val="en-US"/>
        </w:rPr>
      </w:pPr>
      <w:r>
        <w:rPr>
          <w:sz w:val="22"/>
          <w:lang w:val="en-US"/>
        </w:rPr>
        <w:t>After the end of the mandate</w:t>
      </w:r>
      <w:r w:rsidR="009A0786">
        <w:rPr>
          <w:sz w:val="22"/>
          <w:lang w:val="en-US"/>
        </w:rPr>
        <w:t xml:space="preserve"> of the </w:t>
      </w:r>
      <w:r w:rsidR="00076F8E">
        <w:rPr>
          <w:sz w:val="22"/>
          <w:lang w:val="en-US"/>
        </w:rPr>
        <w:t>TF</w:t>
      </w:r>
      <w:r w:rsidR="00733C33">
        <w:rPr>
          <w:sz w:val="22"/>
          <w:lang w:val="en-US"/>
        </w:rPr>
        <w:t>,</w:t>
      </w:r>
      <w:r w:rsidR="00076F8E">
        <w:rPr>
          <w:sz w:val="22"/>
          <w:lang w:val="en-US"/>
        </w:rPr>
        <w:t xml:space="preserve"> </w:t>
      </w:r>
      <w:r w:rsidR="009A0786">
        <w:rPr>
          <w:sz w:val="22"/>
          <w:lang w:val="en-US"/>
        </w:rPr>
        <w:t xml:space="preserve">it is suggested that </w:t>
      </w:r>
      <w:r>
        <w:rPr>
          <w:sz w:val="22"/>
          <w:lang w:val="en-US"/>
        </w:rPr>
        <w:t>part of its work is taken up by other bodies</w:t>
      </w:r>
      <w:r w:rsidR="00733C33">
        <w:rPr>
          <w:sz w:val="22"/>
          <w:lang w:val="en-US"/>
        </w:rPr>
        <w:t>, e.g.</w:t>
      </w:r>
      <w:r>
        <w:rPr>
          <w:sz w:val="22"/>
          <w:lang w:val="en-US"/>
        </w:rPr>
        <w:t xml:space="preserve"> the </w:t>
      </w:r>
      <w:r w:rsidR="00733C33">
        <w:rPr>
          <w:sz w:val="22"/>
          <w:lang w:val="en-US"/>
        </w:rPr>
        <w:t xml:space="preserve">IASC </w:t>
      </w:r>
      <w:r>
        <w:rPr>
          <w:sz w:val="22"/>
          <w:lang w:val="en-US"/>
        </w:rPr>
        <w:t>SWG on Preparedness</w:t>
      </w:r>
      <w:r w:rsidR="00733C33">
        <w:rPr>
          <w:sz w:val="22"/>
          <w:lang w:val="en-US"/>
        </w:rPr>
        <w:t>,</w:t>
      </w:r>
      <w:r>
        <w:rPr>
          <w:sz w:val="22"/>
          <w:lang w:val="en-US"/>
        </w:rPr>
        <w:t xml:space="preserve"> and integrated into agency policy and operations.</w:t>
      </w:r>
      <w:r w:rsidR="00733C33">
        <w:rPr>
          <w:sz w:val="22"/>
          <w:lang w:val="en-US"/>
        </w:rPr>
        <w:t xml:space="preserve"> In addition to that,</w:t>
      </w:r>
      <w:r>
        <w:rPr>
          <w:sz w:val="22"/>
          <w:lang w:val="en-US"/>
        </w:rPr>
        <w:t xml:space="preserve"> </w:t>
      </w:r>
      <w:r w:rsidR="001F405E">
        <w:rPr>
          <w:sz w:val="22"/>
          <w:lang w:val="en-US"/>
        </w:rPr>
        <w:t xml:space="preserve">the </w:t>
      </w:r>
      <w:r w:rsidR="00733C33">
        <w:rPr>
          <w:sz w:val="22"/>
          <w:lang w:val="en-US"/>
        </w:rPr>
        <w:t xml:space="preserve">IASC could work closely with the UNISDR for the </w:t>
      </w:r>
      <w:r w:rsidR="001F405E">
        <w:rPr>
          <w:sz w:val="22"/>
          <w:lang w:val="en-US"/>
        </w:rPr>
        <w:t xml:space="preserve">coordination of the proposed </w:t>
      </w:r>
      <w:r w:rsidR="009A0786">
        <w:rPr>
          <w:sz w:val="22"/>
          <w:lang w:val="en-US"/>
        </w:rPr>
        <w:t>activities</w:t>
      </w:r>
      <w:r w:rsidR="009A0786">
        <w:rPr>
          <w:b/>
          <w:sz w:val="22"/>
          <w:lang w:val="en-US"/>
        </w:rPr>
        <w:t xml:space="preserve">. </w:t>
      </w:r>
      <w:r w:rsidR="001F405E">
        <w:rPr>
          <w:sz w:val="22"/>
          <w:lang w:val="en-US"/>
        </w:rPr>
        <w:t xml:space="preserve">The IASC </w:t>
      </w:r>
      <w:r w:rsidR="00076F8E">
        <w:rPr>
          <w:sz w:val="22"/>
          <w:lang w:val="en-US"/>
        </w:rPr>
        <w:t xml:space="preserve">TF </w:t>
      </w:r>
      <w:r w:rsidR="001F405E">
        <w:rPr>
          <w:sz w:val="22"/>
          <w:lang w:val="en-US"/>
        </w:rPr>
        <w:t xml:space="preserve">has been instrumental in coming to a balanced position </w:t>
      </w:r>
      <w:r w:rsidR="00733C33">
        <w:rPr>
          <w:sz w:val="22"/>
          <w:lang w:val="en-US"/>
        </w:rPr>
        <w:t xml:space="preserve">between different communities </w:t>
      </w:r>
      <w:r w:rsidR="001F405E">
        <w:rPr>
          <w:sz w:val="22"/>
          <w:lang w:val="en-US"/>
        </w:rPr>
        <w:t>to address the human consequences of climate change,</w:t>
      </w:r>
      <w:r w:rsidR="00733C33">
        <w:rPr>
          <w:sz w:val="22"/>
          <w:lang w:val="en-US"/>
        </w:rPr>
        <w:t xml:space="preserve"> and there is a big overlap in membership between these two networks. </w:t>
      </w:r>
      <w:r w:rsidR="00076F8E">
        <w:rPr>
          <w:sz w:val="22"/>
          <w:lang w:val="en-US"/>
        </w:rPr>
        <w:lastRenderedPageBreak/>
        <w:t>UN</w:t>
      </w:r>
      <w:r w:rsidR="001F405E">
        <w:rPr>
          <w:sz w:val="22"/>
          <w:lang w:val="en-US"/>
        </w:rPr>
        <w:t xml:space="preserve">ISDR is </w:t>
      </w:r>
      <w:r w:rsidR="00733C33">
        <w:rPr>
          <w:sz w:val="22"/>
          <w:lang w:val="en-US"/>
        </w:rPr>
        <w:t xml:space="preserve">therefore </w:t>
      </w:r>
      <w:r w:rsidR="001F405E">
        <w:rPr>
          <w:sz w:val="22"/>
          <w:lang w:val="en-US"/>
        </w:rPr>
        <w:t xml:space="preserve">well positioned to facilitate these </w:t>
      </w:r>
      <w:r w:rsidR="00076F8E">
        <w:rPr>
          <w:sz w:val="22"/>
          <w:lang w:val="en-US"/>
        </w:rPr>
        <w:t>processes, as well as to engage development actors in this mutual effort</w:t>
      </w:r>
      <w:r w:rsidR="001F405E">
        <w:rPr>
          <w:sz w:val="22"/>
          <w:lang w:val="en-US"/>
        </w:rPr>
        <w:t>.</w:t>
      </w:r>
    </w:p>
    <w:p w:rsidR="001F405E" w:rsidRDefault="001F405E" w:rsidP="004F56DF">
      <w:pPr>
        <w:jc w:val="both"/>
        <w:rPr>
          <w:sz w:val="22"/>
          <w:lang w:val="en-US"/>
        </w:rPr>
      </w:pPr>
    </w:p>
    <w:p w:rsidR="00474DF5" w:rsidRPr="001F405E" w:rsidRDefault="001F405E" w:rsidP="004F56DF">
      <w:pPr>
        <w:jc w:val="both"/>
        <w:rPr>
          <w:b/>
          <w:sz w:val="22"/>
          <w:lang w:val="en-US"/>
        </w:rPr>
      </w:pPr>
      <w:r w:rsidRPr="001F405E">
        <w:rPr>
          <w:b/>
          <w:sz w:val="22"/>
          <w:lang w:val="en-US"/>
        </w:rPr>
        <w:t xml:space="preserve">3. Humanitarian day at the COPs    </w:t>
      </w:r>
    </w:p>
    <w:p w:rsidR="001F405E" w:rsidRDefault="001F405E" w:rsidP="004F56DF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To keep the momentum and focus of the interaction between IASC members, it is suggested to maintain the initiative </w:t>
      </w:r>
      <w:r w:rsidR="00210374">
        <w:rPr>
          <w:sz w:val="22"/>
          <w:lang w:val="en-US"/>
        </w:rPr>
        <w:t xml:space="preserve">of humanitarian day at the COPs. It is suggested </w:t>
      </w:r>
      <w:r>
        <w:rPr>
          <w:sz w:val="22"/>
          <w:lang w:val="en-US"/>
        </w:rPr>
        <w:t xml:space="preserve">that this should </w:t>
      </w:r>
      <w:r w:rsidR="00076F8E">
        <w:rPr>
          <w:sz w:val="22"/>
          <w:lang w:val="en-US"/>
        </w:rPr>
        <w:t xml:space="preserve">regularly </w:t>
      </w:r>
      <w:r>
        <w:rPr>
          <w:sz w:val="22"/>
          <w:lang w:val="en-US"/>
        </w:rPr>
        <w:t xml:space="preserve">be the </w:t>
      </w:r>
      <w:r w:rsidR="00210374">
        <w:rPr>
          <w:sz w:val="22"/>
          <w:lang w:val="en-US"/>
        </w:rPr>
        <w:t xml:space="preserve">Tuesday before the Ministerial meeting at the COP. Different activities can highlight our concerns, experiences and proposals. Appropriate alliances between IASC members to prepare a certain </w:t>
      </w:r>
      <w:r w:rsidR="00076F8E">
        <w:rPr>
          <w:sz w:val="22"/>
          <w:lang w:val="en-US"/>
        </w:rPr>
        <w:t>activity can</w:t>
      </w:r>
      <w:r w:rsidR="00210374">
        <w:rPr>
          <w:sz w:val="22"/>
          <w:lang w:val="en-US"/>
        </w:rPr>
        <w:t xml:space="preserve"> be established. </w:t>
      </w:r>
    </w:p>
    <w:p w:rsidR="00210374" w:rsidRDefault="00210374" w:rsidP="004F56DF">
      <w:pPr>
        <w:jc w:val="both"/>
        <w:rPr>
          <w:sz w:val="22"/>
          <w:lang w:val="en-US"/>
        </w:rPr>
      </w:pPr>
    </w:p>
    <w:p w:rsidR="00210374" w:rsidRPr="001F405E" w:rsidRDefault="00210374" w:rsidP="004F56DF">
      <w:pPr>
        <w:jc w:val="both"/>
        <w:rPr>
          <w:sz w:val="22"/>
          <w:lang w:val="en-US"/>
        </w:rPr>
      </w:pPr>
    </w:p>
    <w:sectPr w:rsidR="00210374" w:rsidRPr="001F405E" w:rsidSect="00FB07D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FEA" w:rsidRDefault="00D25FEA" w:rsidP="00B426A3">
      <w:r>
        <w:separator/>
      </w:r>
    </w:p>
  </w:endnote>
  <w:endnote w:type="continuationSeparator" w:id="1">
    <w:p w:rsidR="00D25FEA" w:rsidRDefault="00D25FEA" w:rsidP="00B42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E5" w:rsidRDefault="00D523E5" w:rsidP="00D523E5">
    <w:pPr>
      <w:pStyle w:val="Footer"/>
      <w:tabs>
        <w:tab w:val="clear" w:pos="4513"/>
        <w:tab w:val="center" w:pos="9072"/>
      </w:tabs>
    </w:pPr>
    <w:r>
      <w:t>Draft 08/09/10</w:t>
    </w:r>
    <w:r>
      <w:tab/>
    </w:r>
    <w:sdt>
      <w:sdtPr>
        <w:id w:val="2283322"/>
        <w:docPartObj>
          <w:docPartGallery w:val="Page Numbers (Bottom of Page)"/>
          <w:docPartUnique/>
        </w:docPartObj>
      </w:sdtPr>
      <w:sdtContent>
        <w:r w:rsidR="00FB1A97">
          <w:fldChar w:fldCharType="begin"/>
        </w:r>
        <w:r>
          <w:instrText xml:space="preserve"> PAGE   \* MERGEFORMAT </w:instrText>
        </w:r>
        <w:r w:rsidR="00FB1A97">
          <w:fldChar w:fldCharType="separate"/>
        </w:r>
        <w:r w:rsidR="00016C98">
          <w:rPr>
            <w:noProof/>
          </w:rPr>
          <w:t>1</w:t>
        </w:r>
        <w:r w:rsidR="00FB1A97">
          <w:fldChar w:fldCharType="end"/>
        </w:r>
      </w:sdtContent>
    </w:sdt>
  </w:p>
  <w:p w:rsidR="00FE6857" w:rsidRDefault="00FE6857" w:rsidP="00D523E5">
    <w:pPr>
      <w:pStyle w:val="Footer"/>
      <w:tabs>
        <w:tab w:val="clear" w:pos="4513"/>
        <w:tab w:val="clear" w:pos="9026"/>
        <w:tab w:val="left" w:pos="4678"/>
        <w:tab w:val="right" w:pos="9072"/>
      </w:tabs>
      <w:ind w:firstLine="1416"/>
    </w:pPr>
  </w:p>
  <w:p w:rsidR="00FE6857" w:rsidRDefault="00FE68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FEA" w:rsidRDefault="00D25FEA" w:rsidP="00B426A3">
      <w:r>
        <w:separator/>
      </w:r>
    </w:p>
  </w:footnote>
  <w:footnote w:type="continuationSeparator" w:id="1">
    <w:p w:rsidR="00D25FEA" w:rsidRDefault="00D25FEA" w:rsidP="00B426A3">
      <w:r>
        <w:continuationSeparator/>
      </w:r>
    </w:p>
  </w:footnote>
  <w:footnote w:id="2">
    <w:p w:rsidR="00B426A3" w:rsidRPr="00B426A3" w:rsidRDefault="00B426A3">
      <w:pPr>
        <w:pStyle w:val="FootnoteText"/>
        <w:rPr>
          <w:sz w:val="18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B426A3">
        <w:rPr>
          <w:sz w:val="18"/>
          <w:lang w:val="en-GB"/>
        </w:rPr>
        <w:t xml:space="preserve">This paper </w:t>
      </w:r>
      <w:r>
        <w:rPr>
          <w:sz w:val="18"/>
          <w:lang w:val="en-GB"/>
        </w:rPr>
        <w:t>has been drafted</w:t>
      </w:r>
      <w:r w:rsidR="00E95DF4">
        <w:rPr>
          <w:sz w:val="18"/>
          <w:lang w:val="en-GB"/>
        </w:rPr>
        <w:t xml:space="preserve"> by IFRC</w:t>
      </w:r>
      <w:r w:rsidRPr="00B426A3">
        <w:rPr>
          <w:sz w:val="18"/>
          <w:lang w:val="en-GB"/>
        </w:rPr>
        <w:t xml:space="preserve"> as a basis for discussion at the IASC TF on CC meeting, 17 Sept. 2010</w:t>
      </w:r>
      <w:r w:rsidR="00733C33">
        <w:rPr>
          <w:sz w:val="18"/>
          <w:lang w:val="en-GB"/>
        </w:rPr>
        <w:t xml:space="preserve">. A paper reflecting the outcomes of the discussion will be presented to the </w:t>
      </w:r>
      <w:r w:rsidR="00E95DF4">
        <w:rPr>
          <w:sz w:val="18"/>
          <w:lang w:val="en-GB"/>
        </w:rPr>
        <w:t>78</w:t>
      </w:r>
      <w:r w:rsidR="00E95DF4" w:rsidRPr="00E95DF4">
        <w:rPr>
          <w:sz w:val="18"/>
          <w:vertAlign w:val="superscript"/>
          <w:lang w:val="en-GB"/>
        </w:rPr>
        <w:t>th</w:t>
      </w:r>
      <w:r w:rsidR="00E95DF4">
        <w:rPr>
          <w:sz w:val="18"/>
          <w:lang w:val="en-GB"/>
        </w:rPr>
        <w:t xml:space="preserve"> </w:t>
      </w:r>
      <w:r w:rsidR="00733C33">
        <w:rPr>
          <w:sz w:val="18"/>
          <w:lang w:val="en-GB"/>
        </w:rPr>
        <w:t xml:space="preserve">IASC </w:t>
      </w:r>
      <w:r w:rsidR="00E95DF4">
        <w:rPr>
          <w:sz w:val="18"/>
          <w:lang w:val="en-GB"/>
        </w:rPr>
        <w:t>WG</w:t>
      </w:r>
      <w:r w:rsidR="00733C33">
        <w:rPr>
          <w:sz w:val="18"/>
          <w:lang w:val="en-GB"/>
        </w:rPr>
        <w:t xml:space="preserve"> meeting, 10-12 Nov. 2010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E5" w:rsidRDefault="00FB1A97">
    <w:pPr>
      <w:pStyle w:val="Header"/>
    </w:pPr>
    <w:r w:rsidRPr="00FB1A9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6844" o:spid="_x0000_s5122" type="#_x0000_t136" style="position:absolute;margin-left:0;margin-top:0;width:456.8pt;height:182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E5" w:rsidRDefault="00FB1A97">
    <w:pPr>
      <w:pStyle w:val="Header"/>
    </w:pPr>
    <w:r w:rsidRPr="00FB1A9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6845" o:spid="_x0000_s5123" type="#_x0000_t136" style="position:absolute;margin-left:0;margin-top:0;width:456.8pt;height:182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E5" w:rsidRDefault="00FB1A97">
    <w:pPr>
      <w:pStyle w:val="Header"/>
    </w:pPr>
    <w:r w:rsidRPr="00FB1A9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6843" o:spid="_x0000_s5121" type="#_x0000_t136" style="position:absolute;margin-left:0;margin-top:0;width:456.8pt;height:182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C237D"/>
    <w:multiLevelType w:val="hybridMultilevel"/>
    <w:tmpl w:val="3C98F6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8A2E25"/>
    <w:rsid w:val="00016C98"/>
    <w:rsid w:val="00076F8E"/>
    <w:rsid w:val="000B29A6"/>
    <w:rsid w:val="001519C7"/>
    <w:rsid w:val="001C1884"/>
    <w:rsid w:val="001C688F"/>
    <w:rsid w:val="001F405E"/>
    <w:rsid w:val="002036B8"/>
    <w:rsid w:val="00210374"/>
    <w:rsid w:val="00212DB8"/>
    <w:rsid w:val="002E38E2"/>
    <w:rsid w:val="002F2430"/>
    <w:rsid w:val="00337B4E"/>
    <w:rsid w:val="00347A3C"/>
    <w:rsid w:val="003E04AE"/>
    <w:rsid w:val="003E403B"/>
    <w:rsid w:val="00472861"/>
    <w:rsid w:val="00474DF5"/>
    <w:rsid w:val="004A1C53"/>
    <w:rsid w:val="004D3D9A"/>
    <w:rsid w:val="004E1B48"/>
    <w:rsid w:val="004F0258"/>
    <w:rsid w:val="004F56DF"/>
    <w:rsid w:val="00512661"/>
    <w:rsid w:val="0056045C"/>
    <w:rsid w:val="005843E9"/>
    <w:rsid w:val="0062329C"/>
    <w:rsid w:val="0065527F"/>
    <w:rsid w:val="006B39C1"/>
    <w:rsid w:val="007316D9"/>
    <w:rsid w:val="00733525"/>
    <w:rsid w:val="00733C33"/>
    <w:rsid w:val="00772DC4"/>
    <w:rsid w:val="007A4735"/>
    <w:rsid w:val="007F0615"/>
    <w:rsid w:val="0089426B"/>
    <w:rsid w:val="00897BEE"/>
    <w:rsid w:val="008A2E25"/>
    <w:rsid w:val="009A0786"/>
    <w:rsid w:val="009A5471"/>
    <w:rsid w:val="009B46DA"/>
    <w:rsid w:val="00A532C4"/>
    <w:rsid w:val="00A872C4"/>
    <w:rsid w:val="00AC5225"/>
    <w:rsid w:val="00B21D09"/>
    <w:rsid w:val="00B426A3"/>
    <w:rsid w:val="00BE204C"/>
    <w:rsid w:val="00C80746"/>
    <w:rsid w:val="00C878BE"/>
    <w:rsid w:val="00D25FEA"/>
    <w:rsid w:val="00D323BC"/>
    <w:rsid w:val="00D523E5"/>
    <w:rsid w:val="00D74EA4"/>
    <w:rsid w:val="00DD1D58"/>
    <w:rsid w:val="00E95DF4"/>
    <w:rsid w:val="00EC232B"/>
    <w:rsid w:val="00ED0EF8"/>
    <w:rsid w:val="00F16E58"/>
    <w:rsid w:val="00F4019B"/>
    <w:rsid w:val="00F464A4"/>
    <w:rsid w:val="00F54BA6"/>
    <w:rsid w:val="00FB07DD"/>
    <w:rsid w:val="00FB1A97"/>
    <w:rsid w:val="00FC0FF7"/>
    <w:rsid w:val="00FE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2DC4"/>
    <w:rPr>
      <w:rFonts w:ascii="Arial" w:hAnsi="Arial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519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9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19C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51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19C7"/>
    <w:rPr>
      <w:b/>
      <w:bCs/>
    </w:rPr>
  </w:style>
  <w:style w:type="paragraph" w:styleId="BalloonText">
    <w:name w:val="Balloon Text"/>
    <w:basedOn w:val="Normal"/>
    <w:link w:val="BalloonTextChar"/>
    <w:rsid w:val="00151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19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F8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B426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426A3"/>
    <w:rPr>
      <w:rFonts w:ascii="Arial" w:hAnsi="Arial"/>
    </w:rPr>
  </w:style>
  <w:style w:type="character" w:styleId="FootnoteReference">
    <w:name w:val="footnote reference"/>
    <w:basedOn w:val="DefaultParagraphFont"/>
    <w:rsid w:val="00B426A3"/>
    <w:rPr>
      <w:vertAlign w:val="superscript"/>
    </w:rPr>
  </w:style>
  <w:style w:type="paragraph" w:styleId="Revision">
    <w:name w:val="Revision"/>
    <w:hidden/>
    <w:uiPriority w:val="99"/>
    <w:semiHidden/>
    <w:rsid w:val="00B426A3"/>
    <w:rPr>
      <w:rFonts w:ascii="Arial" w:hAnsi="Arial"/>
      <w:sz w:val="18"/>
      <w:szCs w:val="24"/>
    </w:rPr>
  </w:style>
  <w:style w:type="paragraph" w:styleId="Header">
    <w:name w:val="header"/>
    <w:basedOn w:val="Normal"/>
    <w:link w:val="HeaderChar"/>
    <w:rsid w:val="00FE6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E6857"/>
    <w:rPr>
      <w:rFonts w:ascii="Arial" w:hAnsi="Arial"/>
      <w:sz w:val="18"/>
      <w:szCs w:val="24"/>
    </w:rPr>
  </w:style>
  <w:style w:type="paragraph" w:styleId="Footer">
    <w:name w:val="footer"/>
    <w:basedOn w:val="Normal"/>
    <w:link w:val="FooterChar"/>
    <w:uiPriority w:val="99"/>
    <w:rsid w:val="00FE6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857"/>
    <w:rPr>
      <w:rFonts w:ascii="Arial" w:hAnsi="Arial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4F227-2DE0-4D3A-8952-7E717AC1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1065</Words>
  <Characters>5848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NRK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anna.zinecker</cp:lastModifiedBy>
  <cp:revision>4</cp:revision>
  <cp:lastPrinted>2010-09-07T16:39:00Z</cp:lastPrinted>
  <dcterms:created xsi:type="dcterms:W3CDTF">2010-09-08T07:59:00Z</dcterms:created>
  <dcterms:modified xsi:type="dcterms:W3CDTF">2010-09-16T08:55:00Z</dcterms:modified>
</cp:coreProperties>
</file>