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93" w:rsidRPr="00B24A09" w:rsidRDefault="00154E93" w:rsidP="00B24A09">
      <w:pPr>
        <w:widowControl w:val="0"/>
        <w:autoSpaceDE w:val="0"/>
        <w:autoSpaceDN w:val="0"/>
        <w:adjustRightInd w:val="0"/>
        <w:spacing w:after="320"/>
        <w:jc w:val="center"/>
        <w:rPr>
          <w:rFonts w:ascii="Times New Roman Bold" w:hAnsi="Times New Roman Bold" w:cs="Cambria"/>
          <w:b/>
          <w:bCs/>
          <w:sz w:val="28"/>
          <w:szCs w:val="36"/>
        </w:rPr>
      </w:pPr>
      <w:r w:rsidRPr="00B24A09">
        <w:rPr>
          <w:rFonts w:ascii="Times New Roman Bold" w:hAnsi="Times New Roman Bold" w:cs="Cambria"/>
          <w:b/>
          <w:bCs/>
          <w:sz w:val="28"/>
          <w:szCs w:val="36"/>
        </w:rPr>
        <w:t xml:space="preserve">Information Note </w:t>
      </w:r>
    </w:p>
    <w:p w:rsidR="00154E93" w:rsidRPr="00B24A09" w:rsidRDefault="00154E93" w:rsidP="00B24A09">
      <w:pPr>
        <w:widowControl w:val="0"/>
        <w:autoSpaceDE w:val="0"/>
        <w:autoSpaceDN w:val="0"/>
        <w:adjustRightInd w:val="0"/>
        <w:spacing w:after="320"/>
        <w:jc w:val="center"/>
        <w:rPr>
          <w:rFonts w:ascii="Times New Roman Bold" w:hAnsi="Times New Roman Bold" w:cs="Times"/>
          <w:b/>
          <w:sz w:val="28"/>
          <w:szCs w:val="32"/>
        </w:rPr>
      </w:pPr>
      <w:r w:rsidRPr="00B24A09">
        <w:rPr>
          <w:rFonts w:ascii="Times New Roman Bold" w:hAnsi="Times New Roman Bold" w:cs="Cambria"/>
          <w:b/>
          <w:bCs/>
          <w:sz w:val="28"/>
          <w:szCs w:val="36"/>
        </w:rPr>
        <w:t>Funding for Preparedness</w:t>
      </w:r>
    </w:p>
    <w:p w:rsidR="00154E93" w:rsidRDefault="00154E93" w:rsidP="00B24A09">
      <w:pPr>
        <w:widowControl w:val="0"/>
        <w:autoSpaceDE w:val="0"/>
        <w:autoSpaceDN w:val="0"/>
        <w:adjustRightInd w:val="0"/>
        <w:spacing w:after="320"/>
        <w:rPr>
          <w:rFonts w:ascii="Times New Roman" w:hAnsi="Times New Roman" w:cs="Cambria"/>
          <w:szCs w:val="32"/>
        </w:rPr>
      </w:pPr>
    </w:p>
    <w:p w:rsidR="00154E93" w:rsidRPr="00B24A09" w:rsidRDefault="00154E93" w:rsidP="00B24A09">
      <w:pPr>
        <w:widowControl w:val="0"/>
        <w:autoSpaceDE w:val="0"/>
        <w:autoSpaceDN w:val="0"/>
        <w:adjustRightInd w:val="0"/>
        <w:spacing w:after="320"/>
        <w:rPr>
          <w:rFonts w:ascii="Times New Roman" w:hAnsi="Times New Roman" w:cs="Times"/>
          <w:szCs w:val="32"/>
          <w:u w:val="single"/>
        </w:rPr>
      </w:pPr>
      <w:r w:rsidRPr="00B24A09">
        <w:rPr>
          <w:rFonts w:ascii="Times New Roman" w:hAnsi="Times New Roman" w:cs="Cambria"/>
          <w:szCs w:val="32"/>
          <w:u w:val="single"/>
        </w:rPr>
        <w:t>1. Background:</w:t>
      </w:r>
    </w:p>
    <w:p w:rsidR="00154E93" w:rsidRPr="00B24A09" w:rsidRDefault="00154E93" w:rsidP="00B24A09">
      <w:pPr>
        <w:widowControl w:val="0"/>
        <w:autoSpaceDE w:val="0"/>
        <w:autoSpaceDN w:val="0"/>
        <w:adjustRightInd w:val="0"/>
        <w:spacing w:after="320"/>
        <w:rPr>
          <w:rFonts w:ascii="Times New Roman" w:hAnsi="Times New Roman" w:cs="Times"/>
          <w:szCs w:val="32"/>
        </w:rPr>
      </w:pPr>
      <w:r w:rsidRPr="00B24A09">
        <w:rPr>
          <w:rFonts w:ascii="Times New Roman" w:hAnsi="Times New Roman" w:cs="Cambria"/>
          <w:szCs w:val="32"/>
        </w:rPr>
        <w:t>One of the 10 principles of the GHD principles is to strengthen the capacity of affected countries and local communities to prevent, prepare for, mitigate and respond to humanitarian crises, with the goal of ensuring that governments and local communities are better able to meet their responsibilities and co-ordinate effectively with humanitarian actors. Numerous commitments have been made to  secure greater political commitment and funding to disaster preparedness and risk reduction at all levels and across the relief-development divide. Yet in a recent paper prepared by OCHA for the Emergency Directors Meeting, donor interest in funding preparedness activities remains negligible, partly because preparedness action spans both humanitarian and developmental spheres and partly because the humanitarian community has failed to document the cost-effectiveness of preparedness activities (in terms of potential savings).  At the same time newly available climate change adaptation funding might help partly overcome the aforementioned challenges and present novel opportunities to secure funding fore preparedness and risk reduction.</w:t>
      </w:r>
    </w:p>
    <w:p w:rsidR="00154E93" w:rsidRPr="00B24A09" w:rsidRDefault="00154E93" w:rsidP="00B24A09">
      <w:pPr>
        <w:widowControl w:val="0"/>
        <w:autoSpaceDE w:val="0"/>
        <w:autoSpaceDN w:val="0"/>
        <w:adjustRightInd w:val="0"/>
        <w:spacing w:after="320"/>
        <w:rPr>
          <w:rFonts w:ascii="Times New Roman" w:hAnsi="Times New Roman" w:cs="Times"/>
          <w:szCs w:val="32"/>
          <w:u w:val="single"/>
        </w:rPr>
      </w:pPr>
      <w:r w:rsidRPr="00B24A09">
        <w:rPr>
          <w:rFonts w:ascii="Times New Roman" w:hAnsi="Times New Roman" w:cs="Cambria"/>
          <w:szCs w:val="32"/>
          <w:u w:val="single"/>
        </w:rPr>
        <w:t>2. Scope</w:t>
      </w:r>
    </w:p>
    <w:p w:rsidR="00154E93" w:rsidRPr="00B24A09" w:rsidRDefault="00154E93" w:rsidP="00B24A09">
      <w:pPr>
        <w:widowControl w:val="0"/>
        <w:autoSpaceDE w:val="0"/>
        <w:autoSpaceDN w:val="0"/>
        <w:adjustRightInd w:val="0"/>
        <w:spacing w:after="320"/>
        <w:rPr>
          <w:rFonts w:ascii="Times New Roman" w:hAnsi="Times New Roman" w:cs="Times"/>
          <w:szCs w:val="32"/>
        </w:rPr>
      </w:pPr>
      <w:r w:rsidRPr="00B24A09">
        <w:rPr>
          <w:rFonts w:ascii="Times New Roman" w:hAnsi="Times New Roman" w:cs="Cambria"/>
          <w:szCs w:val="32"/>
        </w:rPr>
        <w:t xml:space="preserve">The IASC Humanitarian Financing Group has selected funding for preparedness as one of the three themes to be discussed in 2010 with the overall objective of improving the coherence and predictability of financing for disaster preparedness. More specifically, the IASC HFG will examine the issue </w:t>
      </w:r>
      <w:r>
        <w:rPr>
          <w:rFonts w:ascii="Times New Roman" w:hAnsi="Times New Roman" w:cs="Cambria"/>
          <w:szCs w:val="32"/>
        </w:rPr>
        <w:t xml:space="preserve">of </w:t>
      </w:r>
      <w:r w:rsidRPr="00B24A09">
        <w:rPr>
          <w:rFonts w:ascii="Times New Roman" w:hAnsi="Times New Roman" w:cs="Cambria"/>
          <w:szCs w:val="32"/>
        </w:rPr>
        <w:t>funding for preparedness with a view to:</w:t>
      </w:r>
    </w:p>
    <w:p w:rsidR="00154E93" w:rsidRDefault="00154E93" w:rsidP="00B24A09">
      <w:pPr>
        <w:widowControl w:val="0"/>
        <w:tabs>
          <w:tab w:val="left" w:pos="220"/>
          <w:tab w:val="left" w:pos="720"/>
        </w:tabs>
        <w:autoSpaceDE w:val="0"/>
        <w:autoSpaceDN w:val="0"/>
        <w:adjustRightInd w:val="0"/>
        <w:spacing w:after="320"/>
        <w:rPr>
          <w:rFonts w:ascii="Times New Roman" w:hAnsi="Times New Roman" w:cs="Times"/>
          <w:szCs w:val="32"/>
        </w:rPr>
      </w:pPr>
      <w:r>
        <w:rPr>
          <w:rFonts w:ascii="Times New Roman" w:hAnsi="Times New Roman" w:cs="Cambria"/>
          <w:szCs w:val="32"/>
        </w:rPr>
        <w:tab/>
        <w:t xml:space="preserve">a.- </w:t>
      </w:r>
      <w:r w:rsidRPr="00B24A09">
        <w:rPr>
          <w:rFonts w:ascii="Times New Roman" w:hAnsi="Times New Roman" w:cs="Cambria"/>
          <w:szCs w:val="32"/>
        </w:rPr>
        <w:t>identifying which elements of preparedness the humanitarian actors be targeting for funding from humanitarian donors;</w:t>
      </w:r>
      <w:r w:rsidRPr="00B24A09">
        <w:rPr>
          <w:rFonts w:ascii="Times New Roman" w:hAnsi="Times New Roman"/>
          <w:szCs w:val="32"/>
        </w:rPr>
        <w:t> </w:t>
      </w:r>
    </w:p>
    <w:p w:rsidR="00154E93" w:rsidRDefault="00154E93" w:rsidP="00B24A09">
      <w:pPr>
        <w:widowControl w:val="0"/>
        <w:tabs>
          <w:tab w:val="left" w:pos="220"/>
          <w:tab w:val="left" w:pos="720"/>
        </w:tabs>
        <w:autoSpaceDE w:val="0"/>
        <w:autoSpaceDN w:val="0"/>
        <w:adjustRightInd w:val="0"/>
        <w:spacing w:after="320"/>
        <w:rPr>
          <w:rFonts w:ascii="Times New Roman" w:hAnsi="Times New Roman" w:cs="Cambria"/>
          <w:szCs w:val="32"/>
        </w:rPr>
      </w:pPr>
      <w:r>
        <w:rPr>
          <w:rFonts w:ascii="Times New Roman" w:hAnsi="Times New Roman" w:cs="Cambria"/>
          <w:szCs w:val="32"/>
        </w:rPr>
        <w:t xml:space="preserve">   b -  </w:t>
      </w:r>
      <w:r w:rsidRPr="00B24A09">
        <w:rPr>
          <w:rFonts w:ascii="Times New Roman" w:hAnsi="Times New Roman" w:cs="Cambria"/>
          <w:szCs w:val="32"/>
        </w:rPr>
        <w:t>mapping and highlighting critical gaps and possible overlaps in overall funding for preparedness, both bilaterally and multilaterally and at national, regional and global levels; and</w:t>
      </w:r>
      <w:r w:rsidRPr="00B24A09">
        <w:rPr>
          <w:rFonts w:ascii="Times New Roman" w:hAnsi="Times New Roman"/>
          <w:szCs w:val="32"/>
        </w:rPr>
        <w:t> </w:t>
      </w:r>
    </w:p>
    <w:p w:rsidR="00154E93" w:rsidRPr="00B24A09" w:rsidRDefault="00154E93" w:rsidP="00B24A09">
      <w:pPr>
        <w:widowControl w:val="0"/>
        <w:tabs>
          <w:tab w:val="left" w:pos="220"/>
          <w:tab w:val="left" w:pos="720"/>
        </w:tabs>
        <w:autoSpaceDE w:val="0"/>
        <w:autoSpaceDN w:val="0"/>
        <w:adjustRightInd w:val="0"/>
        <w:spacing w:after="320"/>
        <w:rPr>
          <w:rFonts w:ascii="Times New Roman" w:hAnsi="Times New Roman" w:cs="Times"/>
          <w:szCs w:val="32"/>
        </w:rPr>
      </w:pPr>
      <w:r>
        <w:rPr>
          <w:rFonts w:ascii="Times New Roman" w:hAnsi="Times New Roman" w:cs="Cambria"/>
          <w:szCs w:val="32"/>
        </w:rPr>
        <w:t xml:space="preserve">   c - </w:t>
      </w:r>
      <w:r w:rsidRPr="00B24A09">
        <w:rPr>
          <w:rFonts w:ascii="Times New Roman" w:hAnsi="Times New Roman" w:cs="Cambria"/>
          <w:szCs w:val="32"/>
        </w:rPr>
        <w:t>providing more evidence (‘case studies’) to justify greater levels of funding. .</w:t>
      </w:r>
      <w:r w:rsidRPr="00B24A09">
        <w:rPr>
          <w:rFonts w:ascii="Times New Roman" w:hAnsi="Times New Roman" w:cs="Times"/>
          <w:szCs w:val="32"/>
        </w:rPr>
        <w:t xml:space="preserve"> </w:t>
      </w:r>
    </w:p>
    <w:p w:rsidR="00154E93" w:rsidRPr="00B24A09" w:rsidRDefault="00154E93" w:rsidP="00B24A09">
      <w:pPr>
        <w:widowControl w:val="0"/>
        <w:autoSpaceDE w:val="0"/>
        <w:autoSpaceDN w:val="0"/>
        <w:adjustRightInd w:val="0"/>
        <w:spacing w:after="320"/>
        <w:rPr>
          <w:rFonts w:ascii="Times New Roman" w:hAnsi="Times New Roman" w:cs="Times"/>
          <w:szCs w:val="32"/>
        </w:rPr>
      </w:pPr>
      <w:r w:rsidRPr="00B24A09">
        <w:rPr>
          <w:rFonts w:ascii="Times New Roman" w:hAnsi="Times New Roman" w:cs="Cambria"/>
          <w:szCs w:val="32"/>
        </w:rPr>
        <w:t>It is expected that the outcome of the analysis and discussion will be referred to the IASC WG meeting in November for endorsement of possible actions for follow-up/implementation, for framing IASC common messaging, for influencing that an appropriate portion of climate change adaptation funding will be channeled to preparedness activities and for developing a more robust dialogue with the GHD on funding for preparedness.</w:t>
      </w:r>
    </w:p>
    <w:p w:rsidR="00154E93" w:rsidRPr="00356111" w:rsidRDefault="00154E93" w:rsidP="00B24A09">
      <w:pPr>
        <w:widowControl w:val="0"/>
        <w:autoSpaceDE w:val="0"/>
        <w:autoSpaceDN w:val="0"/>
        <w:adjustRightInd w:val="0"/>
        <w:spacing w:after="320"/>
        <w:rPr>
          <w:rFonts w:ascii="Times New Roman Italic" w:hAnsi="Times New Roman Italic" w:cs="Times"/>
          <w:i/>
          <w:szCs w:val="32"/>
        </w:rPr>
      </w:pPr>
      <w:r w:rsidRPr="00B24A09">
        <w:rPr>
          <w:rFonts w:ascii="Times New Roman" w:hAnsi="Times New Roman" w:cs="Cambria"/>
          <w:szCs w:val="32"/>
          <w:u w:val="single"/>
        </w:rPr>
        <w:t>3. Indicative list of issues/questions underpinning the discussion</w:t>
      </w:r>
      <w:r w:rsidRPr="00B24A09">
        <w:rPr>
          <w:rFonts w:ascii="Times New Roman" w:hAnsi="Times New Roman" w:cs="Times"/>
          <w:szCs w:val="32"/>
          <w:u w:val="single"/>
        </w:rPr>
        <w:t xml:space="preserve"> </w:t>
      </w:r>
      <w:r w:rsidRPr="00B24A09">
        <w:rPr>
          <w:rFonts w:ascii="Times New Roman" w:hAnsi="Times New Roman"/>
          <w:szCs w:val="32"/>
          <w:u w:val="single"/>
        </w:rPr>
        <w:t> </w:t>
      </w:r>
      <w:r w:rsidRPr="00B24A09">
        <w:rPr>
          <w:rFonts w:ascii="Times New Roman" w:hAnsi="Times New Roman" w:cs="Cambria"/>
          <w:szCs w:val="32"/>
          <w:u w:val="single"/>
        </w:rPr>
        <w:t> </w:t>
      </w:r>
      <w:r w:rsidRPr="00B24A09">
        <w:rPr>
          <w:rFonts w:ascii="Times New Roman" w:hAnsi="Times New Roman" w:cs="Cambria"/>
          <w:szCs w:val="32"/>
        </w:rPr>
        <w:t> </w:t>
      </w:r>
      <w:r w:rsidRPr="00356111">
        <w:rPr>
          <w:rFonts w:ascii="Times New Roman Italic" w:hAnsi="Times New Roman Italic" w:cs="Cambria"/>
          <w:i/>
          <w:szCs w:val="32"/>
        </w:rPr>
        <w:t>(To be reviewed and completed)                          </w:t>
      </w:r>
      <w:r w:rsidRPr="00356111">
        <w:rPr>
          <w:rFonts w:ascii="Times New Roman Italic" w:hAnsi="Times New Roman Italic" w:cs="Times"/>
          <w:i/>
          <w:szCs w:val="32"/>
        </w:rPr>
        <w:t xml:space="preserve"> </w:t>
      </w:r>
    </w:p>
    <w:p w:rsidR="00154E93" w:rsidRPr="00356111" w:rsidRDefault="00154E93" w:rsidP="00356111">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w:szCs w:val="32"/>
        </w:rPr>
      </w:pPr>
      <w:r>
        <w:rPr>
          <w:rFonts w:ascii="Times New Roman" w:hAnsi="Times New Roman" w:cs="Wingdings"/>
          <w:szCs w:val="32"/>
        </w:rPr>
        <w:t xml:space="preserve"> What are recent initiatives that have been established to address the funding gap in preparedness and what has been their rate of success?</w:t>
      </w:r>
    </w:p>
    <w:p w:rsidR="00154E93" w:rsidRPr="00356111" w:rsidRDefault="00154E93" w:rsidP="00356111">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w:szCs w:val="32"/>
        </w:rPr>
      </w:pPr>
      <w:r>
        <w:rPr>
          <w:rFonts w:ascii="Times New Roman" w:hAnsi="Times New Roman" w:cs="Times"/>
          <w:szCs w:val="32"/>
        </w:rPr>
        <w:t xml:space="preserve"> </w:t>
      </w:r>
      <w:r>
        <w:rPr>
          <w:rFonts w:ascii="Times New Roman" w:hAnsi="Times New Roman" w:cs="Cambria"/>
          <w:szCs w:val="32"/>
        </w:rPr>
        <w:t>I</w:t>
      </w:r>
      <w:r w:rsidRPr="00356111">
        <w:rPr>
          <w:rFonts w:ascii="Times New Roman" w:hAnsi="Times New Roman" w:cs="Cambria"/>
          <w:szCs w:val="32"/>
        </w:rPr>
        <w:t>s there differential financing of preparedness?</w:t>
      </w:r>
      <w:r w:rsidRPr="00356111">
        <w:rPr>
          <w:rFonts w:ascii="Times New Roman" w:hAnsi="Times New Roman" w:cs="Times"/>
          <w:szCs w:val="32"/>
        </w:rPr>
        <w:t xml:space="preserve"> </w:t>
      </w:r>
      <w:r w:rsidRPr="00356111">
        <w:rPr>
          <w:rFonts w:ascii="Times New Roman" w:hAnsi="Times New Roman"/>
          <w:szCs w:val="32"/>
        </w:rPr>
        <w:t> </w:t>
      </w:r>
    </w:p>
    <w:p w:rsidR="00154E93" w:rsidRPr="00CF77DB" w:rsidRDefault="00154E93" w:rsidP="00356111">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w:szCs w:val="32"/>
        </w:rPr>
      </w:pPr>
      <w:r>
        <w:rPr>
          <w:rFonts w:ascii="Times New Roman" w:hAnsi="Times New Roman" w:cs="Wingdings"/>
          <w:szCs w:val="32"/>
        </w:rPr>
        <w:t xml:space="preserve"> </w:t>
      </w:r>
      <w:r>
        <w:rPr>
          <w:rFonts w:ascii="Times New Roman" w:hAnsi="Times New Roman" w:cs="Cambria"/>
          <w:szCs w:val="32"/>
        </w:rPr>
        <w:t>C</w:t>
      </w:r>
      <w:r w:rsidRPr="00356111">
        <w:rPr>
          <w:rFonts w:ascii="Times New Roman" w:hAnsi="Times New Roman" w:cs="Cambria"/>
          <w:szCs w:val="32"/>
        </w:rPr>
        <w:t>an donors identify the reasons for dearth of preparedness funding despite the GHD commitments?</w:t>
      </w:r>
    </w:p>
    <w:p w:rsidR="00154E93" w:rsidRPr="00CF77DB" w:rsidRDefault="00154E93" w:rsidP="00356111">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w:szCs w:val="32"/>
        </w:rPr>
      </w:pPr>
      <w:r>
        <w:rPr>
          <w:rFonts w:ascii="Times New Roman" w:hAnsi="Times New Roman" w:cs="Cambria"/>
          <w:szCs w:val="32"/>
        </w:rPr>
        <w:t>What are agency/organizational policies towards financing of preparedness that can be taken as best practice?</w:t>
      </w:r>
    </w:p>
    <w:p w:rsidR="00154E93" w:rsidRPr="00CF77DB" w:rsidRDefault="00154E93" w:rsidP="00356111">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w:szCs w:val="32"/>
        </w:rPr>
      </w:pPr>
      <w:r>
        <w:rPr>
          <w:rFonts w:ascii="Times New Roman" w:hAnsi="Times New Roman" w:cs="Cambria"/>
          <w:szCs w:val="32"/>
        </w:rPr>
        <w:t xml:space="preserve">What is the success rate for funding preparedness at the regional level vs national? What lessons can be learnt from funding for regional/cross-border/transboundary preparedness interventions? </w:t>
      </w:r>
    </w:p>
    <w:p w:rsidR="00154E93" w:rsidRPr="00CF77DB" w:rsidRDefault="00154E93" w:rsidP="00356111">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w:szCs w:val="32"/>
        </w:rPr>
      </w:pPr>
      <w:r>
        <w:rPr>
          <w:rFonts w:ascii="Times New Roman" w:hAnsi="Times New Roman" w:cs="Cambria"/>
          <w:szCs w:val="32"/>
        </w:rPr>
        <w:t>How do clusters fund contingency planning, if at all?</w:t>
      </w:r>
    </w:p>
    <w:p w:rsidR="00154E93" w:rsidRDefault="00154E93" w:rsidP="00356111">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w:szCs w:val="32"/>
        </w:rPr>
      </w:pPr>
      <w:r>
        <w:rPr>
          <w:rFonts w:ascii="Times New Roman" w:hAnsi="Times New Roman" w:cs="Cambria"/>
          <w:szCs w:val="32"/>
        </w:rPr>
        <w:t xml:space="preserve">Is there donor involvement at national or regional level in preparedness actions? </w:t>
      </w:r>
      <w:r w:rsidRPr="00356111">
        <w:rPr>
          <w:rFonts w:ascii="Times New Roman" w:hAnsi="Times New Roman" w:cs="Times"/>
          <w:szCs w:val="32"/>
        </w:rPr>
        <w:t xml:space="preserve"> </w:t>
      </w:r>
      <w:r w:rsidRPr="00356111">
        <w:rPr>
          <w:rFonts w:ascii="Times New Roman" w:hAnsi="Times New Roman"/>
          <w:szCs w:val="32"/>
        </w:rPr>
        <w:t> </w:t>
      </w:r>
    </w:p>
    <w:p w:rsidR="00154E93" w:rsidRPr="00776DFA" w:rsidRDefault="00154E93" w:rsidP="00776DFA">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w:szCs w:val="32"/>
        </w:rPr>
      </w:pPr>
      <w:r>
        <w:rPr>
          <w:rFonts w:ascii="Times New Roman" w:hAnsi="Times New Roman" w:cs="Times"/>
          <w:szCs w:val="32"/>
        </w:rPr>
        <w:t>Are there any existing synergies between humanitarian and development based financing tools and instruments supporting preparedness action and is there scope for enhancing these synergies?</w:t>
      </w:r>
      <w:r w:rsidRPr="00776DFA">
        <w:rPr>
          <w:rFonts w:ascii="Times New Roman" w:hAnsi="Times New Roman" w:cs="Times"/>
          <w:szCs w:val="32"/>
        </w:rPr>
        <w:t xml:space="preserve">  </w:t>
      </w:r>
    </w:p>
    <w:p w:rsidR="00154E93" w:rsidRPr="00B24A09" w:rsidRDefault="00154E93" w:rsidP="00B24A09">
      <w:pPr>
        <w:widowControl w:val="0"/>
        <w:autoSpaceDE w:val="0"/>
        <w:autoSpaceDN w:val="0"/>
        <w:adjustRightInd w:val="0"/>
        <w:spacing w:after="320"/>
        <w:rPr>
          <w:rFonts w:ascii="Times New Roman" w:hAnsi="Times New Roman" w:cs="Times"/>
          <w:szCs w:val="32"/>
          <w:u w:val="single"/>
        </w:rPr>
      </w:pPr>
      <w:r w:rsidRPr="00B24A09">
        <w:rPr>
          <w:rFonts w:ascii="Times New Roman" w:hAnsi="Times New Roman" w:cs="Cambria"/>
          <w:szCs w:val="32"/>
          <w:u w:val="single"/>
        </w:rPr>
        <w:t>4. Proposed workplan</w:t>
      </w:r>
    </w:p>
    <w:p w:rsidR="00154E93" w:rsidRPr="00B24A09" w:rsidRDefault="00154E93" w:rsidP="00B24A09">
      <w:pPr>
        <w:widowControl w:val="0"/>
        <w:autoSpaceDE w:val="0"/>
        <w:autoSpaceDN w:val="0"/>
        <w:adjustRightInd w:val="0"/>
        <w:spacing w:after="320"/>
        <w:rPr>
          <w:rFonts w:ascii="Times New Roman" w:hAnsi="Times New Roman" w:cs="Times"/>
          <w:szCs w:val="32"/>
        </w:rPr>
      </w:pPr>
      <w:r w:rsidRPr="00B24A09">
        <w:rPr>
          <w:rFonts w:ascii="Times New Roman" w:hAnsi="Times New Roman" w:cs="Cambria"/>
          <w:szCs w:val="32"/>
        </w:rPr>
        <w:t>The proposed work would be divided into two phases:</w:t>
      </w:r>
    </w:p>
    <w:p w:rsidR="00154E93" w:rsidRPr="00B24A09" w:rsidRDefault="00154E93" w:rsidP="00B24A09">
      <w:pPr>
        <w:widowControl w:val="0"/>
        <w:autoSpaceDE w:val="0"/>
        <w:autoSpaceDN w:val="0"/>
        <w:adjustRightInd w:val="0"/>
        <w:spacing w:after="320"/>
        <w:rPr>
          <w:rFonts w:ascii="Times New Roman" w:hAnsi="Times New Roman" w:cs="Times"/>
          <w:szCs w:val="32"/>
        </w:rPr>
      </w:pPr>
      <w:r w:rsidRPr="00776DFA">
        <w:rPr>
          <w:rFonts w:ascii="Times New Roman Italic" w:hAnsi="Times New Roman Italic" w:cs="Cambria"/>
          <w:i/>
          <w:szCs w:val="32"/>
        </w:rPr>
        <w:t>A.</w:t>
      </w:r>
      <w:r>
        <w:rPr>
          <w:rFonts w:ascii="Times New Roman Italic" w:hAnsi="Times New Roman Italic" w:cs="Cambria"/>
          <w:i/>
          <w:szCs w:val="32"/>
        </w:rPr>
        <w:t xml:space="preserve"> First Phase (covering Section 2 points a and b</w:t>
      </w:r>
      <w:r w:rsidRPr="00776DFA">
        <w:rPr>
          <w:rFonts w:ascii="Times New Roman Italic" w:hAnsi="Times New Roman Italic" w:cs="Cambria"/>
          <w:i/>
          <w:szCs w:val="32"/>
        </w:rPr>
        <w:t xml:space="preserve"> above) - May to Mid-July: </w:t>
      </w:r>
      <w:r>
        <w:rPr>
          <w:rFonts w:ascii="Times New Roman" w:hAnsi="Times New Roman" w:cs="Cambria"/>
          <w:szCs w:val="32"/>
        </w:rPr>
        <w:t xml:space="preserve">It is proposed that </w:t>
      </w:r>
      <w:r w:rsidRPr="00B24A09">
        <w:rPr>
          <w:rFonts w:ascii="Times New Roman" w:hAnsi="Times New Roman" w:cs="Cambria"/>
          <w:szCs w:val="32"/>
        </w:rPr>
        <w:t>a desk review of studies on preparedness and compilation of existing information/data on funding trends for preparedness by cluster, including analysis of key humanitarian financing tools and mechanisms such as  </w:t>
      </w:r>
    </w:p>
    <w:p w:rsidR="00154E93" w:rsidRPr="00B24A09" w:rsidRDefault="00154E93" w:rsidP="00B24A09">
      <w:pPr>
        <w:pStyle w:val="ListParagraph"/>
        <w:widowControl w:val="0"/>
        <w:numPr>
          <w:ilvl w:val="0"/>
          <w:numId w:val="4"/>
        </w:numPr>
        <w:tabs>
          <w:tab w:val="left" w:pos="1660"/>
          <w:tab w:val="left" w:pos="2160"/>
        </w:tabs>
        <w:autoSpaceDE w:val="0"/>
        <w:autoSpaceDN w:val="0"/>
        <w:adjustRightInd w:val="0"/>
        <w:spacing w:after="320"/>
        <w:rPr>
          <w:rFonts w:ascii="Times New Roman" w:hAnsi="Times New Roman" w:cs="Wingdings"/>
          <w:szCs w:val="32"/>
        </w:rPr>
      </w:pPr>
      <w:r w:rsidRPr="00B24A09">
        <w:rPr>
          <w:rFonts w:ascii="Times New Roman" w:hAnsi="Times New Roman"/>
          <w:szCs w:val="32"/>
        </w:rPr>
        <w:t>CAPs, Humanitarian Action Plans and other IASC-supported Appeals;</w:t>
      </w:r>
      <w:r w:rsidRPr="00B24A09">
        <w:rPr>
          <w:rFonts w:ascii="Times New Roman" w:hAnsi="Times New Roman" w:cs="Times"/>
          <w:szCs w:val="32"/>
        </w:rPr>
        <w:t xml:space="preserve"> </w:t>
      </w:r>
      <w:r w:rsidRPr="00B24A09">
        <w:rPr>
          <w:rFonts w:ascii="Times New Roman" w:hAnsi="Times New Roman"/>
          <w:szCs w:val="32"/>
        </w:rPr>
        <w:t> </w:t>
      </w:r>
    </w:p>
    <w:p w:rsidR="00154E93" w:rsidRPr="00B24A09" w:rsidRDefault="00154E93" w:rsidP="00B24A09">
      <w:pPr>
        <w:pStyle w:val="ListParagraph"/>
        <w:widowControl w:val="0"/>
        <w:numPr>
          <w:ilvl w:val="0"/>
          <w:numId w:val="4"/>
        </w:numPr>
        <w:tabs>
          <w:tab w:val="left" w:pos="1660"/>
          <w:tab w:val="left" w:pos="2160"/>
        </w:tabs>
        <w:autoSpaceDE w:val="0"/>
        <w:autoSpaceDN w:val="0"/>
        <w:adjustRightInd w:val="0"/>
        <w:spacing w:after="320"/>
        <w:rPr>
          <w:rFonts w:ascii="Times New Roman" w:hAnsi="Times New Roman" w:cs="Wingdings"/>
          <w:szCs w:val="32"/>
        </w:rPr>
      </w:pPr>
      <w:r>
        <w:rPr>
          <w:rFonts w:ascii="Times New Roman" w:hAnsi="Times New Roman"/>
          <w:szCs w:val="32"/>
        </w:rPr>
        <w:t>C</w:t>
      </w:r>
      <w:r w:rsidRPr="00B24A09">
        <w:rPr>
          <w:rFonts w:ascii="Times New Roman" w:hAnsi="Times New Roman"/>
          <w:szCs w:val="32"/>
        </w:rPr>
        <w:t>ountry-based humanitarian pool funds (CHFs, ERFs, etc.)</w:t>
      </w:r>
      <w:r w:rsidRPr="00B24A09">
        <w:rPr>
          <w:rFonts w:ascii="Times New Roman" w:hAnsi="Times New Roman" w:cs="Times"/>
          <w:szCs w:val="32"/>
        </w:rPr>
        <w:t xml:space="preserve"> </w:t>
      </w:r>
      <w:r w:rsidRPr="00B24A09">
        <w:rPr>
          <w:rFonts w:ascii="Times New Roman" w:hAnsi="Times New Roman"/>
          <w:szCs w:val="32"/>
        </w:rPr>
        <w:t> </w:t>
      </w:r>
    </w:p>
    <w:p w:rsidR="00154E93" w:rsidRPr="00B24A09" w:rsidRDefault="00154E93" w:rsidP="00B24A09">
      <w:pPr>
        <w:widowControl w:val="0"/>
        <w:autoSpaceDE w:val="0"/>
        <w:autoSpaceDN w:val="0"/>
        <w:adjustRightInd w:val="0"/>
        <w:spacing w:after="320"/>
        <w:rPr>
          <w:rFonts w:ascii="Times New Roman" w:hAnsi="Times New Roman" w:cs="Times"/>
          <w:szCs w:val="32"/>
        </w:rPr>
      </w:pPr>
      <w:r w:rsidRPr="00B24A09">
        <w:rPr>
          <w:rFonts w:ascii="Times New Roman" w:hAnsi="Times New Roman" w:cs="Cambria"/>
          <w:szCs w:val="32"/>
        </w:rPr>
        <w:t>To the extent possible, bilateral humanitarian financing will also be compiled (by cluster/agency/organization), at the national, regional and global level. Efforts by HCTs and country/regional level agency platforms will also be reviewed.</w:t>
      </w:r>
    </w:p>
    <w:p w:rsidR="00154E93" w:rsidRPr="00B24A09" w:rsidRDefault="00154E93" w:rsidP="00B24A09">
      <w:pPr>
        <w:widowControl w:val="0"/>
        <w:autoSpaceDE w:val="0"/>
        <w:autoSpaceDN w:val="0"/>
        <w:adjustRightInd w:val="0"/>
        <w:spacing w:after="320"/>
        <w:rPr>
          <w:rFonts w:ascii="Times New Roman" w:hAnsi="Times New Roman" w:cs="Times"/>
          <w:szCs w:val="32"/>
        </w:rPr>
      </w:pPr>
      <w:r w:rsidRPr="00B24A09">
        <w:rPr>
          <w:rFonts w:ascii="Times New Roman" w:hAnsi="Times New Roman" w:cs="Cambria"/>
          <w:szCs w:val="32"/>
        </w:rPr>
        <w:t>In parallel, a review of IASC agency programmes involving preparedness will be undertaken to obtain clarity of agency specific mandates regarding disaster preparedness.  This review may also consider/touch upon agency programme links to disaster risk reduction and all preparedness work linked to the Hyogo Framework for Action.  Possible outcome is to achieve consensus of the “niche” of preparedness activities within humanitarian response  and the added value and role of each IASC agency therein, which the HFG should focus on for improved funding, recognising that preparedness goes beyond humanitarian action.</w:t>
      </w:r>
    </w:p>
    <w:p w:rsidR="00154E93" w:rsidRPr="00776DFA" w:rsidRDefault="00154E93" w:rsidP="00B24A09">
      <w:pPr>
        <w:widowControl w:val="0"/>
        <w:autoSpaceDE w:val="0"/>
        <w:autoSpaceDN w:val="0"/>
        <w:adjustRightInd w:val="0"/>
        <w:spacing w:after="320"/>
        <w:rPr>
          <w:rFonts w:ascii="Times New Roman" w:hAnsi="Times New Roman" w:cs="Cambria"/>
          <w:szCs w:val="32"/>
        </w:rPr>
      </w:pPr>
      <w:r w:rsidRPr="00B24A09">
        <w:rPr>
          <w:rFonts w:ascii="Times New Roman" w:hAnsi="Times New Roman" w:cs="Cambria"/>
          <w:szCs w:val="32"/>
        </w:rPr>
        <w:t xml:space="preserve">The proposed outcome is a short </w:t>
      </w:r>
      <w:r>
        <w:rPr>
          <w:rFonts w:ascii="Times New Roman" w:hAnsi="Times New Roman" w:cs="Cambria"/>
          <w:szCs w:val="32"/>
        </w:rPr>
        <w:t xml:space="preserve">synthesis </w:t>
      </w:r>
      <w:r w:rsidRPr="00B24A09">
        <w:rPr>
          <w:rFonts w:ascii="Times New Roman" w:hAnsi="Times New Roman" w:cs="Cambria"/>
          <w:szCs w:val="32"/>
        </w:rPr>
        <w:t>paper which will be tabled for discussion at the Hum Financing Group in July. It is suggested that the World Bank as member of the IASC be invited to this session to provide their experience and views on financing for preparedness.</w:t>
      </w:r>
    </w:p>
    <w:p w:rsidR="00154E93" w:rsidRPr="00B24A09" w:rsidRDefault="00154E93" w:rsidP="00B24A09">
      <w:pPr>
        <w:widowControl w:val="0"/>
        <w:autoSpaceDE w:val="0"/>
        <w:autoSpaceDN w:val="0"/>
        <w:adjustRightInd w:val="0"/>
        <w:spacing w:after="320"/>
        <w:rPr>
          <w:rFonts w:ascii="Times New Roman" w:hAnsi="Times New Roman" w:cs="Times"/>
          <w:szCs w:val="32"/>
        </w:rPr>
      </w:pPr>
      <w:r w:rsidRPr="00776DFA">
        <w:rPr>
          <w:rFonts w:ascii="Times New Roman Italic" w:hAnsi="Times New Roman Italic" w:cs="Cambria"/>
          <w:i/>
          <w:szCs w:val="32"/>
        </w:rPr>
        <w:t> B</w:t>
      </w:r>
      <w:r>
        <w:rPr>
          <w:rFonts w:ascii="Times New Roman Italic" w:hAnsi="Times New Roman Italic" w:cs="Cambria"/>
          <w:i/>
          <w:szCs w:val="32"/>
        </w:rPr>
        <w:t xml:space="preserve">. Second Phase (covering Section 2 Point c </w:t>
      </w:r>
      <w:r w:rsidRPr="00776DFA">
        <w:rPr>
          <w:rFonts w:ascii="Times New Roman Italic" w:hAnsi="Times New Roman Italic" w:cs="Cambria"/>
          <w:i/>
          <w:szCs w:val="32"/>
        </w:rPr>
        <w:t>above) August – October:</w:t>
      </w:r>
      <w:r>
        <w:rPr>
          <w:rFonts w:ascii="Times New Roman" w:hAnsi="Times New Roman" w:cs="Cambria"/>
          <w:szCs w:val="32"/>
        </w:rPr>
        <w:t xml:space="preserve"> T</w:t>
      </w:r>
      <w:r w:rsidRPr="00B24A09">
        <w:rPr>
          <w:rFonts w:ascii="Times New Roman" w:hAnsi="Times New Roman" w:cs="Cambria"/>
          <w:szCs w:val="32"/>
        </w:rPr>
        <w:t xml:space="preserve">aking into account the analysis and recommendations of the discussions from the first paper, </w:t>
      </w:r>
      <w:r>
        <w:rPr>
          <w:rFonts w:ascii="Times New Roman" w:hAnsi="Times New Roman" w:cs="Cambria"/>
          <w:szCs w:val="32"/>
        </w:rPr>
        <w:t>it is proposed that cost-benefit analyses</w:t>
      </w:r>
      <w:r w:rsidRPr="00B24A09">
        <w:rPr>
          <w:rFonts w:ascii="Times New Roman" w:hAnsi="Times New Roman" w:cs="Cambria"/>
          <w:szCs w:val="32"/>
        </w:rPr>
        <w:t xml:space="preserve"> or economic counterfactual of country case studies (possibly three to four) </w:t>
      </w:r>
      <w:r>
        <w:rPr>
          <w:rFonts w:ascii="Times New Roman" w:hAnsi="Times New Roman" w:cs="Cambria"/>
          <w:szCs w:val="32"/>
        </w:rPr>
        <w:t xml:space="preserve">be undertaken </w:t>
      </w:r>
      <w:r w:rsidRPr="00B24A09">
        <w:rPr>
          <w:rFonts w:ascii="Times New Roman" w:hAnsi="Times New Roman" w:cs="Cambria"/>
          <w:szCs w:val="32"/>
        </w:rPr>
        <w:t>to demonstrate how investment in preparedness activities can reduce the cost of emergency operations.</w:t>
      </w:r>
    </w:p>
    <w:p w:rsidR="00154E93" w:rsidRPr="00B24A09" w:rsidRDefault="00154E93" w:rsidP="00B24A09">
      <w:pPr>
        <w:widowControl w:val="0"/>
        <w:autoSpaceDE w:val="0"/>
        <w:autoSpaceDN w:val="0"/>
        <w:adjustRightInd w:val="0"/>
        <w:spacing w:after="320"/>
        <w:rPr>
          <w:rFonts w:ascii="Times New Roman" w:hAnsi="Times New Roman" w:cs="Times"/>
          <w:szCs w:val="32"/>
        </w:rPr>
      </w:pPr>
      <w:r w:rsidRPr="00B24A09">
        <w:rPr>
          <w:rFonts w:ascii="Times New Roman" w:hAnsi="Times New Roman" w:cs="Cambria"/>
          <w:szCs w:val="32"/>
        </w:rPr>
        <w:t>Th</w:t>
      </w:r>
      <w:r>
        <w:rPr>
          <w:rFonts w:ascii="Times New Roman" w:hAnsi="Times New Roman" w:cs="Cambria"/>
          <w:szCs w:val="32"/>
        </w:rPr>
        <w:t>e proposed outcome is to identify</w:t>
      </w:r>
      <w:r w:rsidRPr="00B24A09">
        <w:rPr>
          <w:rFonts w:ascii="Times New Roman" w:hAnsi="Times New Roman" w:cs="Cambria"/>
          <w:szCs w:val="32"/>
        </w:rPr>
        <w:t xml:space="preserve"> </w:t>
      </w:r>
      <w:r>
        <w:rPr>
          <w:rFonts w:ascii="Times New Roman" w:hAnsi="Times New Roman" w:cs="Cambria"/>
          <w:szCs w:val="32"/>
        </w:rPr>
        <w:t xml:space="preserve">‘preparedness’ </w:t>
      </w:r>
      <w:r w:rsidRPr="00B24A09">
        <w:rPr>
          <w:rFonts w:ascii="Times New Roman" w:hAnsi="Times New Roman" w:cs="Cambria"/>
          <w:szCs w:val="32"/>
        </w:rPr>
        <w:t xml:space="preserve">indicators, benchmarks and timeframes with a view to making preparedness-related interventions and </w:t>
      </w:r>
      <w:r>
        <w:rPr>
          <w:rFonts w:ascii="Times New Roman" w:hAnsi="Times New Roman" w:cs="Cambria"/>
          <w:szCs w:val="32"/>
        </w:rPr>
        <w:t>/or activities more accountable</w:t>
      </w:r>
      <w:r w:rsidRPr="00B24A09">
        <w:rPr>
          <w:rFonts w:ascii="Times New Roman" w:hAnsi="Times New Roman" w:cs="Cambria"/>
          <w:szCs w:val="32"/>
        </w:rPr>
        <w:t xml:space="preserve">; and </w:t>
      </w:r>
      <w:r>
        <w:rPr>
          <w:rFonts w:ascii="Times New Roman" w:hAnsi="Times New Roman" w:cs="Cambria"/>
          <w:szCs w:val="32"/>
        </w:rPr>
        <w:t xml:space="preserve">to make </w:t>
      </w:r>
      <w:r w:rsidRPr="00B24A09">
        <w:rPr>
          <w:rFonts w:ascii="Times New Roman" w:hAnsi="Times New Roman" w:cs="Cambria"/>
          <w:szCs w:val="32"/>
        </w:rPr>
        <w:t>recommendations of how IASC agencies can better address/target existing funding gaps for preparedness in the current aid architecture.</w:t>
      </w:r>
    </w:p>
    <w:p w:rsidR="00154E93" w:rsidRPr="00B24A09" w:rsidRDefault="00154E93" w:rsidP="00776DFA">
      <w:pPr>
        <w:widowControl w:val="0"/>
        <w:autoSpaceDE w:val="0"/>
        <w:autoSpaceDN w:val="0"/>
        <w:adjustRightInd w:val="0"/>
        <w:spacing w:after="320"/>
        <w:rPr>
          <w:rFonts w:ascii="Times New Roman" w:hAnsi="Times New Roman" w:cs="Times"/>
          <w:szCs w:val="32"/>
        </w:rPr>
      </w:pPr>
      <w:r w:rsidRPr="00B24A09">
        <w:rPr>
          <w:rFonts w:ascii="Times New Roman" w:hAnsi="Times New Roman" w:cs="Cambria"/>
          <w:szCs w:val="32"/>
        </w:rPr>
        <w:t>It is suggested that the final paper be discussed within the HFG. Salient points of the discussion will form the basis for the development of a policy paper to be submitted to the IASC WG in November.</w:t>
      </w:r>
    </w:p>
    <w:p w:rsidR="00154E93" w:rsidRPr="00B24A09" w:rsidRDefault="00154E93" w:rsidP="00B24A09">
      <w:pPr>
        <w:widowControl w:val="0"/>
        <w:autoSpaceDE w:val="0"/>
        <w:autoSpaceDN w:val="0"/>
        <w:adjustRightInd w:val="0"/>
        <w:spacing w:after="320"/>
        <w:rPr>
          <w:rFonts w:ascii="Times New Roman" w:hAnsi="Times New Roman" w:cs="Times"/>
          <w:szCs w:val="32"/>
          <w:u w:val="single"/>
        </w:rPr>
      </w:pPr>
      <w:r w:rsidRPr="00B24A09">
        <w:rPr>
          <w:rFonts w:ascii="Times New Roman" w:hAnsi="Times New Roman" w:cs="Cambria"/>
          <w:szCs w:val="32"/>
          <w:u w:val="single"/>
        </w:rPr>
        <w:t>5. Management arrangements (budget)</w:t>
      </w:r>
    </w:p>
    <w:p w:rsidR="00154E93" w:rsidRPr="00B24A09" w:rsidRDefault="00154E93" w:rsidP="00B24A09">
      <w:pPr>
        <w:widowControl w:val="0"/>
        <w:autoSpaceDE w:val="0"/>
        <w:autoSpaceDN w:val="0"/>
        <w:adjustRightInd w:val="0"/>
        <w:spacing w:after="320"/>
        <w:rPr>
          <w:rFonts w:ascii="Times New Roman" w:hAnsi="Times New Roman" w:cs="Times"/>
          <w:szCs w:val="32"/>
        </w:rPr>
      </w:pPr>
      <w:r w:rsidRPr="00B24A09">
        <w:rPr>
          <w:rFonts w:ascii="Times New Roman" w:hAnsi="Times New Roman" w:cs="Cambria"/>
          <w:szCs w:val="32"/>
        </w:rPr>
        <w:t>The review will be managed by a Task Team on Preparedness chaired by FAO in close consultation with OCHA, WFP, UNICEF and UNDP as well as other HFG members. A consultant will be recruited to undertake the review and will be contracted on a lump sum basis (WAE). Interested HFG members will jointly fund the review.</w:t>
      </w:r>
    </w:p>
    <w:p w:rsidR="00154E93" w:rsidRPr="00B24A09" w:rsidRDefault="00154E93" w:rsidP="00B24A09">
      <w:pPr>
        <w:widowControl w:val="0"/>
        <w:autoSpaceDE w:val="0"/>
        <w:autoSpaceDN w:val="0"/>
        <w:adjustRightInd w:val="0"/>
        <w:spacing w:after="320"/>
        <w:rPr>
          <w:rFonts w:ascii="Times New Roman" w:hAnsi="Times New Roman" w:cs="Times"/>
          <w:szCs w:val="32"/>
        </w:rPr>
      </w:pPr>
      <w:r w:rsidRPr="00B24A09">
        <w:rPr>
          <w:rFonts w:ascii="Times New Roman" w:hAnsi="Times New Roman" w:cs="Cambria"/>
          <w:szCs w:val="32"/>
        </w:rPr>
        <w:t>(secondment of part of OCHA  personnel working on IASC preparedness issues)</w:t>
      </w:r>
    </w:p>
    <w:p w:rsidR="00154E93" w:rsidRDefault="00154E93" w:rsidP="00B24A09">
      <w:pPr>
        <w:widowControl w:val="0"/>
        <w:autoSpaceDE w:val="0"/>
        <w:autoSpaceDN w:val="0"/>
        <w:adjustRightInd w:val="0"/>
        <w:rPr>
          <w:rFonts w:ascii="Times New Roman" w:hAnsi="Times New Roman" w:cs="Times"/>
          <w:szCs w:val="32"/>
        </w:rPr>
      </w:pPr>
      <w:r>
        <w:rPr>
          <w:rFonts w:ascii="Times New Roman" w:hAnsi="Times New Roman" w:cs="Times"/>
          <w:szCs w:val="32"/>
        </w:rPr>
        <w:t>Still to be discussed:</w:t>
      </w:r>
    </w:p>
    <w:p w:rsidR="00154E93" w:rsidRDefault="00154E93" w:rsidP="00B24A09">
      <w:pPr>
        <w:widowControl w:val="0"/>
        <w:autoSpaceDE w:val="0"/>
        <w:autoSpaceDN w:val="0"/>
        <w:adjustRightInd w:val="0"/>
        <w:rPr>
          <w:rFonts w:ascii="Times New Roman" w:hAnsi="Times New Roman" w:cs="Times"/>
          <w:szCs w:val="32"/>
        </w:rPr>
      </w:pPr>
    </w:p>
    <w:p w:rsidR="00154E93" w:rsidRDefault="00154E93" w:rsidP="00B24A09">
      <w:pPr>
        <w:pStyle w:val="ListParagraph"/>
        <w:widowControl w:val="0"/>
        <w:numPr>
          <w:ilvl w:val="0"/>
          <w:numId w:val="5"/>
        </w:numPr>
        <w:autoSpaceDE w:val="0"/>
        <w:autoSpaceDN w:val="0"/>
        <w:adjustRightInd w:val="0"/>
        <w:rPr>
          <w:rFonts w:ascii="Times New Roman" w:hAnsi="Times New Roman" w:cs="Times"/>
          <w:szCs w:val="32"/>
        </w:rPr>
      </w:pPr>
      <w:r>
        <w:rPr>
          <w:rFonts w:ascii="Times New Roman" w:hAnsi="Times New Roman" w:cs="Times"/>
          <w:szCs w:val="32"/>
        </w:rPr>
        <w:t>Interaction with other IASC bodies/subsidiary WG such as Early Warning. Early Action and TT on Climate Change</w:t>
      </w:r>
    </w:p>
    <w:p w:rsidR="00154E93" w:rsidRDefault="00154E93" w:rsidP="00B24A09">
      <w:pPr>
        <w:pStyle w:val="ListParagraph"/>
        <w:widowControl w:val="0"/>
        <w:numPr>
          <w:ilvl w:val="0"/>
          <w:numId w:val="5"/>
        </w:numPr>
        <w:autoSpaceDE w:val="0"/>
        <w:autoSpaceDN w:val="0"/>
        <w:adjustRightInd w:val="0"/>
        <w:rPr>
          <w:rFonts w:ascii="Times New Roman" w:hAnsi="Times New Roman" w:cs="Times"/>
          <w:szCs w:val="32"/>
        </w:rPr>
      </w:pPr>
      <w:r>
        <w:rPr>
          <w:rFonts w:ascii="Times New Roman" w:hAnsi="Times New Roman" w:cs="Times"/>
          <w:szCs w:val="32"/>
        </w:rPr>
        <w:t xml:space="preserve">List of studies/documents to be consulted </w:t>
      </w:r>
    </w:p>
    <w:p w:rsidR="00154E93" w:rsidRDefault="00154E93" w:rsidP="00B24A09">
      <w:pPr>
        <w:pStyle w:val="ListParagraph"/>
        <w:widowControl w:val="0"/>
        <w:numPr>
          <w:ilvl w:val="0"/>
          <w:numId w:val="5"/>
        </w:numPr>
        <w:autoSpaceDE w:val="0"/>
        <w:autoSpaceDN w:val="0"/>
        <w:adjustRightInd w:val="0"/>
        <w:rPr>
          <w:rFonts w:ascii="Times New Roman" w:hAnsi="Times New Roman" w:cs="Times"/>
          <w:szCs w:val="32"/>
        </w:rPr>
      </w:pPr>
      <w:r>
        <w:rPr>
          <w:rFonts w:ascii="Times New Roman" w:hAnsi="Times New Roman" w:cs="Times"/>
          <w:szCs w:val="32"/>
        </w:rPr>
        <w:t>Interaction with GHD</w:t>
      </w:r>
    </w:p>
    <w:p w:rsidR="00154E93" w:rsidRDefault="00154E93" w:rsidP="00B24A09">
      <w:pPr>
        <w:pStyle w:val="ListParagraph"/>
        <w:widowControl w:val="0"/>
        <w:numPr>
          <w:ilvl w:val="0"/>
          <w:numId w:val="5"/>
        </w:numPr>
        <w:autoSpaceDE w:val="0"/>
        <w:autoSpaceDN w:val="0"/>
        <w:adjustRightInd w:val="0"/>
        <w:rPr>
          <w:rFonts w:ascii="Times New Roman" w:hAnsi="Times New Roman" w:cs="Times"/>
          <w:szCs w:val="32"/>
        </w:rPr>
      </w:pPr>
      <w:r>
        <w:rPr>
          <w:rFonts w:ascii="Times New Roman" w:hAnsi="Times New Roman" w:cs="Times"/>
          <w:szCs w:val="32"/>
        </w:rPr>
        <w:t>Participation of IFRC and NGOs</w:t>
      </w:r>
    </w:p>
    <w:p w:rsidR="00154E93" w:rsidRPr="00B24A09" w:rsidRDefault="00154E93" w:rsidP="00B24A09">
      <w:pPr>
        <w:pStyle w:val="ListParagraph"/>
        <w:widowControl w:val="0"/>
        <w:numPr>
          <w:ilvl w:val="0"/>
          <w:numId w:val="5"/>
        </w:numPr>
        <w:autoSpaceDE w:val="0"/>
        <w:autoSpaceDN w:val="0"/>
        <w:adjustRightInd w:val="0"/>
        <w:rPr>
          <w:rFonts w:ascii="Times New Roman" w:hAnsi="Times New Roman" w:cs="Times"/>
          <w:szCs w:val="32"/>
        </w:rPr>
      </w:pPr>
      <w:r>
        <w:rPr>
          <w:rFonts w:ascii="Times New Roman" w:hAnsi="Times New Roman" w:cs="Times"/>
          <w:szCs w:val="32"/>
        </w:rPr>
        <w:t>Selection of country case studies</w:t>
      </w:r>
    </w:p>
    <w:p w:rsidR="00154E93" w:rsidRPr="00B24A09" w:rsidRDefault="00154E93" w:rsidP="00B24A09">
      <w:pPr>
        <w:rPr>
          <w:rFonts w:ascii="Times New Roman" w:hAnsi="Times New Roman"/>
        </w:rPr>
      </w:pPr>
    </w:p>
    <w:sectPr w:rsidR="00154E93" w:rsidRPr="00B24A09" w:rsidSect="00B24A0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E93" w:rsidRDefault="00154E93" w:rsidP="00DE5E7C">
      <w:r>
        <w:separator/>
      </w:r>
    </w:p>
  </w:endnote>
  <w:endnote w:type="continuationSeparator" w:id="0">
    <w:p w:rsidR="00154E93" w:rsidRDefault="00154E93" w:rsidP="00DE5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imes New Roman Ital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93" w:rsidRDefault="00154E93" w:rsidP="007948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4E93" w:rsidRDefault="00154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93" w:rsidRDefault="00154E93" w:rsidP="007948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4E93" w:rsidRDefault="00154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E93" w:rsidRDefault="00154E93" w:rsidP="00DE5E7C">
      <w:r>
        <w:separator/>
      </w:r>
    </w:p>
  </w:footnote>
  <w:footnote w:type="continuationSeparator" w:id="0">
    <w:p w:rsidR="00154E93" w:rsidRDefault="00154E93" w:rsidP="00DE5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4C297998"/>
    <w:multiLevelType w:val="hybridMultilevel"/>
    <w:tmpl w:val="0A34D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0D7B6B"/>
    <w:multiLevelType w:val="hybridMultilevel"/>
    <w:tmpl w:val="27B49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A09"/>
    <w:rsid w:val="00154E93"/>
    <w:rsid w:val="00314A9B"/>
    <w:rsid w:val="00356111"/>
    <w:rsid w:val="00704445"/>
    <w:rsid w:val="00776DFA"/>
    <w:rsid w:val="007948A3"/>
    <w:rsid w:val="00B24A09"/>
    <w:rsid w:val="00BA781A"/>
    <w:rsid w:val="00CF77DB"/>
    <w:rsid w:val="00DE5E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A09"/>
    <w:pPr>
      <w:ind w:left="720"/>
      <w:contextualSpacing/>
    </w:pPr>
  </w:style>
  <w:style w:type="paragraph" w:styleId="Footer">
    <w:name w:val="footer"/>
    <w:basedOn w:val="Normal"/>
    <w:link w:val="FooterChar"/>
    <w:uiPriority w:val="99"/>
    <w:semiHidden/>
    <w:rsid w:val="00704445"/>
    <w:pPr>
      <w:tabs>
        <w:tab w:val="center" w:pos="4320"/>
        <w:tab w:val="right" w:pos="8640"/>
      </w:tabs>
    </w:pPr>
  </w:style>
  <w:style w:type="character" w:customStyle="1" w:styleId="FooterChar">
    <w:name w:val="Footer Char"/>
    <w:basedOn w:val="DefaultParagraphFont"/>
    <w:link w:val="Footer"/>
    <w:uiPriority w:val="99"/>
    <w:semiHidden/>
    <w:locked/>
    <w:rsid w:val="00704445"/>
    <w:rPr>
      <w:rFonts w:cs="Times New Roman"/>
    </w:rPr>
  </w:style>
  <w:style w:type="character" w:styleId="PageNumber">
    <w:name w:val="page number"/>
    <w:basedOn w:val="DefaultParagraphFont"/>
    <w:uiPriority w:val="99"/>
    <w:semiHidden/>
    <w:rsid w:val="00704445"/>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998</Words>
  <Characters>5691</Characters>
  <Application>Microsoft Office Outlook</Application>
  <DocSecurity>0</DocSecurity>
  <Lines>0</Lines>
  <Paragraphs>0</Paragraphs>
  <ScaleCrop>false</ScaleCrop>
  <Company>IDLO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Note </dc:title>
  <dc:subject/>
  <dc:creator>Sandra Aviles</dc:creator>
  <cp:keywords/>
  <dc:description/>
  <cp:lastModifiedBy>United Nations</cp:lastModifiedBy>
  <cp:revision>2</cp:revision>
  <dcterms:created xsi:type="dcterms:W3CDTF">2010-04-27T21:41:00Z</dcterms:created>
  <dcterms:modified xsi:type="dcterms:W3CDTF">2010-04-27T21:41:00Z</dcterms:modified>
</cp:coreProperties>
</file>