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25" w:rsidRDefault="00672825" w:rsidP="00E73782">
      <w:pPr>
        <w:spacing w:after="0"/>
        <w:jc w:val="both"/>
        <w:rPr>
          <w:rFonts w:ascii="Trebuchet MS" w:eastAsia="SimSun" w:hAnsi="Trebuchet MS" w:cs="Arial"/>
          <w:color w:val="0000FF"/>
          <w:sz w:val="20"/>
          <w:szCs w:val="20"/>
          <w:lang w:eastAsia="zh-CN"/>
        </w:rPr>
      </w:pPr>
    </w:p>
    <w:p w:rsidR="00672825" w:rsidRDefault="00672825" w:rsidP="000A4258">
      <w:pPr>
        <w:autoSpaceDE w:val="0"/>
        <w:autoSpaceDN w:val="0"/>
        <w:adjustRightInd w:val="0"/>
        <w:spacing w:before="120" w:after="120"/>
        <w:ind w:left="357"/>
        <w:jc w:val="center"/>
        <w:rPr>
          <w:rFonts w:ascii="Trebuchet MS" w:hAnsi="Trebuchet MS" w:cs="Arial"/>
          <w:b/>
          <w:bCs/>
          <w:color w:val="990099"/>
        </w:rPr>
      </w:pPr>
      <w:r w:rsidRPr="00DF75BB">
        <w:rPr>
          <w:rFonts w:ascii="Trebuchet MS" w:hAnsi="Trebuchet MS" w:cs="Arial"/>
          <w:b/>
          <w:bCs/>
          <w:color w:val="990099"/>
        </w:rPr>
        <w:t>NATF Technical Workshop Background Document</w:t>
      </w:r>
    </w:p>
    <w:p w:rsidR="00672825" w:rsidRPr="00DF75BB" w:rsidRDefault="00672825" w:rsidP="001459EC">
      <w:pPr>
        <w:autoSpaceDE w:val="0"/>
        <w:autoSpaceDN w:val="0"/>
        <w:adjustRightInd w:val="0"/>
        <w:ind w:left="360"/>
        <w:jc w:val="center"/>
        <w:rPr>
          <w:rFonts w:ascii="Trebuchet MS" w:hAnsi="Trebuchet MS" w:cs="Arial"/>
          <w:b/>
          <w:bCs/>
          <w:color w:val="990099"/>
        </w:rPr>
      </w:pPr>
      <w:r>
        <w:rPr>
          <w:rFonts w:ascii="Trebuchet MS" w:hAnsi="Trebuchet MS" w:cs="Arial"/>
          <w:b/>
          <w:bCs/>
          <w:color w:val="990099"/>
        </w:rPr>
        <w:t xml:space="preserve">DEVELOPING A COORDINATED ASSESSMENT PREPAREDNESS PACKAGE  </w:t>
      </w:r>
    </w:p>
    <w:p w:rsidR="00672825" w:rsidRDefault="00672825" w:rsidP="000A4258">
      <w:pPr>
        <w:spacing w:after="0"/>
        <w:jc w:val="both"/>
        <w:rPr>
          <w:rFonts w:ascii="Trebuchet MS" w:eastAsia="SimSun" w:hAnsi="Trebuchet MS" w:cs="Arial"/>
          <w:b/>
          <w:bCs/>
          <w:color w:val="0000FF"/>
          <w:sz w:val="20"/>
          <w:szCs w:val="20"/>
          <w:lang w:val="en-GB" w:eastAsia="zh-CN"/>
        </w:rPr>
      </w:pPr>
    </w:p>
    <w:p w:rsidR="00672825" w:rsidRDefault="00672825" w:rsidP="009143AE">
      <w:pPr>
        <w:spacing w:after="0"/>
        <w:jc w:val="both"/>
        <w:rPr>
          <w:rFonts w:ascii="Trebuchet MS" w:eastAsia="SimSun" w:hAnsi="Trebuchet MS" w:cs="Arial"/>
          <w:color w:val="0000FF"/>
          <w:sz w:val="20"/>
          <w:szCs w:val="20"/>
          <w:lang w:val="en-GB" w:eastAsia="zh-CN"/>
        </w:rPr>
      </w:pPr>
      <w:r w:rsidRPr="006B58B8">
        <w:rPr>
          <w:rFonts w:ascii="Trebuchet MS" w:eastAsia="SimSun" w:hAnsi="Trebuchet MS" w:cs="Arial"/>
          <w:b/>
          <w:bCs/>
          <w:color w:val="0000FF"/>
          <w:sz w:val="20"/>
          <w:szCs w:val="20"/>
          <w:lang w:val="en-GB" w:eastAsia="zh-CN"/>
        </w:rPr>
        <w:t>The Operational Guidance underscores that</w:t>
      </w:r>
      <w:r w:rsidRPr="007D6E46">
        <w:rPr>
          <w:rFonts w:ascii="Trebuchet MS" w:eastAsia="SimSun" w:hAnsi="Trebuchet MS" w:cs="Arial"/>
          <w:color w:val="0000FF"/>
          <w:sz w:val="20"/>
          <w:szCs w:val="20"/>
          <w:lang w:val="en-GB" w:eastAsia="zh-CN"/>
        </w:rPr>
        <w:t xml:space="preserve"> </w:t>
      </w:r>
      <w:r w:rsidRPr="004F465E">
        <w:rPr>
          <w:rFonts w:ascii="Trebuchet MS" w:eastAsia="SimSun" w:hAnsi="Trebuchet MS" w:cs="Arial"/>
          <w:b/>
          <w:bCs/>
          <w:color w:val="0000FF"/>
          <w:sz w:val="20"/>
          <w:szCs w:val="20"/>
          <w:lang w:val="en-GB" w:eastAsia="zh-CN"/>
        </w:rPr>
        <w:t>preparedness is essential to effective coordinated assessments</w:t>
      </w:r>
      <w:r w:rsidRPr="007D6E46">
        <w:rPr>
          <w:rFonts w:ascii="Trebuchet MS" w:eastAsia="SimSun" w:hAnsi="Trebuchet MS" w:cs="Arial"/>
          <w:color w:val="0000FF"/>
          <w:sz w:val="20"/>
          <w:szCs w:val="20"/>
          <w:lang w:val="en-GB" w:eastAsia="zh-CN"/>
        </w:rPr>
        <w:t>.</w:t>
      </w:r>
      <w:r>
        <w:rPr>
          <w:rFonts w:ascii="Trebuchet MS" w:eastAsia="SimSun" w:hAnsi="Trebuchet MS" w:cs="Arial"/>
          <w:color w:val="0000FF"/>
          <w:sz w:val="20"/>
          <w:szCs w:val="20"/>
          <w:lang w:val="en-GB" w:eastAsia="zh-CN"/>
        </w:rPr>
        <w:t xml:space="preserve"> It outlines a number of key actions to be undertaken, but does not provide specific guidance or tools to support the undertaking of a coordinated assessment preparedness process. Experience from the preparedness mission undertaken through the CASPAR suggests the value of complementing the Operational Guidance with an Annex on Coordinated Assessment Preparedness, which would clarify the scope of a coordinated assessment process, and identify tools available for this. </w:t>
      </w:r>
    </w:p>
    <w:p w:rsidR="00672825" w:rsidRDefault="00672825" w:rsidP="009143AE">
      <w:pPr>
        <w:spacing w:after="0"/>
        <w:jc w:val="both"/>
        <w:rPr>
          <w:rFonts w:ascii="Trebuchet MS" w:eastAsia="SimSun" w:hAnsi="Trebuchet MS" w:cs="Arial"/>
          <w:color w:val="0000FF"/>
          <w:sz w:val="20"/>
          <w:szCs w:val="20"/>
          <w:lang w:val="en-GB" w:eastAsia="zh-CN"/>
        </w:rPr>
      </w:pPr>
    </w:p>
    <w:p w:rsidR="00672825" w:rsidRDefault="00672825" w:rsidP="00981CCD">
      <w:pPr>
        <w:spacing w:after="0"/>
        <w:jc w:val="both"/>
        <w:rPr>
          <w:rFonts w:ascii="Trebuchet MS" w:eastAsia="SimSun" w:hAnsi="Trebuchet MS" w:cs="Arial"/>
          <w:color w:val="0000FF"/>
          <w:sz w:val="20"/>
          <w:szCs w:val="20"/>
          <w:lang w:val="en-GB" w:eastAsia="zh-CN"/>
        </w:rPr>
      </w:pPr>
      <w:r w:rsidRPr="00981CCD">
        <w:rPr>
          <w:rFonts w:ascii="Trebuchet MS" w:eastAsia="SimSun" w:hAnsi="Trebuchet MS" w:cs="Arial"/>
          <w:b/>
          <w:bCs/>
          <w:color w:val="0000FF"/>
          <w:sz w:val="20"/>
          <w:szCs w:val="20"/>
          <w:lang w:val="en-GB" w:eastAsia="zh-CN"/>
        </w:rPr>
        <w:t xml:space="preserve">The following paper outlines the </w:t>
      </w:r>
      <w:r w:rsidRPr="00981CCD">
        <w:rPr>
          <w:rFonts w:ascii="Trebuchet MS" w:eastAsia="SimSun" w:hAnsi="Trebuchet MS" w:cs="Arial"/>
          <w:b/>
          <w:bCs/>
          <w:color w:val="0000FF"/>
          <w:sz w:val="20"/>
          <w:szCs w:val="20"/>
          <w:u w:val="single"/>
          <w:lang w:val="en-GB" w:eastAsia="zh-CN"/>
        </w:rPr>
        <w:t>possible</w:t>
      </w:r>
      <w:r w:rsidRPr="00D232EC">
        <w:rPr>
          <w:rFonts w:ascii="Trebuchet MS" w:eastAsia="SimSun" w:hAnsi="Trebuchet MS" w:cs="Arial"/>
          <w:b/>
          <w:bCs/>
          <w:color w:val="0000FF"/>
          <w:sz w:val="20"/>
          <w:szCs w:val="20"/>
          <w:lang w:val="en-GB" w:eastAsia="zh-CN"/>
        </w:rPr>
        <w:t xml:space="preserve"> </w:t>
      </w:r>
      <w:r w:rsidRPr="00981CCD">
        <w:rPr>
          <w:rFonts w:ascii="Trebuchet MS" w:eastAsia="SimSun" w:hAnsi="Trebuchet MS" w:cs="Arial"/>
          <w:b/>
          <w:bCs/>
          <w:color w:val="0000FF"/>
          <w:sz w:val="20"/>
          <w:szCs w:val="20"/>
          <w:lang w:val="en-GB" w:eastAsia="zh-CN"/>
        </w:rPr>
        <w:t>contents of such an annex, as well as some</w:t>
      </w:r>
      <w:r>
        <w:rPr>
          <w:rFonts w:ascii="Trebuchet MS" w:eastAsia="SimSun" w:hAnsi="Trebuchet MS" w:cs="Arial"/>
          <w:b/>
          <w:bCs/>
          <w:color w:val="0000FF"/>
          <w:sz w:val="20"/>
          <w:szCs w:val="20"/>
          <w:lang w:val="en-GB" w:eastAsia="zh-CN"/>
        </w:rPr>
        <w:t xml:space="preserve"> </w:t>
      </w:r>
      <w:r w:rsidRPr="00981CCD">
        <w:rPr>
          <w:rFonts w:ascii="Trebuchet MS" w:eastAsia="SimSun" w:hAnsi="Trebuchet MS" w:cs="Arial"/>
          <w:b/>
          <w:bCs/>
          <w:color w:val="0000FF"/>
          <w:sz w:val="20"/>
          <w:szCs w:val="20"/>
          <w:u w:val="single"/>
          <w:lang w:val="en-GB" w:eastAsia="zh-CN"/>
        </w:rPr>
        <w:t>possible</w:t>
      </w:r>
      <w:r w:rsidRPr="00981CCD">
        <w:rPr>
          <w:rFonts w:ascii="Trebuchet MS" w:eastAsia="SimSun" w:hAnsi="Trebuchet MS" w:cs="Arial"/>
          <w:b/>
          <w:bCs/>
          <w:color w:val="0000FF"/>
          <w:sz w:val="20"/>
          <w:szCs w:val="20"/>
          <w:lang w:val="en-GB" w:eastAsia="zh-CN"/>
        </w:rPr>
        <w:t xml:space="preserve"> accompanying tools which could support its implementation. </w:t>
      </w:r>
      <w:r w:rsidRPr="00EC4C58">
        <w:rPr>
          <w:rFonts w:ascii="Trebuchet MS" w:eastAsia="SimSun" w:hAnsi="Trebuchet MS" w:cs="Arial"/>
          <w:color w:val="0000FF"/>
          <w:sz w:val="20"/>
          <w:szCs w:val="20"/>
          <w:lang w:val="en-GB" w:eastAsia="zh-CN"/>
        </w:rPr>
        <w:t xml:space="preserve">Once the NATF broadly agrees on developing such an annex, it is proposed that a consultant be </w:t>
      </w:r>
      <w:r w:rsidRPr="007D6E46">
        <w:rPr>
          <w:rFonts w:ascii="Trebuchet MS" w:eastAsia="SimSun" w:hAnsi="Trebuchet MS" w:cs="Arial"/>
          <w:color w:val="0000FF"/>
          <w:sz w:val="20"/>
          <w:szCs w:val="20"/>
          <w:lang w:val="en-GB" w:eastAsia="zh-CN"/>
        </w:rPr>
        <w:t xml:space="preserve">hired to </w:t>
      </w:r>
      <w:r>
        <w:rPr>
          <w:rFonts w:ascii="Trebuchet MS" w:eastAsia="SimSun" w:hAnsi="Trebuchet MS" w:cs="Arial"/>
          <w:color w:val="0000FF"/>
          <w:sz w:val="20"/>
          <w:szCs w:val="20"/>
          <w:lang w:val="en-GB" w:eastAsia="zh-CN"/>
        </w:rPr>
        <w:t xml:space="preserve">undertake this, in consultation with NATF members. The NATF would agree on the contents of the Annex and Tools, and these could be tested in the upcoming CASPAR preparedness missions – </w:t>
      </w:r>
      <w:smartTag w:uri="urn:schemas-microsoft-com:office:smarttags" w:element="country-region">
        <w:r>
          <w:rPr>
            <w:rFonts w:ascii="Trebuchet MS" w:eastAsia="SimSun" w:hAnsi="Trebuchet MS" w:cs="Arial"/>
            <w:color w:val="0000FF"/>
            <w:sz w:val="20"/>
            <w:szCs w:val="20"/>
            <w:lang w:val="en-GB" w:eastAsia="zh-CN"/>
          </w:rPr>
          <w:t>Papua New Guinea</w:t>
        </w:r>
      </w:smartTag>
      <w:r>
        <w:rPr>
          <w:rFonts w:ascii="Trebuchet MS" w:eastAsia="SimSun" w:hAnsi="Trebuchet MS" w:cs="Arial"/>
          <w:color w:val="0000FF"/>
          <w:sz w:val="20"/>
          <w:szCs w:val="20"/>
          <w:lang w:val="en-GB" w:eastAsia="zh-CN"/>
        </w:rPr>
        <w:t xml:space="preserve">, </w:t>
      </w:r>
      <w:smartTag w:uri="urn:schemas-microsoft-com:office:smarttags" w:element="country-region">
        <w:r>
          <w:rPr>
            <w:rFonts w:ascii="Trebuchet MS" w:eastAsia="SimSun" w:hAnsi="Trebuchet MS" w:cs="Arial"/>
            <w:color w:val="0000FF"/>
            <w:sz w:val="20"/>
            <w:szCs w:val="20"/>
            <w:lang w:val="en-GB" w:eastAsia="zh-CN"/>
          </w:rPr>
          <w:t>Fiji</w:t>
        </w:r>
      </w:smartTag>
      <w:r>
        <w:rPr>
          <w:rFonts w:ascii="Trebuchet MS" w:eastAsia="SimSun" w:hAnsi="Trebuchet MS" w:cs="Arial"/>
          <w:color w:val="0000FF"/>
          <w:sz w:val="20"/>
          <w:szCs w:val="20"/>
          <w:lang w:val="en-GB" w:eastAsia="zh-CN"/>
        </w:rPr>
        <w:t xml:space="preserve">, and </w:t>
      </w:r>
      <w:smartTag w:uri="urn:schemas-microsoft-com:office:smarttags" w:element="country-region">
        <w:smartTag w:uri="urn:schemas-microsoft-com:office:smarttags" w:element="place">
          <w:r>
            <w:rPr>
              <w:rFonts w:ascii="Trebuchet MS" w:eastAsia="SimSun" w:hAnsi="Trebuchet MS" w:cs="Arial"/>
              <w:color w:val="0000FF"/>
              <w:sz w:val="20"/>
              <w:szCs w:val="20"/>
              <w:lang w:val="en-GB" w:eastAsia="zh-CN"/>
            </w:rPr>
            <w:t>Uganda</w:t>
          </w:r>
        </w:smartTag>
      </w:smartTag>
      <w:r>
        <w:rPr>
          <w:rFonts w:ascii="Trebuchet MS" w:eastAsia="SimSun" w:hAnsi="Trebuchet MS" w:cs="Arial"/>
          <w:color w:val="0000FF"/>
          <w:sz w:val="20"/>
          <w:szCs w:val="20"/>
          <w:lang w:val="en-GB" w:eastAsia="zh-CN"/>
        </w:rPr>
        <w:t>. Once reviewed and endorsed by the NATF, the Annex and Tools would be an important component of the NATF package.</w:t>
      </w:r>
    </w:p>
    <w:p w:rsidR="00672825" w:rsidRPr="002908E0" w:rsidRDefault="00672825" w:rsidP="00981CCD">
      <w:pPr>
        <w:spacing w:after="0"/>
        <w:jc w:val="both"/>
        <w:rPr>
          <w:rFonts w:ascii="Trebuchet MS" w:eastAsia="SimSun" w:hAnsi="Trebuchet MS" w:cs="Arial"/>
          <w:color w:val="0000FF"/>
          <w:sz w:val="20"/>
          <w:szCs w:val="20"/>
          <w:lang w:val="en-GB" w:eastAsia="zh-CN"/>
        </w:rPr>
      </w:pPr>
      <w:r>
        <w:rPr>
          <w:rFonts w:ascii="Trebuchet MS" w:eastAsia="SimSun" w:hAnsi="Trebuchet MS" w:cs="Arial"/>
          <w:color w:val="0000FF"/>
          <w:sz w:val="20"/>
          <w:szCs w:val="20"/>
          <w:lang w:val="en-GB" w:eastAsia="zh-CN"/>
        </w:rPr>
        <w:t xml:space="preserve"> </w:t>
      </w:r>
    </w:p>
    <w:p w:rsidR="00672825" w:rsidRPr="00E73782" w:rsidRDefault="00672825" w:rsidP="00981CCD">
      <w:pPr>
        <w:spacing w:after="0"/>
        <w:jc w:val="both"/>
        <w:rPr>
          <w:rFonts w:ascii="Trebuchet MS" w:eastAsia="SimSun" w:hAnsi="Trebuchet MS" w:cs="Arial"/>
          <w:color w:val="0000FF"/>
          <w:sz w:val="20"/>
          <w:szCs w:val="20"/>
          <w:lang w:val="en-GB" w:eastAsia="zh-CN"/>
        </w:rPr>
      </w:pPr>
      <w:r>
        <w:rPr>
          <w:rFonts w:ascii="Trebuchet MS" w:eastAsia="SimSun" w:hAnsi="Trebuchet MS" w:cs="Arial"/>
          <w:b/>
          <w:bCs/>
          <w:color w:val="0000FF"/>
          <w:sz w:val="20"/>
          <w:szCs w:val="20"/>
          <w:lang w:val="en-GB" w:eastAsia="zh-CN"/>
        </w:rPr>
        <w:t>1. Orientation to introduce the vision of the IASC for coordinated assessments</w:t>
      </w:r>
    </w:p>
    <w:p w:rsidR="00672825" w:rsidRDefault="00672825" w:rsidP="00981CCD">
      <w:pPr>
        <w:spacing w:after="0"/>
        <w:jc w:val="both"/>
        <w:rPr>
          <w:rFonts w:ascii="Trebuchet MS" w:eastAsia="SimSun" w:hAnsi="Trebuchet MS" w:cs="Arial"/>
          <w:color w:val="0000FF"/>
          <w:sz w:val="20"/>
          <w:szCs w:val="20"/>
          <w:lang w:val="en-GB" w:eastAsia="zh-CN"/>
        </w:rPr>
      </w:pPr>
      <w:r>
        <w:rPr>
          <w:rFonts w:ascii="Trebuchet MS" w:eastAsia="SimSun" w:hAnsi="Trebuchet MS" w:cs="Arial"/>
          <w:color w:val="0000FF"/>
          <w:sz w:val="20"/>
          <w:szCs w:val="20"/>
          <w:lang w:val="en-GB" w:eastAsia="zh-CN"/>
        </w:rPr>
        <w:t xml:space="preserve">Orientation sessions have been considered valuable “door openers” in order to begin implementing a more coordinated approach to assessments at the country level. They are useful for raising awareness and advocating on the purpose and benefits of a coordinated approach. It is hoped that an orientation session of the HCT would galvanize commitment at the country level and lead to an agreement to begin looking at coordinated assessments at the working level. </w:t>
      </w:r>
    </w:p>
    <w:p w:rsidR="00672825" w:rsidRDefault="00672825" w:rsidP="00D232EC">
      <w:pPr>
        <w:spacing w:after="0"/>
        <w:jc w:val="both"/>
        <w:rPr>
          <w:rFonts w:ascii="Trebuchet MS" w:eastAsia="SimSun" w:hAnsi="Trebuchet MS" w:cs="Arial"/>
          <w:b/>
          <w:bCs/>
          <w:color w:val="0000FF"/>
          <w:sz w:val="20"/>
          <w:szCs w:val="20"/>
          <w:lang w:val="en-GB" w:eastAsia="zh-CN"/>
        </w:rPr>
      </w:pPr>
      <w:r w:rsidRPr="00EC4C58">
        <w:rPr>
          <w:rFonts w:ascii="Trebuchet MS" w:eastAsia="SimSun" w:hAnsi="Trebuchet MS" w:cs="Arial"/>
          <w:b/>
          <w:bCs/>
          <w:i/>
          <w:iCs/>
          <w:color w:val="0000FF"/>
          <w:sz w:val="20"/>
          <w:szCs w:val="20"/>
          <w:lang w:val="en-GB" w:eastAsia="zh-CN"/>
        </w:rPr>
        <w:sym w:font="Wingdings" w:char="F0E0"/>
      </w:r>
      <w:r w:rsidRPr="00EC4C58">
        <w:rPr>
          <w:rFonts w:ascii="Trebuchet MS" w:eastAsia="SimSun" w:hAnsi="Trebuchet MS" w:cs="Arial"/>
          <w:b/>
          <w:bCs/>
          <w:i/>
          <w:iCs/>
          <w:color w:val="0000FF"/>
          <w:sz w:val="20"/>
          <w:szCs w:val="20"/>
          <w:lang w:val="en-GB" w:eastAsia="zh-CN"/>
        </w:rPr>
        <w:t xml:space="preserve"> </w:t>
      </w:r>
      <w:r>
        <w:rPr>
          <w:rFonts w:ascii="Trebuchet MS" w:eastAsia="SimSun" w:hAnsi="Trebuchet MS" w:cs="Arial"/>
          <w:b/>
          <w:bCs/>
          <w:i/>
          <w:iCs/>
          <w:color w:val="0000FF"/>
          <w:sz w:val="20"/>
          <w:szCs w:val="20"/>
          <w:lang w:val="en-GB" w:eastAsia="zh-CN"/>
        </w:rPr>
        <w:t>Tool</w:t>
      </w:r>
      <w:r w:rsidRPr="009143AE">
        <w:rPr>
          <w:rFonts w:ascii="Trebuchet MS" w:eastAsia="SimSun" w:hAnsi="Trebuchet MS" w:cs="Arial"/>
          <w:b/>
          <w:bCs/>
          <w:i/>
          <w:iCs/>
          <w:color w:val="0000FF"/>
          <w:sz w:val="20"/>
          <w:szCs w:val="20"/>
          <w:lang w:val="en-GB" w:eastAsia="zh-CN"/>
        </w:rPr>
        <w:t xml:space="preserve">: </w:t>
      </w:r>
      <w:r w:rsidRPr="00EC4C58">
        <w:rPr>
          <w:rFonts w:ascii="Trebuchet MS" w:eastAsia="SimSun" w:hAnsi="Trebuchet MS" w:cs="Arial"/>
          <w:b/>
          <w:bCs/>
          <w:i/>
          <w:iCs/>
          <w:color w:val="0000FF"/>
          <w:sz w:val="20"/>
          <w:szCs w:val="20"/>
          <w:lang w:val="en-GB" w:eastAsia="zh-CN"/>
        </w:rPr>
        <w:t xml:space="preserve">Coordinated Assessment Orientation </w:t>
      </w:r>
      <w:r>
        <w:rPr>
          <w:rFonts w:ascii="Trebuchet MS" w:eastAsia="SimSun" w:hAnsi="Trebuchet MS" w:cs="Arial"/>
          <w:b/>
          <w:bCs/>
          <w:i/>
          <w:iCs/>
          <w:color w:val="0000FF"/>
          <w:sz w:val="20"/>
          <w:szCs w:val="20"/>
          <w:lang w:val="en-GB" w:eastAsia="zh-CN"/>
        </w:rPr>
        <w:t>(already available)</w:t>
      </w:r>
    </w:p>
    <w:p w:rsidR="00672825" w:rsidRDefault="00672825" w:rsidP="00981CCD">
      <w:pPr>
        <w:spacing w:after="0"/>
        <w:jc w:val="both"/>
        <w:rPr>
          <w:rFonts w:ascii="Trebuchet MS" w:eastAsia="SimSun" w:hAnsi="Trebuchet MS" w:cs="Arial"/>
          <w:b/>
          <w:bCs/>
          <w:color w:val="0000FF"/>
          <w:sz w:val="20"/>
          <w:szCs w:val="20"/>
          <w:lang w:val="en-GB" w:eastAsia="zh-CN"/>
        </w:rPr>
      </w:pPr>
    </w:p>
    <w:p w:rsidR="00672825" w:rsidRPr="002908E0" w:rsidRDefault="00672825" w:rsidP="00981CCD">
      <w:pPr>
        <w:spacing w:after="0"/>
        <w:jc w:val="both"/>
        <w:rPr>
          <w:rFonts w:ascii="Trebuchet MS" w:eastAsia="SimSun" w:hAnsi="Trebuchet MS" w:cs="Arial"/>
          <w:color w:val="0000FF"/>
          <w:sz w:val="20"/>
          <w:szCs w:val="20"/>
          <w:lang w:val="en-GB" w:eastAsia="zh-CN"/>
        </w:rPr>
      </w:pPr>
      <w:r>
        <w:rPr>
          <w:rFonts w:ascii="Trebuchet MS" w:eastAsia="SimSun" w:hAnsi="Trebuchet MS" w:cs="Arial"/>
          <w:b/>
          <w:bCs/>
          <w:color w:val="0000FF"/>
          <w:sz w:val="20"/>
          <w:szCs w:val="20"/>
          <w:lang w:val="en-GB" w:eastAsia="zh-CN"/>
        </w:rPr>
        <w:t>2. Assessing “coordinated assessment preparedness” (including protocols, tools and capacity)</w:t>
      </w:r>
    </w:p>
    <w:p w:rsidR="00672825" w:rsidRDefault="00672825" w:rsidP="00981CCD">
      <w:pPr>
        <w:spacing w:after="0"/>
        <w:jc w:val="both"/>
        <w:rPr>
          <w:rFonts w:ascii="Trebuchet MS" w:eastAsia="SimSun" w:hAnsi="Trebuchet MS" w:cs="Arial"/>
          <w:color w:val="0000FF"/>
          <w:sz w:val="20"/>
          <w:szCs w:val="20"/>
          <w:lang w:val="en-GB" w:eastAsia="zh-CN"/>
        </w:rPr>
      </w:pPr>
      <w:r w:rsidRPr="002908E0">
        <w:rPr>
          <w:rFonts w:ascii="Trebuchet MS" w:eastAsia="SimSun" w:hAnsi="Trebuchet MS" w:cs="Arial"/>
          <w:color w:val="0000FF"/>
          <w:sz w:val="20"/>
          <w:szCs w:val="20"/>
          <w:lang w:val="en-GB" w:eastAsia="zh-CN"/>
        </w:rPr>
        <w:t xml:space="preserve">The Coordinated Assessment Preparedness Checklist can be a useful tool </w:t>
      </w:r>
      <w:r>
        <w:rPr>
          <w:rFonts w:ascii="Trebuchet MS" w:eastAsia="SimSun" w:hAnsi="Trebuchet MS" w:cs="Arial"/>
          <w:color w:val="0000FF"/>
          <w:sz w:val="20"/>
          <w:szCs w:val="20"/>
          <w:lang w:val="en-GB" w:eastAsia="zh-CN"/>
        </w:rPr>
        <w:t>to identify</w:t>
      </w:r>
      <w:r w:rsidRPr="002908E0">
        <w:rPr>
          <w:rFonts w:ascii="Trebuchet MS" w:eastAsia="SimSun" w:hAnsi="Trebuchet MS" w:cs="Arial"/>
          <w:color w:val="0000FF"/>
          <w:sz w:val="20"/>
          <w:szCs w:val="20"/>
          <w:lang w:val="en-GB" w:eastAsia="zh-CN"/>
        </w:rPr>
        <w:t xml:space="preserve"> what needs to be in place at the country level so that</w:t>
      </w:r>
      <w:r>
        <w:rPr>
          <w:rFonts w:ascii="Trebuchet MS" w:eastAsia="SimSun" w:hAnsi="Trebuchet MS" w:cs="Arial"/>
          <w:color w:val="0000FF"/>
          <w:sz w:val="20"/>
          <w:szCs w:val="20"/>
          <w:lang w:val="en-GB" w:eastAsia="zh-CN"/>
        </w:rPr>
        <w:t xml:space="preserve"> coordinated assessment preparedness is achieved at different levels. The Checklist can be the basis for identifying priority next steps, and for informing different stakeholders on their areas of involvement.  </w:t>
      </w:r>
    </w:p>
    <w:p w:rsidR="00672825" w:rsidRPr="00372B20" w:rsidRDefault="00672825" w:rsidP="00981CCD">
      <w:pPr>
        <w:spacing w:after="0"/>
        <w:jc w:val="both"/>
        <w:rPr>
          <w:rFonts w:ascii="Trebuchet MS" w:eastAsia="SimSun" w:hAnsi="Trebuchet MS" w:cs="Arial"/>
          <w:color w:val="0000FF"/>
          <w:sz w:val="20"/>
          <w:szCs w:val="20"/>
          <w:lang w:val="en-GB" w:eastAsia="zh-CN"/>
        </w:rPr>
      </w:pPr>
      <w:r w:rsidRPr="00372B20">
        <w:rPr>
          <w:rFonts w:ascii="Trebuchet MS" w:eastAsia="SimSun" w:hAnsi="Trebuchet MS" w:cs="Arial"/>
          <w:b/>
          <w:bCs/>
          <w:i/>
          <w:iCs/>
          <w:color w:val="0000FF"/>
          <w:sz w:val="20"/>
          <w:szCs w:val="20"/>
          <w:lang w:val="en-GB" w:eastAsia="zh-CN"/>
        </w:rPr>
        <w:sym w:font="Wingdings" w:char="F0E0"/>
      </w:r>
      <w:r w:rsidRPr="00372B20">
        <w:rPr>
          <w:rFonts w:ascii="Trebuchet MS" w:eastAsia="SimSun" w:hAnsi="Trebuchet MS" w:cs="Arial"/>
          <w:b/>
          <w:bCs/>
          <w:i/>
          <w:iCs/>
          <w:color w:val="0000FF"/>
          <w:sz w:val="20"/>
          <w:szCs w:val="20"/>
          <w:lang w:val="en-GB" w:eastAsia="zh-CN"/>
        </w:rPr>
        <w:t xml:space="preserve"> Possible Tool: Coordinated Assessment Preparedness Checklist (in draft form)</w:t>
      </w:r>
    </w:p>
    <w:p w:rsidR="00672825" w:rsidRDefault="00672825" w:rsidP="00981CCD">
      <w:pPr>
        <w:spacing w:after="0"/>
        <w:jc w:val="both"/>
        <w:rPr>
          <w:rFonts w:ascii="Trebuchet MS" w:eastAsia="SimSun" w:hAnsi="Trebuchet MS" w:cs="Arial"/>
          <w:color w:val="0000FF"/>
          <w:sz w:val="20"/>
          <w:szCs w:val="20"/>
          <w:lang w:val="en-GB" w:eastAsia="zh-CN"/>
        </w:rPr>
      </w:pPr>
    </w:p>
    <w:p w:rsidR="00672825" w:rsidRPr="00267628" w:rsidRDefault="00672825" w:rsidP="00981CCD">
      <w:pPr>
        <w:spacing w:after="0"/>
        <w:jc w:val="both"/>
        <w:rPr>
          <w:rFonts w:ascii="Trebuchet MS" w:eastAsia="SimSun" w:hAnsi="Trebuchet MS" w:cs="Arial"/>
          <w:b/>
          <w:bCs/>
          <w:color w:val="0000FF"/>
          <w:sz w:val="20"/>
          <w:szCs w:val="20"/>
          <w:lang w:val="en-GB" w:eastAsia="zh-CN"/>
        </w:rPr>
      </w:pPr>
      <w:r w:rsidRPr="00267628">
        <w:rPr>
          <w:rFonts w:ascii="Trebuchet MS" w:eastAsia="SimSun" w:hAnsi="Trebuchet MS" w:cs="Arial"/>
          <w:b/>
          <w:bCs/>
          <w:color w:val="0000FF"/>
          <w:sz w:val="20"/>
          <w:szCs w:val="20"/>
          <w:lang w:val="en-GB" w:eastAsia="zh-CN"/>
        </w:rPr>
        <w:t>3. Undertaking Assessment Preparedness Workshop</w:t>
      </w:r>
      <w:r>
        <w:rPr>
          <w:rFonts w:ascii="Trebuchet MS" w:eastAsia="SimSun" w:hAnsi="Trebuchet MS" w:cs="Arial"/>
          <w:b/>
          <w:bCs/>
          <w:color w:val="0000FF"/>
          <w:sz w:val="20"/>
          <w:szCs w:val="20"/>
          <w:lang w:val="en-GB" w:eastAsia="zh-CN"/>
        </w:rPr>
        <w:t>s</w:t>
      </w:r>
    </w:p>
    <w:p w:rsidR="00672825" w:rsidRPr="00372B20" w:rsidRDefault="00672825" w:rsidP="00981CCD">
      <w:pPr>
        <w:spacing w:after="0"/>
        <w:jc w:val="both"/>
        <w:rPr>
          <w:rFonts w:ascii="Trebuchet MS" w:eastAsia="SimSun" w:hAnsi="Trebuchet MS" w:cs="Arial"/>
          <w:color w:val="0000FF"/>
          <w:sz w:val="20"/>
          <w:szCs w:val="20"/>
          <w:lang w:val="en-GB" w:eastAsia="zh-CN"/>
        </w:rPr>
      </w:pPr>
      <w:r>
        <w:rPr>
          <w:rFonts w:ascii="Trebuchet MS" w:eastAsia="SimSun" w:hAnsi="Trebuchet MS" w:cs="Arial"/>
          <w:color w:val="0000FF"/>
          <w:sz w:val="20"/>
          <w:szCs w:val="20"/>
          <w:lang w:val="en-GB" w:eastAsia="zh-CN"/>
        </w:rPr>
        <w:t xml:space="preserve">These workshops could bring together assessment focal points at the country level in order to begin the detailed process of </w:t>
      </w:r>
      <w:r w:rsidRPr="004F465E">
        <w:rPr>
          <w:rFonts w:ascii="Trebuchet MS" w:eastAsia="SimSun" w:hAnsi="Trebuchet MS" w:cs="Arial"/>
          <w:color w:val="0000FF"/>
          <w:sz w:val="20"/>
          <w:szCs w:val="20"/>
          <w:u w:val="single"/>
          <w:lang w:val="en-GB" w:eastAsia="zh-CN"/>
        </w:rPr>
        <w:t>preparedness</w:t>
      </w:r>
      <w:r>
        <w:rPr>
          <w:rFonts w:ascii="Trebuchet MS" w:eastAsia="SimSun" w:hAnsi="Trebuchet MS" w:cs="Arial"/>
          <w:color w:val="0000FF"/>
          <w:sz w:val="20"/>
          <w:szCs w:val="20"/>
          <w:lang w:val="en-GB" w:eastAsia="zh-CN"/>
        </w:rPr>
        <w:t xml:space="preserve"> around coordinated assessments. The workshop could begin with the “</w:t>
      </w:r>
      <w:r w:rsidRPr="00981CCD">
        <w:rPr>
          <w:rFonts w:ascii="Trebuchet MS" w:eastAsia="SimSun" w:hAnsi="Trebuchet MS" w:cs="Arial"/>
          <w:color w:val="0000FF"/>
          <w:sz w:val="20"/>
          <w:szCs w:val="20"/>
          <w:u w:val="single"/>
          <w:lang w:val="en-GB" w:eastAsia="zh-CN"/>
        </w:rPr>
        <w:t>induction</w:t>
      </w:r>
      <w:r>
        <w:rPr>
          <w:rFonts w:ascii="Trebuchet MS" w:eastAsia="SimSun" w:hAnsi="Trebuchet MS" w:cs="Arial"/>
          <w:color w:val="0000FF"/>
          <w:sz w:val="20"/>
          <w:szCs w:val="20"/>
          <w:lang w:val="en-GB" w:eastAsia="zh-CN"/>
        </w:rPr>
        <w:t>” on the vision of the NATF</w:t>
      </w:r>
      <w:r>
        <w:rPr>
          <w:rStyle w:val="FootnoteReference"/>
          <w:rFonts w:ascii="Trebuchet MS" w:eastAsia="SimSun" w:hAnsi="Trebuchet MS" w:cs="Arial"/>
          <w:color w:val="0000FF"/>
          <w:sz w:val="20"/>
          <w:szCs w:val="20"/>
          <w:lang w:val="en-GB" w:eastAsia="zh-CN"/>
        </w:rPr>
        <w:footnoteReference w:id="1"/>
      </w:r>
      <w:r>
        <w:rPr>
          <w:rFonts w:ascii="Trebuchet MS" w:eastAsia="SimSun" w:hAnsi="Trebuchet MS" w:cs="Arial"/>
          <w:color w:val="0000FF"/>
          <w:sz w:val="20"/>
          <w:szCs w:val="20"/>
          <w:lang w:val="en-GB" w:eastAsia="zh-CN"/>
        </w:rPr>
        <w:t xml:space="preserve">. Thereafter, and based on a review of the contingency plan for the country, they could begin defining coordinated assessment </w:t>
      </w:r>
      <w:r w:rsidRPr="00210B3B">
        <w:rPr>
          <w:rFonts w:ascii="Trebuchet MS" w:eastAsia="SimSun" w:hAnsi="Trebuchet MS" w:cs="Arial"/>
          <w:color w:val="0000FF"/>
          <w:sz w:val="20"/>
          <w:szCs w:val="20"/>
          <w:u w:val="single"/>
          <w:lang w:val="en-GB" w:eastAsia="zh-CN"/>
        </w:rPr>
        <w:t>protocols</w:t>
      </w:r>
      <w:r>
        <w:rPr>
          <w:rFonts w:ascii="Trebuchet MS" w:eastAsia="SimSun" w:hAnsi="Trebuchet MS" w:cs="Arial"/>
          <w:color w:val="0000FF"/>
          <w:sz w:val="20"/>
          <w:szCs w:val="20"/>
          <w:lang w:val="en-GB" w:eastAsia="zh-CN"/>
        </w:rPr>
        <w:t xml:space="preserve">. They could also serve to identify assessment </w:t>
      </w:r>
      <w:r w:rsidRPr="00210B3B">
        <w:rPr>
          <w:rFonts w:ascii="Trebuchet MS" w:eastAsia="SimSun" w:hAnsi="Trebuchet MS" w:cs="Arial"/>
          <w:color w:val="0000FF"/>
          <w:sz w:val="20"/>
          <w:szCs w:val="20"/>
          <w:u w:val="single"/>
          <w:lang w:val="en-GB" w:eastAsia="zh-CN"/>
        </w:rPr>
        <w:t>tools</w:t>
      </w:r>
      <w:r>
        <w:rPr>
          <w:rFonts w:ascii="Trebuchet MS" w:eastAsia="SimSun" w:hAnsi="Trebuchet MS" w:cs="Arial"/>
          <w:color w:val="0000FF"/>
          <w:sz w:val="20"/>
          <w:szCs w:val="20"/>
          <w:lang w:val="en-GB" w:eastAsia="zh-CN"/>
        </w:rPr>
        <w:t xml:space="preserve"> available and used in-country, and to agree on adopting these (or adapting global level ones) to serve the country context. </w:t>
      </w:r>
      <w:r w:rsidRPr="006B58B8">
        <w:rPr>
          <w:rFonts w:ascii="Trebuchet MS" w:eastAsia="SimSun" w:hAnsi="Trebuchet MS" w:cs="Arial"/>
          <w:color w:val="0000FF"/>
          <w:sz w:val="20"/>
          <w:szCs w:val="20"/>
          <w:lang w:val="en-GB" w:eastAsia="zh-CN"/>
        </w:rPr>
        <w:t xml:space="preserve">Finally, </w:t>
      </w:r>
      <w:r>
        <w:rPr>
          <w:rFonts w:ascii="Trebuchet MS" w:eastAsia="SimSun" w:hAnsi="Trebuchet MS" w:cs="Arial"/>
          <w:color w:val="0000FF"/>
          <w:sz w:val="20"/>
          <w:szCs w:val="20"/>
          <w:lang w:val="en-GB" w:eastAsia="zh-CN"/>
        </w:rPr>
        <w:t>these c</w:t>
      </w:r>
      <w:r w:rsidRPr="006B58B8">
        <w:rPr>
          <w:rFonts w:ascii="Trebuchet MS" w:eastAsia="SimSun" w:hAnsi="Trebuchet MS" w:cs="Arial"/>
          <w:color w:val="0000FF"/>
          <w:sz w:val="20"/>
          <w:szCs w:val="20"/>
          <w:lang w:val="en-GB" w:eastAsia="zh-CN"/>
        </w:rPr>
        <w:t xml:space="preserve">ould </w:t>
      </w:r>
      <w:r>
        <w:rPr>
          <w:rFonts w:ascii="Trebuchet MS" w:eastAsia="SimSun" w:hAnsi="Trebuchet MS" w:cs="Arial"/>
          <w:color w:val="0000FF"/>
          <w:sz w:val="20"/>
          <w:szCs w:val="20"/>
          <w:lang w:val="en-GB" w:eastAsia="zh-CN"/>
        </w:rPr>
        <w:t>help reach agreement on</w:t>
      </w:r>
      <w:r w:rsidRPr="006B58B8">
        <w:rPr>
          <w:rFonts w:ascii="Trebuchet MS" w:eastAsia="SimSun" w:hAnsi="Trebuchet MS" w:cs="Arial"/>
          <w:color w:val="0000FF"/>
          <w:sz w:val="20"/>
          <w:szCs w:val="20"/>
          <w:lang w:val="en-GB" w:eastAsia="zh-CN"/>
        </w:rPr>
        <w:t xml:space="preserve"> key humanitarian indicators </w:t>
      </w:r>
      <w:r>
        <w:rPr>
          <w:rFonts w:ascii="Trebuchet MS" w:eastAsia="SimSun" w:hAnsi="Trebuchet MS" w:cs="Arial"/>
          <w:color w:val="0000FF"/>
          <w:sz w:val="20"/>
          <w:szCs w:val="20"/>
          <w:lang w:val="en-GB" w:eastAsia="zh-CN"/>
        </w:rPr>
        <w:t>to be measured</w:t>
      </w:r>
      <w:r w:rsidRPr="006B58B8">
        <w:rPr>
          <w:rFonts w:ascii="Trebuchet MS" w:eastAsia="SimSun" w:hAnsi="Trebuchet MS" w:cs="Arial"/>
          <w:color w:val="0000FF"/>
          <w:sz w:val="20"/>
          <w:szCs w:val="20"/>
          <w:lang w:val="en-GB" w:eastAsia="zh-CN"/>
        </w:rPr>
        <w:t>.</w:t>
      </w:r>
      <w:r w:rsidRPr="009143AE">
        <w:rPr>
          <w:rFonts w:ascii="Trebuchet MS" w:eastAsia="SimSun" w:hAnsi="Trebuchet MS" w:cs="Arial"/>
          <w:color w:val="0000FF"/>
          <w:sz w:val="20"/>
          <w:szCs w:val="20"/>
          <w:lang w:val="en-GB" w:eastAsia="zh-CN"/>
        </w:rPr>
        <w:t xml:space="preserve"> </w:t>
      </w:r>
      <w:r>
        <w:rPr>
          <w:rFonts w:ascii="Trebuchet MS" w:eastAsia="SimSun" w:hAnsi="Trebuchet MS" w:cs="Arial"/>
          <w:color w:val="0000FF"/>
          <w:sz w:val="20"/>
          <w:szCs w:val="20"/>
          <w:lang w:val="en-GB" w:eastAsia="zh-CN"/>
        </w:rPr>
        <w:t xml:space="preserve">The identification of assessment tools could be both for phase 1-2 (multi-sectoral) and for phase 3 (sectorally based) assessments. Based on these agreements, the Annex might recommend that pre-agreements be established for the funding and logistical support to </w:t>
      </w:r>
      <w:r w:rsidRPr="00372B20">
        <w:rPr>
          <w:rFonts w:ascii="Trebuchet MS" w:eastAsia="SimSun" w:hAnsi="Trebuchet MS" w:cs="Arial"/>
          <w:color w:val="0000FF"/>
          <w:sz w:val="20"/>
          <w:szCs w:val="20"/>
          <w:lang w:val="en-GB" w:eastAsia="zh-CN"/>
        </w:rPr>
        <w:t xml:space="preserve">assessments. </w:t>
      </w:r>
      <w:r w:rsidRPr="00372B20">
        <w:rPr>
          <w:rFonts w:ascii="Trebuchet MS" w:eastAsia="SimSun" w:hAnsi="Trebuchet MS" w:cs="Arial"/>
          <w:b/>
          <w:bCs/>
          <w:i/>
          <w:iCs/>
          <w:color w:val="0000FF"/>
          <w:sz w:val="20"/>
          <w:szCs w:val="20"/>
          <w:lang w:val="en-GB" w:eastAsia="zh-CN"/>
        </w:rPr>
        <w:sym w:font="Wingdings" w:char="F0E0"/>
      </w:r>
      <w:r w:rsidRPr="00372B20">
        <w:rPr>
          <w:rFonts w:ascii="Trebuchet MS" w:eastAsia="SimSun" w:hAnsi="Trebuchet MS" w:cs="Arial"/>
          <w:b/>
          <w:bCs/>
          <w:i/>
          <w:iCs/>
          <w:color w:val="0000FF"/>
          <w:sz w:val="20"/>
          <w:szCs w:val="20"/>
          <w:lang w:val="en-GB" w:eastAsia="zh-CN"/>
        </w:rPr>
        <w:t xml:space="preserve"> Possible Tools:  Coordinated Assessment Workshop Outline, Assessment SOPs Template</w:t>
      </w:r>
    </w:p>
    <w:p w:rsidR="00672825" w:rsidRDefault="00672825" w:rsidP="00210B3B">
      <w:pPr>
        <w:spacing w:after="0"/>
        <w:ind w:left="360"/>
        <w:jc w:val="both"/>
        <w:rPr>
          <w:rFonts w:ascii="Trebuchet MS" w:eastAsia="SimSun" w:hAnsi="Trebuchet MS" w:cs="Arial"/>
          <w:color w:val="0000FF"/>
          <w:sz w:val="20"/>
          <w:szCs w:val="20"/>
          <w:lang w:val="en-GB" w:eastAsia="zh-CN"/>
        </w:rPr>
      </w:pPr>
    </w:p>
    <w:p w:rsidR="00672825" w:rsidRDefault="00672825" w:rsidP="00F83BA2">
      <w:pPr>
        <w:spacing w:after="0"/>
        <w:jc w:val="both"/>
        <w:rPr>
          <w:rFonts w:ascii="Trebuchet MS" w:eastAsia="SimSun" w:hAnsi="Trebuchet MS" w:cs="Arial"/>
          <w:b/>
          <w:bCs/>
          <w:color w:val="0000FF"/>
          <w:sz w:val="20"/>
          <w:szCs w:val="20"/>
          <w:lang w:val="en-GB" w:eastAsia="zh-CN"/>
        </w:rPr>
      </w:pPr>
      <w:r>
        <w:rPr>
          <w:rFonts w:ascii="Trebuchet MS" w:eastAsia="SimSun" w:hAnsi="Trebuchet MS" w:cs="Arial"/>
          <w:b/>
          <w:bCs/>
          <w:color w:val="0000FF"/>
          <w:sz w:val="20"/>
          <w:szCs w:val="20"/>
          <w:lang w:val="en-GB" w:eastAsia="zh-CN"/>
        </w:rPr>
        <w:t>4. Data preparedness and management tools</w:t>
      </w:r>
    </w:p>
    <w:p w:rsidR="00672825" w:rsidRPr="009143AE" w:rsidRDefault="00672825" w:rsidP="00D232EC">
      <w:pPr>
        <w:spacing w:after="0"/>
        <w:jc w:val="both"/>
        <w:rPr>
          <w:rFonts w:ascii="Trebuchet MS" w:eastAsia="SimSun" w:hAnsi="Trebuchet MS" w:cs="Arial"/>
          <w:color w:val="0000FF"/>
          <w:sz w:val="20"/>
          <w:szCs w:val="20"/>
          <w:lang w:val="en-GB" w:eastAsia="zh-CN"/>
        </w:rPr>
      </w:pPr>
      <w:r w:rsidRPr="009143AE">
        <w:rPr>
          <w:rFonts w:ascii="Trebuchet MS" w:eastAsia="SimSun" w:hAnsi="Trebuchet MS" w:cs="Arial"/>
          <w:color w:val="0000FF"/>
          <w:sz w:val="20"/>
          <w:szCs w:val="20"/>
          <w:lang w:val="en-GB" w:eastAsia="zh-CN"/>
        </w:rPr>
        <w:t xml:space="preserve">The Annex on Coordinated Assessment Preparedness could include guidance on data preparedness. This might involve preparing the country to i) clarify governance of and collect the common operational datasets, ii) collect baseline data (in accordance with key humanitarian indicators) and establish links with national statistics offices, iii) establish data systems for sharing information, iv) agree on tools for data collection (eg PDAs), iv) and establishing monitoring systems for tracking this data at the multi-sectoral level. </w:t>
      </w:r>
      <w:r w:rsidRPr="00372B20">
        <w:rPr>
          <w:rFonts w:ascii="Trebuchet MS" w:eastAsia="SimSun" w:hAnsi="Trebuchet MS" w:cs="Arial"/>
          <w:b/>
          <w:bCs/>
          <w:i/>
          <w:iCs/>
          <w:color w:val="0000FF"/>
          <w:sz w:val="20"/>
          <w:szCs w:val="20"/>
          <w:lang w:val="en-GB" w:eastAsia="zh-CN"/>
        </w:rPr>
        <w:sym w:font="Wingdings" w:char="F0E0"/>
      </w:r>
      <w:r w:rsidRPr="00372B20">
        <w:rPr>
          <w:rFonts w:ascii="Trebuchet MS" w:eastAsia="SimSun" w:hAnsi="Trebuchet MS" w:cs="Arial"/>
          <w:b/>
          <w:bCs/>
          <w:i/>
          <w:iCs/>
          <w:color w:val="0000FF"/>
          <w:sz w:val="20"/>
          <w:szCs w:val="20"/>
          <w:lang w:val="en-GB" w:eastAsia="zh-CN"/>
        </w:rPr>
        <w:t xml:space="preserve"> Possible Tools: Survey of Survey Policy, Common Operational Dataset Policy, Dashboard Standard Operating Procedures</w:t>
      </w:r>
    </w:p>
    <w:p w:rsidR="00672825" w:rsidRPr="004F465E" w:rsidRDefault="00672825" w:rsidP="00F83BA2">
      <w:pPr>
        <w:spacing w:after="0"/>
        <w:jc w:val="both"/>
        <w:rPr>
          <w:rFonts w:ascii="Trebuchet MS" w:eastAsia="SimSun" w:hAnsi="Trebuchet MS" w:cs="Arial"/>
          <w:color w:val="0000FF"/>
          <w:sz w:val="20"/>
          <w:szCs w:val="20"/>
          <w:lang w:eastAsia="zh-CN"/>
        </w:rPr>
      </w:pPr>
    </w:p>
    <w:p w:rsidR="00672825" w:rsidRDefault="00672825" w:rsidP="006B58B8">
      <w:pPr>
        <w:spacing w:after="0"/>
        <w:jc w:val="both"/>
        <w:rPr>
          <w:rFonts w:ascii="Trebuchet MS" w:eastAsia="SimSun" w:hAnsi="Trebuchet MS" w:cs="Arial"/>
          <w:b/>
          <w:bCs/>
          <w:color w:val="0000FF"/>
          <w:sz w:val="20"/>
          <w:szCs w:val="20"/>
          <w:lang w:val="en-GB" w:eastAsia="zh-CN"/>
        </w:rPr>
      </w:pPr>
      <w:r>
        <w:rPr>
          <w:rFonts w:ascii="Trebuchet MS" w:eastAsia="SimSun" w:hAnsi="Trebuchet MS" w:cs="Arial"/>
          <w:b/>
          <w:bCs/>
          <w:color w:val="0000FF"/>
          <w:sz w:val="20"/>
          <w:szCs w:val="20"/>
          <w:lang w:val="en-GB" w:eastAsia="zh-CN"/>
        </w:rPr>
        <w:t xml:space="preserve">5. Simulation exercises to test tools and fine tune assessment preparedness plans.  </w:t>
      </w:r>
    </w:p>
    <w:p w:rsidR="00672825" w:rsidRDefault="00672825" w:rsidP="00981CCD">
      <w:pPr>
        <w:spacing w:after="0"/>
        <w:jc w:val="both"/>
        <w:rPr>
          <w:rFonts w:ascii="Trebuchet MS" w:eastAsia="SimSun" w:hAnsi="Trebuchet MS" w:cs="Arial"/>
          <w:b/>
          <w:bCs/>
          <w:color w:val="0000FF"/>
          <w:sz w:val="20"/>
          <w:szCs w:val="20"/>
          <w:lang w:val="en-GB" w:eastAsia="zh-CN"/>
        </w:rPr>
      </w:pPr>
      <w:r w:rsidRPr="00981CCD">
        <w:rPr>
          <w:rFonts w:ascii="Trebuchet MS" w:eastAsia="SimSun" w:hAnsi="Trebuchet MS" w:cs="Arial"/>
          <w:color w:val="0000FF"/>
          <w:sz w:val="20"/>
          <w:szCs w:val="20"/>
          <w:lang w:val="en-GB" w:eastAsia="zh-CN"/>
        </w:rPr>
        <w:t>The Guidance could provide some helpful instructions on testing the tools and refining the coordinated assessment plans based on simulation exercises.</w:t>
      </w:r>
      <w:r>
        <w:rPr>
          <w:rFonts w:ascii="Trebuchet MS" w:eastAsia="SimSun" w:hAnsi="Trebuchet MS" w:cs="Arial"/>
          <w:color w:val="0000FF"/>
          <w:sz w:val="20"/>
          <w:szCs w:val="20"/>
          <w:lang w:val="en-GB" w:eastAsia="zh-CN"/>
        </w:rPr>
        <w:t xml:space="preserve"> The lessons from such simulations would serve to review the protocols and tools developed. At the same time, they would serve as a capacity building mechanism at the country level. The Guidance could also provide direction on the “maintenance” of coordinated assessment preparedness, to ensure that this is periodically revisited and re-assessed.</w:t>
      </w:r>
      <w:r>
        <w:rPr>
          <w:rFonts w:ascii="Trebuchet MS" w:eastAsia="SimSun" w:hAnsi="Trebuchet MS" w:cs="Arial"/>
          <w:b/>
          <w:bCs/>
          <w:i/>
          <w:iCs/>
          <w:color w:val="0000FF"/>
          <w:sz w:val="20"/>
          <w:szCs w:val="20"/>
          <w:lang w:val="en-GB" w:eastAsia="zh-CN"/>
        </w:rPr>
        <w:t xml:space="preserve"> </w:t>
      </w:r>
    </w:p>
    <w:p w:rsidR="00672825" w:rsidRDefault="00672825" w:rsidP="00981CCD">
      <w:pPr>
        <w:spacing w:after="0"/>
        <w:jc w:val="both"/>
        <w:rPr>
          <w:rFonts w:ascii="Trebuchet MS" w:eastAsia="SimSun" w:hAnsi="Trebuchet MS" w:cs="Arial"/>
          <w:b/>
          <w:bCs/>
          <w:color w:val="0000FF"/>
          <w:sz w:val="20"/>
          <w:szCs w:val="20"/>
          <w:lang w:val="en-GB" w:eastAsia="zh-CN"/>
        </w:rPr>
      </w:pPr>
    </w:p>
    <w:p w:rsidR="00672825" w:rsidRPr="00D232EC" w:rsidRDefault="00672825" w:rsidP="00D232EC">
      <w:pPr>
        <w:spacing w:after="0"/>
        <w:jc w:val="both"/>
        <w:rPr>
          <w:rFonts w:ascii="Trebuchet MS" w:eastAsia="SimSun" w:hAnsi="Trebuchet MS" w:cs="Arial"/>
          <w:color w:val="0000FF"/>
          <w:sz w:val="20"/>
          <w:szCs w:val="20"/>
          <w:lang w:val="en-GB" w:eastAsia="zh-CN"/>
        </w:rPr>
      </w:pPr>
      <w:r>
        <w:rPr>
          <w:rFonts w:ascii="Trebuchet MS" w:eastAsia="SimSun" w:hAnsi="Trebuchet MS" w:cs="Arial"/>
          <w:b/>
          <w:bCs/>
          <w:color w:val="0000FF"/>
          <w:sz w:val="20"/>
          <w:szCs w:val="20"/>
          <w:lang w:val="en-GB" w:eastAsia="zh-CN"/>
        </w:rPr>
        <w:t xml:space="preserve">The coordinated assessment process could also include the identification of additional capacity building efforts required or the need for follow on support, which could be undertaken through new or additional CASPAR deployments. </w:t>
      </w:r>
    </w:p>
    <w:p w:rsidR="00672825" w:rsidRDefault="00672825" w:rsidP="000A4258">
      <w:pPr>
        <w:spacing w:after="0"/>
        <w:jc w:val="both"/>
        <w:rPr>
          <w:rFonts w:ascii="Trebuchet MS" w:eastAsia="SimSun" w:hAnsi="Trebuchet MS" w:cs="Arial"/>
          <w:b/>
          <w:bCs/>
          <w:color w:val="0000FF"/>
          <w:sz w:val="20"/>
          <w:szCs w:val="20"/>
          <w:lang w:val="en-GB" w:eastAsia="zh-CN"/>
        </w:rPr>
      </w:pPr>
      <w:r>
        <w:rPr>
          <w:rFonts w:ascii="Trebuchet MS" w:eastAsia="SimSun" w:hAnsi="Trebuchet MS" w:cs="Arial"/>
          <w:color w:val="0000FF"/>
          <w:sz w:val="20"/>
          <w:szCs w:val="20"/>
          <w:lang w:val="en-GB" w:eastAsia="zh-CN"/>
        </w:rPr>
        <w:t xml:space="preserve"> </w:t>
      </w:r>
    </w:p>
    <w:p w:rsidR="00672825" w:rsidRPr="003968A5" w:rsidRDefault="00672825" w:rsidP="000A4258">
      <w:pPr>
        <w:spacing w:after="0"/>
        <w:jc w:val="both"/>
        <w:rPr>
          <w:rFonts w:eastAsia="SimSun"/>
          <w:lang w:val="en-GB" w:eastAsia="zh-CN"/>
        </w:rPr>
      </w:pPr>
    </w:p>
    <w:p w:rsidR="00672825" w:rsidRDefault="00672825" w:rsidP="000A4258"/>
    <w:p w:rsidR="00672825" w:rsidRPr="004F465E" w:rsidRDefault="00672825" w:rsidP="00525432">
      <w:pPr>
        <w:autoSpaceDE w:val="0"/>
        <w:autoSpaceDN w:val="0"/>
        <w:adjustRightInd w:val="0"/>
        <w:rPr>
          <w:rFonts w:eastAsia="SimSun"/>
          <w:lang w:eastAsia="zh-CN"/>
        </w:rPr>
      </w:pPr>
    </w:p>
    <w:sectPr w:rsidR="00672825" w:rsidRPr="004F465E" w:rsidSect="00372B20">
      <w:footerReference w:type="default" r:id="rId7"/>
      <w:headerReference w:type="first" r:id="rId8"/>
      <w:pgSz w:w="12240" w:h="15840" w:code="1"/>
      <w:pgMar w:top="1259"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25" w:rsidRDefault="00672825" w:rsidP="005B3F29">
      <w:pPr>
        <w:spacing w:after="0" w:line="240" w:lineRule="auto"/>
      </w:pPr>
      <w:r>
        <w:separator/>
      </w:r>
    </w:p>
  </w:endnote>
  <w:endnote w:type="continuationSeparator" w:id="0">
    <w:p w:rsidR="00672825" w:rsidRDefault="00672825" w:rsidP="005B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Ps2OcuAe"/>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25" w:rsidRPr="005B3F29" w:rsidRDefault="00672825" w:rsidP="0024315A">
    <w:pPr>
      <w:pStyle w:val="Footer"/>
      <w:tabs>
        <w:tab w:val="clear" w:pos="9360"/>
      </w:tabs>
      <w:rPr>
        <w:i/>
      </w:rPr>
    </w:pPr>
    <w:r>
      <w:tab/>
    </w:r>
    <w:r>
      <w:tab/>
    </w:r>
    <w:r>
      <w:tab/>
    </w:r>
    <w:r>
      <w:tab/>
    </w:r>
    <w:r>
      <w:tab/>
    </w:r>
  </w:p>
  <w:p w:rsidR="00672825" w:rsidRPr="005B3F29" w:rsidRDefault="00672825" w:rsidP="0024315A">
    <w:pPr>
      <w:pStyle w:val="Footer"/>
      <w:tabs>
        <w:tab w:val="left" w:pos="8070"/>
      </w:tabs>
      <w:rPr>
        <w:i/>
      </w:rPr>
    </w:pPr>
    <w:r>
      <w:rPr>
        <w:i/>
      </w:rPr>
      <w:tab/>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25" w:rsidRDefault="00672825" w:rsidP="005B3F29">
      <w:pPr>
        <w:spacing w:after="0" w:line="240" w:lineRule="auto"/>
      </w:pPr>
      <w:r>
        <w:separator/>
      </w:r>
    </w:p>
  </w:footnote>
  <w:footnote w:type="continuationSeparator" w:id="0">
    <w:p w:rsidR="00672825" w:rsidRDefault="00672825" w:rsidP="005B3F29">
      <w:pPr>
        <w:spacing w:after="0" w:line="240" w:lineRule="auto"/>
      </w:pPr>
      <w:r>
        <w:continuationSeparator/>
      </w:r>
    </w:p>
  </w:footnote>
  <w:footnote w:id="1">
    <w:p w:rsidR="00672825" w:rsidRDefault="00672825" w:rsidP="00981CCD">
      <w:pPr>
        <w:spacing w:after="0"/>
        <w:jc w:val="both"/>
      </w:pPr>
      <w:r>
        <w:rPr>
          <w:rStyle w:val="FootnoteReference"/>
        </w:rPr>
        <w:footnoteRef/>
      </w:r>
      <w:r>
        <w:t xml:space="preserve"> </w:t>
      </w:r>
      <w:r w:rsidRPr="00D232EC">
        <w:rPr>
          <w:rFonts w:ascii="Arial Narrow" w:eastAsia="SimSun" w:hAnsi="Arial Narrow" w:cs="Arial"/>
          <w:color w:val="0000FF"/>
          <w:sz w:val="20"/>
          <w:szCs w:val="20"/>
          <w:lang w:val="en-GB" w:eastAsia="zh-CN"/>
        </w:rPr>
        <w:t xml:space="preserve">Addressing capacity building at the country level may be the best way to affect real change and to ensure a coordinated approach to assessments when a crisis hits.  CASPAR preparedness missions therefore do not only serve to agree on tools and procedures, but also to educate stakeholders and build coordinated assessment capacity at the field level. The CASPAR Mission to </w:t>
      </w:r>
      <w:smartTag w:uri="urn:schemas-microsoft-com:office:smarttags" w:element="country-region">
        <w:smartTag w:uri="urn:schemas-microsoft-com:office:smarttags" w:element="place">
          <w:r w:rsidRPr="00D232EC">
            <w:rPr>
              <w:rFonts w:ascii="Arial Narrow" w:eastAsia="SimSun" w:hAnsi="Arial Narrow" w:cs="Arial"/>
              <w:color w:val="0000FF"/>
              <w:sz w:val="20"/>
              <w:szCs w:val="20"/>
              <w:lang w:val="en-GB" w:eastAsia="zh-CN"/>
            </w:rPr>
            <w:t>Mongolia</w:t>
          </w:r>
        </w:smartTag>
      </w:smartTag>
      <w:r w:rsidRPr="00D232EC">
        <w:rPr>
          <w:rFonts w:ascii="Arial Narrow" w:eastAsia="SimSun" w:hAnsi="Arial Narrow" w:cs="Arial"/>
          <w:color w:val="0000FF"/>
          <w:sz w:val="20"/>
          <w:szCs w:val="20"/>
          <w:lang w:val="en-GB" w:eastAsia="zh-CN"/>
        </w:rPr>
        <w:t xml:space="preserve"> emphasised this very point – noting the “high value of using the holistic coordinated assessment process as an educational tool for stakeholders”.</w:t>
      </w:r>
      <w:r w:rsidRPr="00981CCD">
        <w:rPr>
          <w:rFonts w:ascii="Trebuchet MS" w:eastAsia="SimSun" w:hAnsi="Trebuchet MS" w:cs="Arial"/>
          <w:color w:val="0000FF"/>
          <w:sz w:val="20"/>
          <w:szCs w:val="20"/>
          <w:lang w:val="en-GB" w:eastAsia="zh-C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25" w:rsidRDefault="0067282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25pt;height:44.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AF2"/>
    <w:multiLevelType w:val="hybridMultilevel"/>
    <w:tmpl w:val="51269352"/>
    <w:lvl w:ilvl="0" w:tplc="B81C7D66">
      <w:start w:val="4"/>
      <w:numFmt w:val="decimal"/>
      <w:lvlText w:val="%1."/>
      <w:lvlJc w:val="left"/>
      <w:pPr>
        <w:tabs>
          <w:tab w:val="num" w:pos="720"/>
        </w:tabs>
        <w:ind w:left="720" w:hanging="360"/>
      </w:pPr>
      <w:rPr>
        <w:rFonts w:cs="Times New Roman" w:hint="default"/>
        <w:i/>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2C5433"/>
    <w:multiLevelType w:val="hybridMultilevel"/>
    <w:tmpl w:val="62CEF922"/>
    <w:lvl w:ilvl="0" w:tplc="A53EA39E">
      <w:numFmt w:val="bullet"/>
      <w:lvlText w:val="-"/>
      <w:lvlJc w:val="left"/>
      <w:pPr>
        <w:tabs>
          <w:tab w:val="num" w:pos="720"/>
        </w:tabs>
        <w:ind w:left="720" w:hanging="360"/>
      </w:pPr>
      <w:rPr>
        <w:rFonts w:ascii="Times New Roman" w:eastAsia="PMingLiU"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7A2E26"/>
    <w:multiLevelType w:val="hybridMultilevel"/>
    <w:tmpl w:val="16BC8FD6"/>
    <w:lvl w:ilvl="0" w:tplc="7AD855E8">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0A16F0"/>
    <w:multiLevelType w:val="hybridMultilevel"/>
    <w:tmpl w:val="665EB7CA"/>
    <w:lvl w:ilvl="0" w:tplc="0D18A7AE">
      <w:start w:val="1"/>
      <w:numFmt w:val="bullet"/>
      <w:lvlText w:val=""/>
      <w:lvlJc w:val="left"/>
      <w:pPr>
        <w:tabs>
          <w:tab w:val="num" w:pos="900"/>
        </w:tabs>
        <w:ind w:left="900" w:hanging="900"/>
      </w:pPr>
      <w:rPr>
        <w:rFonts w:ascii="Wingdings" w:eastAsia="SimSun"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154A6F"/>
    <w:multiLevelType w:val="hybridMultilevel"/>
    <w:tmpl w:val="93943270"/>
    <w:lvl w:ilvl="0" w:tplc="EE44346A">
      <w:start w:val="2"/>
      <w:numFmt w:val="bullet"/>
      <w:lvlText w:val="-"/>
      <w:lvlJc w:val="left"/>
      <w:pPr>
        <w:tabs>
          <w:tab w:val="num" w:pos="720"/>
        </w:tabs>
        <w:ind w:left="720" w:hanging="360"/>
      </w:pPr>
      <w:rPr>
        <w:rFonts w:ascii="Trebuchet MS" w:eastAsia="SimSun"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D60BE"/>
    <w:multiLevelType w:val="hybridMultilevel"/>
    <w:tmpl w:val="4554FEC8"/>
    <w:lvl w:ilvl="0" w:tplc="EE44346A">
      <w:start w:val="2"/>
      <w:numFmt w:val="bullet"/>
      <w:lvlText w:val="-"/>
      <w:lvlJc w:val="left"/>
      <w:pPr>
        <w:tabs>
          <w:tab w:val="num" w:pos="720"/>
        </w:tabs>
        <w:ind w:left="720" w:hanging="360"/>
      </w:pPr>
      <w:rPr>
        <w:rFonts w:ascii="Trebuchet MS" w:eastAsia="SimSun"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696959"/>
    <w:multiLevelType w:val="hybridMultilevel"/>
    <w:tmpl w:val="2324A6FC"/>
    <w:lvl w:ilvl="0" w:tplc="02860AAE">
      <w:numFmt w:val="bullet"/>
      <w:lvlText w:val=""/>
      <w:lvlJc w:val="left"/>
      <w:pPr>
        <w:tabs>
          <w:tab w:val="num" w:pos="720"/>
        </w:tabs>
        <w:ind w:left="720" w:hanging="360"/>
      </w:pPr>
      <w:rPr>
        <w:rFonts w:ascii="Wingdings" w:eastAsia="PMingLiU"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45D59"/>
    <w:multiLevelType w:val="hybridMultilevel"/>
    <w:tmpl w:val="E33C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419027F"/>
    <w:multiLevelType w:val="hybridMultilevel"/>
    <w:tmpl w:val="15E686DE"/>
    <w:lvl w:ilvl="0" w:tplc="EE44346A">
      <w:start w:val="2"/>
      <w:numFmt w:val="bullet"/>
      <w:lvlText w:val="-"/>
      <w:lvlJc w:val="left"/>
      <w:pPr>
        <w:tabs>
          <w:tab w:val="num" w:pos="720"/>
        </w:tabs>
        <w:ind w:left="720" w:hanging="360"/>
      </w:pPr>
      <w:rPr>
        <w:rFonts w:ascii="Trebuchet MS" w:eastAsia="SimSun" w:hAnsi="Trebuchet M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25861"/>
    <w:multiLevelType w:val="hybridMultilevel"/>
    <w:tmpl w:val="A36E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D634D"/>
    <w:multiLevelType w:val="hybridMultilevel"/>
    <w:tmpl w:val="DCFAF638"/>
    <w:lvl w:ilvl="0" w:tplc="6A8AA57A">
      <w:start w:val="3"/>
      <w:numFmt w:val="decimal"/>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700221"/>
    <w:multiLevelType w:val="hybridMultilevel"/>
    <w:tmpl w:val="3CACE2E6"/>
    <w:lvl w:ilvl="0" w:tplc="B650922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BD45E9"/>
    <w:multiLevelType w:val="hybridMultilevel"/>
    <w:tmpl w:val="337EF42C"/>
    <w:lvl w:ilvl="0" w:tplc="1D1030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C6D336E"/>
    <w:multiLevelType w:val="hybridMultilevel"/>
    <w:tmpl w:val="713A32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13"/>
  </w:num>
  <w:num w:numId="6">
    <w:abstractNumId w:val="12"/>
  </w:num>
  <w:num w:numId="7">
    <w:abstractNumId w:val="3"/>
  </w:num>
  <w:num w:numId="8">
    <w:abstractNumId w:val="7"/>
  </w:num>
  <w:num w:numId="9">
    <w:abstractNumId w:val="8"/>
  </w:num>
  <w:num w:numId="10">
    <w:abstractNumId w:val="4"/>
  </w:num>
  <w:num w:numId="11">
    <w:abstractNumId w:val="5"/>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B0D"/>
    <w:rsid w:val="000016D1"/>
    <w:rsid w:val="00036515"/>
    <w:rsid w:val="000A4258"/>
    <w:rsid w:val="00135C5A"/>
    <w:rsid w:val="001459EC"/>
    <w:rsid w:val="0017594F"/>
    <w:rsid w:val="001D0782"/>
    <w:rsid w:val="00210B3B"/>
    <w:rsid w:val="00216AA1"/>
    <w:rsid w:val="0024315A"/>
    <w:rsid w:val="00254EB2"/>
    <w:rsid w:val="00267628"/>
    <w:rsid w:val="002908E0"/>
    <w:rsid w:val="002D170F"/>
    <w:rsid w:val="002E36DE"/>
    <w:rsid w:val="00330667"/>
    <w:rsid w:val="00372B20"/>
    <w:rsid w:val="00386269"/>
    <w:rsid w:val="00391B2D"/>
    <w:rsid w:val="003968A5"/>
    <w:rsid w:val="00436184"/>
    <w:rsid w:val="004F465E"/>
    <w:rsid w:val="00512788"/>
    <w:rsid w:val="005175DF"/>
    <w:rsid w:val="00525432"/>
    <w:rsid w:val="0054460A"/>
    <w:rsid w:val="00560810"/>
    <w:rsid w:val="005612E8"/>
    <w:rsid w:val="005A52B8"/>
    <w:rsid w:val="005B3F29"/>
    <w:rsid w:val="00620ACF"/>
    <w:rsid w:val="00657D01"/>
    <w:rsid w:val="00672825"/>
    <w:rsid w:val="00674F9D"/>
    <w:rsid w:val="006B58B8"/>
    <w:rsid w:val="006C1979"/>
    <w:rsid w:val="006F06A3"/>
    <w:rsid w:val="00705A7D"/>
    <w:rsid w:val="0071430D"/>
    <w:rsid w:val="007D6E46"/>
    <w:rsid w:val="0083332F"/>
    <w:rsid w:val="008670DF"/>
    <w:rsid w:val="009143AE"/>
    <w:rsid w:val="00915D08"/>
    <w:rsid w:val="00927B53"/>
    <w:rsid w:val="00981CCD"/>
    <w:rsid w:val="00981DF5"/>
    <w:rsid w:val="00995B97"/>
    <w:rsid w:val="009A3051"/>
    <w:rsid w:val="009B451A"/>
    <w:rsid w:val="009C786B"/>
    <w:rsid w:val="00A64EE7"/>
    <w:rsid w:val="00A650EA"/>
    <w:rsid w:val="00A9665A"/>
    <w:rsid w:val="00A97911"/>
    <w:rsid w:val="00AA71A3"/>
    <w:rsid w:val="00B50A75"/>
    <w:rsid w:val="00BA616C"/>
    <w:rsid w:val="00BB3E9D"/>
    <w:rsid w:val="00BC5659"/>
    <w:rsid w:val="00BC7F5A"/>
    <w:rsid w:val="00BD2869"/>
    <w:rsid w:val="00C61CFF"/>
    <w:rsid w:val="00C62CAB"/>
    <w:rsid w:val="00CD290D"/>
    <w:rsid w:val="00D13879"/>
    <w:rsid w:val="00D232EC"/>
    <w:rsid w:val="00D87274"/>
    <w:rsid w:val="00D95B0D"/>
    <w:rsid w:val="00DF391A"/>
    <w:rsid w:val="00DF75BB"/>
    <w:rsid w:val="00E0423C"/>
    <w:rsid w:val="00E12819"/>
    <w:rsid w:val="00E31D98"/>
    <w:rsid w:val="00E73782"/>
    <w:rsid w:val="00EC4C58"/>
    <w:rsid w:val="00ED1263"/>
    <w:rsid w:val="00F2369A"/>
    <w:rsid w:val="00F56244"/>
    <w:rsid w:val="00F61AD3"/>
    <w:rsid w:val="00F83BA2"/>
    <w:rsid w:val="00F9049E"/>
    <w:rsid w:val="00FB7CB7"/>
    <w:rsid w:val="00FC5F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D08"/>
    <w:pPr>
      <w:ind w:left="720"/>
      <w:contextualSpacing/>
    </w:pPr>
  </w:style>
  <w:style w:type="paragraph" w:styleId="Header">
    <w:name w:val="header"/>
    <w:basedOn w:val="Normal"/>
    <w:link w:val="HeaderChar"/>
    <w:uiPriority w:val="99"/>
    <w:semiHidden/>
    <w:rsid w:val="005B3F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B3F29"/>
    <w:rPr>
      <w:rFonts w:cs="Times New Roman"/>
    </w:rPr>
  </w:style>
  <w:style w:type="paragraph" w:styleId="Footer">
    <w:name w:val="footer"/>
    <w:basedOn w:val="Normal"/>
    <w:link w:val="FooterChar"/>
    <w:uiPriority w:val="99"/>
    <w:rsid w:val="005B3F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3F29"/>
    <w:rPr>
      <w:rFonts w:cs="Times New Roman"/>
    </w:rPr>
  </w:style>
  <w:style w:type="paragraph" w:styleId="BalloonText">
    <w:name w:val="Balloon Text"/>
    <w:basedOn w:val="Normal"/>
    <w:link w:val="BalloonTextChar"/>
    <w:uiPriority w:val="99"/>
    <w:semiHidden/>
    <w:rsid w:val="005B3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F29"/>
    <w:rPr>
      <w:rFonts w:ascii="Tahoma" w:hAnsi="Tahoma" w:cs="Tahoma"/>
      <w:sz w:val="16"/>
      <w:szCs w:val="16"/>
    </w:rPr>
  </w:style>
  <w:style w:type="character" w:styleId="CommentReference">
    <w:name w:val="annotation reference"/>
    <w:basedOn w:val="DefaultParagraphFont"/>
    <w:uiPriority w:val="99"/>
    <w:semiHidden/>
    <w:rsid w:val="00436184"/>
    <w:rPr>
      <w:rFonts w:cs="Times New Roman"/>
      <w:sz w:val="16"/>
      <w:szCs w:val="16"/>
    </w:rPr>
  </w:style>
  <w:style w:type="paragraph" w:styleId="CommentText">
    <w:name w:val="annotation text"/>
    <w:basedOn w:val="Normal"/>
    <w:link w:val="CommentTextChar"/>
    <w:uiPriority w:val="99"/>
    <w:semiHidden/>
    <w:rsid w:val="00436184"/>
    <w:rPr>
      <w:sz w:val="20"/>
      <w:szCs w:val="20"/>
    </w:rPr>
  </w:style>
  <w:style w:type="character" w:customStyle="1" w:styleId="CommentTextChar">
    <w:name w:val="Comment Text Char"/>
    <w:basedOn w:val="DefaultParagraphFont"/>
    <w:link w:val="CommentText"/>
    <w:uiPriority w:val="99"/>
    <w:semiHidden/>
    <w:locked/>
    <w:rsid w:val="006F06A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36184"/>
    <w:rPr>
      <w:b/>
      <w:bCs/>
    </w:rPr>
  </w:style>
  <w:style w:type="character" w:customStyle="1" w:styleId="CommentSubjectChar">
    <w:name w:val="Comment Subject Char"/>
    <w:basedOn w:val="CommentTextChar"/>
    <w:link w:val="CommentSubject"/>
    <w:uiPriority w:val="99"/>
    <w:semiHidden/>
    <w:locked/>
    <w:rsid w:val="006F06A3"/>
    <w:rPr>
      <w:b/>
      <w:bCs/>
    </w:rPr>
  </w:style>
  <w:style w:type="paragraph" w:customStyle="1" w:styleId="NormalWeb1">
    <w:name w:val="Normal (Web)1"/>
    <w:basedOn w:val="Normal"/>
    <w:uiPriority w:val="99"/>
    <w:rsid w:val="00ED1263"/>
    <w:pPr>
      <w:autoSpaceDE w:val="0"/>
      <w:autoSpaceDN w:val="0"/>
      <w:spacing w:before="100" w:after="100" w:line="240" w:lineRule="auto"/>
    </w:pPr>
    <w:rPr>
      <w:rFonts w:ascii="Times New Roman" w:eastAsia="PMingLiU" w:hAnsi="Times New Roman"/>
      <w:sz w:val="20"/>
      <w:szCs w:val="20"/>
      <w:lang w:val="en-GB"/>
    </w:rPr>
  </w:style>
  <w:style w:type="table" w:styleId="TableGrid">
    <w:name w:val="Table Grid"/>
    <w:basedOn w:val="TableNormal"/>
    <w:uiPriority w:val="99"/>
    <w:locked/>
    <w:rsid w:val="0054460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81CC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981C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741</Words>
  <Characters>4226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(IASC) Needs Assessment Task Force (NATF)</dc:title>
  <dc:subject/>
  <dc:creator>Kimberly Lietz</dc:creator>
  <cp:keywords/>
  <dc:description/>
  <cp:lastModifiedBy>sequi</cp:lastModifiedBy>
  <cp:revision>2</cp:revision>
  <cp:lastPrinted>2011-06-13T13:25:00Z</cp:lastPrinted>
  <dcterms:created xsi:type="dcterms:W3CDTF">2011-06-13T15:47:00Z</dcterms:created>
  <dcterms:modified xsi:type="dcterms:W3CDTF">2011-06-13T15:47:00Z</dcterms:modified>
</cp:coreProperties>
</file>