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Ind w:w="-702" w:type="dxa"/>
        <w:tblLook w:val="00A0"/>
      </w:tblPr>
      <w:tblGrid>
        <w:gridCol w:w="2180"/>
        <w:gridCol w:w="3040"/>
        <w:gridCol w:w="2680"/>
        <w:gridCol w:w="1280"/>
        <w:gridCol w:w="1140"/>
        <w:gridCol w:w="1080"/>
      </w:tblGrid>
      <w:tr w:rsidR="00FF24B5" w:rsidRPr="00F73954" w:rsidTr="00D47BAC">
        <w:trPr>
          <w:trHeight w:val="525"/>
        </w:trPr>
        <w:tc>
          <w:tcPr>
            <w:tcW w:w="5220" w:type="dxa"/>
            <w:gridSpan w:val="2"/>
          </w:tcPr>
          <w:p w:rsidR="00FF24B5" w:rsidRDefault="00FF24B5" w:rsidP="00D47BAC">
            <w:pPr>
              <w:spacing w:line="240" w:lineRule="auto"/>
              <w:rPr>
                <w:rFonts w:ascii="Calibri" w:hAnsi="Calibri"/>
                <w:b/>
                <w:bCs/>
                <w:color w:val="000000"/>
                <w:lang w:val="en-US"/>
              </w:rPr>
            </w:pPr>
            <w:r w:rsidRPr="00D47BAC">
              <w:rPr>
                <w:rFonts w:ascii="Calibri" w:hAnsi="Calibri"/>
                <w:b/>
                <w:bCs/>
                <w:color w:val="000000"/>
                <w:lang w:val="en-US"/>
              </w:rPr>
              <w:t xml:space="preserve">Implementation Stage 1 </w:t>
            </w:r>
            <w:r>
              <w:rPr>
                <w:rFonts w:ascii="Calibri" w:hAnsi="Calibri"/>
                <w:b/>
                <w:bCs/>
                <w:color w:val="000000"/>
                <w:lang w:val="en-US"/>
              </w:rPr>
              <w:t>–</w:t>
            </w:r>
            <w:r w:rsidRPr="00D47BAC">
              <w:rPr>
                <w:rFonts w:ascii="Calibri" w:hAnsi="Calibri"/>
                <w:b/>
                <w:bCs/>
                <w:color w:val="000000"/>
                <w:lang w:val="en-US"/>
              </w:rPr>
              <w:t xml:space="preserve"> 2010</w:t>
            </w:r>
          </w:p>
          <w:p w:rsidR="00FF24B5" w:rsidRDefault="00FF24B5" w:rsidP="00D47BAC">
            <w:pPr>
              <w:spacing w:line="240" w:lineRule="auto"/>
              <w:rPr>
                <w:rFonts w:ascii="Calibri" w:hAnsi="Calibri"/>
                <w:b/>
                <w:bCs/>
                <w:color w:val="000000"/>
                <w:lang w:val="en-US"/>
              </w:rPr>
            </w:pPr>
          </w:p>
          <w:p w:rsidR="00FF24B5" w:rsidRDefault="00FF24B5" w:rsidP="00D47BAC">
            <w:pPr>
              <w:spacing w:line="240" w:lineRule="auto"/>
              <w:rPr>
                <w:rFonts w:ascii="Calibri" w:hAnsi="Calibri"/>
                <w:b/>
                <w:bCs/>
                <w:color w:val="000000"/>
                <w:lang w:val="en-US"/>
              </w:rPr>
            </w:pPr>
          </w:p>
          <w:p w:rsidR="00FF24B5" w:rsidRPr="00D47BAC" w:rsidRDefault="00FF24B5" w:rsidP="00D47BAC">
            <w:pPr>
              <w:spacing w:line="240" w:lineRule="auto"/>
              <w:rPr>
                <w:rFonts w:ascii="Calibri" w:hAnsi="Calibri"/>
                <w:b/>
                <w:bCs/>
                <w:color w:val="000000"/>
                <w:lang w:val="en-US"/>
              </w:rPr>
            </w:pPr>
          </w:p>
        </w:tc>
        <w:tc>
          <w:tcPr>
            <w:tcW w:w="2680" w:type="dxa"/>
            <w:noWrap/>
            <w:vAlign w:val="bottom"/>
          </w:tcPr>
          <w:p w:rsidR="00FF24B5" w:rsidRPr="00D47BAC" w:rsidRDefault="00FF24B5" w:rsidP="00D47BAC">
            <w:pPr>
              <w:spacing w:line="240" w:lineRule="auto"/>
              <w:rPr>
                <w:color w:val="000000"/>
                <w:lang w:val="en-US"/>
              </w:rPr>
            </w:pPr>
          </w:p>
        </w:tc>
        <w:tc>
          <w:tcPr>
            <w:tcW w:w="1280" w:type="dxa"/>
            <w:noWrap/>
            <w:vAlign w:val="bottom"/>
          </w:tcPr>
          <w:p w:rsidR="00FF24B5" w:rsidRPr="00D47BAC" w:rsidRDefault="00FF24B5" w:rsidP="00D47BAC">
            <w:pPr>
              <w:spacing w:line="240" w:lineRule="auto"/>
              <w:rPr>
                <w:color w:val="000000"/>
                <w:lang w:val="en-US"/>
              </w:rPr>
            </w:pPr>
          </w:p>
        </w:tc>
        <w:tc>
          <w:tcPr>
            <w:tcW w:w="1140" w:type="dxa"/>
            <w:noWrap/>
            <w:vAlign w:val="bottom"/>
          </w:tcPr>
          <w:p w:rsidR="00FF24B5" w:rsidRPr="00D47BAC" w:rsidRDefault="00FF24B5" w:rsidP="00D47BAC">
            <w:pPr>
              <w:spacing w:line="240" w:lineRule="auto"/>
              <w:rPr>
                <w:color w:val="000000"/>
                <w:lang w:val="en-US"/>
              </w:rPr>
            </w:pPr>
          </w:p>
        </w:tc>
        <w:tc>
          <w:tcPr>
            <w:tcW w:w="1080" w:type="dxa"/>
            <w:noWrap/>
            <w:vAlign w:val="bottom"/>
          </w:tcPr>
          <w:p w:rsidR="00FF24B5" w:rsidRPr="00D47BAC" w:rsidRDefault="00FF24B5" w:rsidP="00D47BAC">
            <w:pPr>
              <w:spacing w:line="240" w:lineRule="auto"/>
              <w:rPr>
                <w:color w:val="000000"/>
                <w:lang w:val="en-US"/>
              </w:rPr>
            </w:pPr>
          </w:p>
        </w:tc>
      </w:tr>
      <w:tr w:rsidR="00FF24B5" w:rsidRPr="00F73954" w:rsidTr="00D47BAC">
        <w:trPr>
          <w:trHeight w:val="525"/>
        </w:trPr>
        <w:tc>
          <w:tcPr>
            <w:tcW w:w="2180" w:type="dxa"/>
            <w:shd w:val="clear" w:color="000000" w:fill="FFFF00"/>
            <w:vAlign w:val="bottom"/>
          </w:tcPr>
          <w:p w:rsidR="00FF24B5" w:rsidRPr="00D47BAC" w:rsidRDefault="00FF24B5" w:rsidP="00D47BAC">
            <w:pPr>
              <w:spacing w:line="240" w:lineRule="auto"/>
              <w:rPr>
                <w:rFonts w:ascii="Calibri" w:hAnsi="Calibri"/>
                <w:b/>
                <w:bCs/>
                <w:color w:val="000000"/>
                <w:sz w:val="20"/>
                <w:szCs w:val="20"/>
                <w:lang w:val="en-US"/>
              </w:rPr>
            </w:pPr>
            <w:r w:rsidRPr="00D47BAC">
              <w:rPr>
                <w:rFonts w:ascii="Calibri" w:hAnsi="Calibri"/>
                <w:b/>
                <w:bCs/>
                <w:color w:val="000000"/>
                <w:sz w:val="20"/>
                <w:szCs w:val="20"/>
                <w:lang w:val="en-US"/>
              </w:rPr>
              <w:t xml:space="preserve">Priority Recommendation </w:t>
            </w:r>
          </w:p>
        </w:tc>
        <w:tc>
          <w:tcPr>
            <w:tcW w:w="3040" w:type="dxa"/>
            <w:shd w:val="clear" w:color="000000" w:fill="FFFF00"/>
            <w:vAlign w:val="bottom"/>
          </w:tcPr>
          <w:p w:rsidR="00FF24B5" w:rsidRPr="00D47BAC" w:rsidRDefault="00FF24B5" w:rsidP="00D47BAC">
            <w:pPr>
              <w:spacing w:line="240" w:lineRule="auto"/>
              <w:rPr>
                <w:rFonts w:ascii="Calibri" w:hAnsi="Calibri"/>
                <w:b/>
                <w:bCs/>
                <w:color w:val="000000"/>
                <w:sz w:val="20"/>
                <w:szCs w:val="20"/>
                <w:lang w:val="en-US"/>
              </w:rPr>
            </w:pPr>
            <w:r w:rsidRPr="00D47BAC">
              <w:rPr>
                <w:rFonts w:ascii="Calibri" w:hAnsi="Calibri"/>
                <w:b/>
                <w:bCs/>
                <w:color w:val="000000"/>
                <w:sz w:val="20"/>
                <w:szCs w:val="20"/>
                <w:lang w:val="en-US"/>
              </w:rPr>
              <w:t>Priority Action</w:t>
            </w:r>
          </w:p>
        </w:tc>
        <w:tc>
          <w:tcPr>
            <w:tcW w:w="2680" w:type="dxa"/>
            <w:shd w:val="clear" w:color="000000" w:fill="CCFF99"/>
            <w:vAlign w:val="bottom"/>
          </w:tcPr>
          <w:p w:rsidR="00FF24B5" w:rsidRPr="00D47BAC" w:rsidRDefault="00FF24B5" w:rsidP="00D47BAC">
            <w:pPr>
              <w:spacing w:line="240" w:lineRule="auto"/>
              <w:rPr>
                <w:rFonts w:ascii="Calibri" w:hAnsi="Calibri"/>
                <w:b/>
                <w:bCs/>
                <w:color w:val="000000"/>
                <w:sz w:val="20"/>
                <w:szCs w:val="20"/>
                <w:lang w:val="en-US"/>
              </w:rPr>
            </w:pPr>
            <w:r w:rsidRPr="00D47BAC">
              <w:rPr>
                <w:rFonts w:ascii="Calibri" w:hAnsi="Calibri"/>
                <w:b/>
                <w:bCs/>
                <w:color w:val="000000"/>
                <w:sz w:val="20"/>
                <w:szCs w:val="20"/>
                <w:lang w:val="en-US"/>
              </w:rPr>
              <w:t>Key Activities</w:t>
            </w:r>
          </w:p>
        </w:tc>
        <w:tc>
          <w:tcPr>
            <w:tcW w:w="1280" w:type="dxa"/>
            <w:shd w:val="clear" w:color="000000" w:fill="CCFF99"/>
            <w:vAlign w:val="bottom"/>
          </w:tcPr>
          <w:p w:rsidR="00FF24B5" w:rsidRPr="00D47BAC" w:rsidRDefault="00FF24B5" w:rsidP="00D47BAC">
            <w:pPr>
              <w:spacing w:line="240" w:lineRule="auto"/>
              <w:rPr>
                <w:rFonts w:ascii="Calibri" w:hAnsi="Calibri"/>
                <w:b/>
                <w:bCs/>
                <w:color w:val="000000"/>
                <w:sz w:val="20"/>
                <w:szCs w:val="20"/>
                <w:lang w:val="en-US"/>
              </w:rPr>
            </w:pPr>
            <w:r w:rsidRPr="00D47BAC">
              <w:rPr>
                <w:rFonts w:ascii="Calibri" w:hAnsi="Calibri"/>
                <w:b/>
                <w:bCs/>
                <w:color w:val="000000"/>
                <w:sz w:val="20"/>
                <w:szCs w:val="20"/>
                <w:lang w:val="en-US"/>
              </w:rPr>
              <w:t>By whom</w:t>
            </w:r>
          </w:p>
        </w:tc>
        <w:tc>
          <w:tcPr>
            <w:tcW w:w="1140" w:type="dxa"/>
            <w:shd w:val="clear" w:color="000000" w:fill="CCFF99"/>
            <w:vAlign w:val="bottom"/>
          </w:tcPr>
          <w:p w:rsidR="00FF24B5" w:rsidRPr="00D47BAC" w:rsidRDefault="00FF24B5" w:rsidP="00D47BAC">
            <w:pPr>
              <w:spacing w:line="240" w:lineRule="auto"/>
              <w:rPr>
                <w:rFonts w:ascii="Calibri" w:hAnsi="Calibri"/>
                <w:b/>
                <w:bCs/>
                <w:color w:val="000000"/>
                <w:sz w:val="20"/>
                <w:szCs w:val="20"/>
                <w:lang w:val="en-US"/>
              </w:rPr>
            </w:pPr>
            <w:r w:rsidRPr="00D47BAC">
              <w:rPr>
                <w:rFonts w:ascii="Calibri" w:hAnsi="Calibri"/>
                <w:b/>
                <w:bCs/>
                <w:color w:val="000000"/>
                <w:sz w:val="20"/>
                <w:szCs w:val="20"/>
                <w:lang w:val="en-US"/>
              </w:rPr>
              <w:t>Timeline</w:t>
            </w:r>
          </w:p>
        </w:tc>
        <w:tc>
          <w:tcPr>
            <w:tcW w:w="1080" w:type="dxa"/>
            <w:noWrap/>
            <w:vAlign w:val="bottom"/>
          </w:tcPr>
          <w:p w:rsidR="00FF24B5" w:rsidRPr="00D47BAC" w:rsidRDefault="00FF24B5" w:rsidP="00D47BAC">
            <w:pPr>
              <w:spacing w:line="240" w:lineRule="auto"/>
              <w:rPr>
                <w:b/>
                <w:bCs/>
                <w:color w:val="000000"/>
                <w:lang w:val="en-US"/>
              </w:rPr>
            </w:pPr>
          </w:p>
        </w:tc>
      </w:tr>
      <w:tr w:rsidR="00FF24B5" w:rsidRPr="00F73954" w:rsidTr="00D47BAC">
        <w:trPr>
          <w:trHeight w:val="2685"/>
        </w:trPr>
        <w:tc>
          <w:tcPr>
            <w:tcW w:w="2180" w:type="dxa"/>
          </w:tcPr>
          <w:p w:rsidR="00FF24B5" w:rsidRPr="00D47BAC" w:rsidRDefault="00FF24B5" w:rsidP="00D47BAC">
            <w:pPr>
              <w:spacing w:line="240" w:lineRule="auto"/>
              <w:rPr>
                <w:rFonts w:ascii="Calibri" w:hAnsi="Calibri"/>
                <w:color w:val="000000"/>
                <w:sz w:val="20"/>
                <w:szCs w:val="20"/>
                <w:lang w:val="en-US"/>
              </w:rPr>
            </w:pPr>
            <w:r w:rsidRPr="00D47BAC">
              <w:rPr>
                <w:rFonts w:ascii="Calibri" w:hAnsi="Calibri"/>
                <w:color w:val="000000"/>
                <w:sz w:val="20"/>
                <w:szCs w:val="20"/>
                <w:lang w:val="en-US"/>
              </w:rPr>
              <w:t>Strategic programme approach</w:t>
            </w:r>
          </w:p>
        </w:tc>
        <w:tc>
          <w:tcPr>
            <w:tcW w:w="3040" w:type="dxa"/>
          </w:tcPr>
          <w:p w:rsidR="00FF24B5" w:rsidRPr="00D47BAC" w:rsidRDefault="00FF24B5" w:rsidP="00D47BAC">
            <w:pPr>
              <w:spacing w:line="240" w:lineRule="auto"/>
              <w:rPr>
                <w:rFonts w:ascii="Calibri" w:hAnsi="Calibri"/>
                <w:color w:val="000000"/>
                <w:sz w:val="20"/>
                <w:szCs w:val="20"/>
                <w:lang w:val="en-US"/>
              </w:rPr>
            </w:pPr>
            <w:r w:rsidRPr="00D47BAC">
              <w:rPr>
                <w:rFonts w:ascii="Calibri" w:hAnsi="Calibri"/>
                <w:color w:val="000000"/>
                <w:sz w:val="20"/>
                <w:szCs w:val="20"/>
                <w:lang w:val="en-US"/>
              </w:rPr>
              <w:t>Agencies and NGOs to discuss with OCHA and/or UNDP terms and conditions of contribution agreements for ERF and CHFs to solve issues such as short implementation periods, eligibility of expenditure, reporting burden. OCHA should  then issue guidelines on ERFs, HRFs, and CHFs</w:t>
            </w:r>
          </w:p>
        </w:tc>
        <w:tc>
          <w:tcPr>
            <w:tcW w:w="2680" w:type="dxa"/>
          </w:tcPr>
          <w:p w:rsidR="00FF24B5" w:rsidRPr="00D47BAC" w:rsidRDefault="00FF24B5" w:rsidP="00D47BAC">
            <w:pPr>
              <w:spacing w:line="240" w:lineRule="auto"/>
              <w:rPr>
                <w:rFonts w:ascii="Calibri" w:hAnsi="Calibri"/>
                <w:color w:val="000000"/>
                <w:sz w:val="20"/>
                <w:szCs w:val="20"/>
                <w:lang w:val="en-US"/>
              </w:rPr>
            </w:pPr>
            <w:r w:rsidRPr="00D47BAC">
              <w:rPr>
                <w:rFonts w:ascii="Calibri" w:hAnsi="Calibri"/>
                <w:color w:val="000000"/>
                <w:sz w:val="20"/>
                <w:szCs w:val="20"/>
                <w:lang w:val="en-US"/>
              </w:rPr>
              <w:t>1. Streamline financial reporting for CHF/ERFs</w:t>
            </w:r>
          </w:p>
        </w:tc>
        <w:tc>
          <w:tcPr>
            <w:tcW w:w="1280" w:type="dxa"/>
          </w:tcPr>
          <w:p w:rsidR="00FF24B5" w:rsidRPr="00D47BAC" w:rsidRDefault="00FF24B5" w:rsidP="00D47BAC">
            <w:pPr>
              <w:spacing w:line="240" w:lineRule="auto"/>
              <w:rPr>
                <w:rFonts w:ascii="Calibri" w:hAnsi="Calibri"/>
                <w:color w:val="000000"/>
                <w:sz w:val="20"/>
                <w:szCs w:val="20"/>
                <w:lang w:val="en-US"/>
              </w:rPr>
            </w:pPr>
            <w:r w:rsidRPr="00D47BAC">
              <w:rPr>
                <w:rFonts w:ascii="Calibri" w:hAnsi="Calibri"/>
                <w:color w:val="000000"/>
                <w:sz w:val="20"/>
                <w:szCs w:val="20"/>
                <w:lang w:val="en-US"/>
              </w:rPr>
              <w:t>OCHA plus 2-3 agency focal points</w:t>
            </w:r>
          </w:p>
        </w:tc>
        <w:tc>
          <w:tcPr>
            <w:tcW w:w="1140" w:type="dxa"/>
          </w:tcPr>
          <w:p w:rsidR="00FF24B5" w:rsidRPr="00D47BAC" w:rsidRDefault="00FF24B5" w:rsidP="00D47BAC">
            <w:pPr>
              <w:spacing w:line="240" w:lineRule="auto"/>
              <w:jc w:val="right"/>
              <w:rPr>
                <w:rFonts w:ascii="Calibri" w:hAnsi="Calibri"/>
                <w:color w:val="000000"/>
                <w:sz w:val="20"/>
                <w:szCs w:val="20"/>
                <w:lang w:val="en-US"/>
              </w:rPr>
            </w:pPr>
            <w:r w:rsidRPr="00D47BAC">
              <w:rPr>
                <w:rFonts w:ascii="Calibri" w:hAnsi="Calibri"/>
                <w:color w:val="000000"/>
                <w:sz w:val="20"/>
                <w:szCs w:val="20"/>
                <w:lang w:val="en-US"/>
              </w:rPr>
              <w:t>30-Nov-10</w:t>
            </w:r>
          </w:p>
        </w:tc>
        <w:tc>
          <w:tcPr>
            <w:tcW w:w="1080" w:type="dxa"/>
          </w:tcPr>
          <w:p w:rsidR="00FF24B5" w:rsidRPr="00D47BAC" w:rsidRDefault="00FF24B5" w:rsidP="00D47BAC">
            <w:pPr>
              <w:spacing w:line="240" w:lineRule="auto"/>
              <w:rPr>
                <w:rFonts w:ascii="Calibri" w:hAnsi="Calibri"/>
                <w:color w:val="000000"/>
                <w:sz w:val="20"/>
                <w:szCs w:val="20"/>
                <w:lang w:val="en-US"/>
              </w:rPr>
            </w:pPr>
          </w:p>
        </w:tc>
      </w:tr>
      <w:tr w:rsidR="00FF24B5" w:rsidRPr="00F73954" w:rsidTr="00D47BAC">
        <w:trPr>
          <w:trHeight w:val="1020"/>
        </w:trPr>
        <w:tc>
          <w:tcPr>
            <w:tcW w:w="2180" w:type="dxa"/>
            <w:noWrap/>
            <w:vAlign w:val="bottom"/>
          </w:tcPr>
          <w:p w:rsidR="00FF24B5" w:rsidRPr="00D47BAC" w:rsidRDefault="00FF24B5" w:rsidP="00D47BAC">
            <w:pPr>
              <w:spacing w:line="240" w:lineRule="auto"/>
              <w:rPr>
                <w:color w:val="000000"/>
                <w:lang w:val="en-US"/>
              </w:rPr>
            </w:pPr>
          </w:p>
        </w:tc>
        <w:tc>
          <w:tcPr>
            <w:tcW w:w="3040" w:type="dxa"/>
          </w:tcPr>
          <w:p w:rsidR="00FF24B5" w:rsidRPr="00D47BAC" w:rsidRDefault="00FF24B5" w:rsidP="00D47BAC">
            <w:pPr>
              <w:spacing w:line="240" w:lineRule="auto"/>
              <w:rPr>
                <w:rFonts w:ascii="Calibri" w:hAnsi="Calibri"/>
                <w:color w:val="000000"/>
                <w:sz w:val="20"/>
                <w:szCs w:val="20"/>
                <w:lang w:val="en-US"/>
              </w:rPr>
            </w:pPr>
          </w:p>
        </w:tc>
        <w:tc>
          <w:tcPr>
            <w:tcW w:w="2680" w:type="dxa"/>
          </w:tcPr>
          <w:p w:rsidR="00FF24B5" w:rsidRPr="00D47BAC" w:rsidRDefault="00FF24B5" w:rsidP="00D47BAC">
            <w:pPr>
              <w:spacing w:line="240" w:lineRule="auto"/>
              <w:rPr>
                <w:rFonts w:ascii="Calibri" w:hAnsi="Calibri"/>
                <w:color w:val="000000"/>
                <w:sz w:val="20"/>
                <w:szCs w:val="20"/>
                <w:lang w:val="en-US"/>
              </w:rPr>
            </w:pPr>
            <w:r w:rsidRPr="00D47BAC">
              <w:rPr>
                <w:rFonts w:ascii="Calibri" w:hAnsi="Calibri"/>
                <w:color w:val="000000"/>
                <w:sz w:val="20"/>
                <w:szCs w:val="20"/>
                <w:lang w:val="en-US"/>
              </w:rPr>
              <w:t>2. Develop and agree on standard agreement for ERF</w:t>
            </w:r>
          </w:p>
        </w:tc>
        <w:tc>
          <w:tcPr>
            <w:tcW w:w="1280" w:type="dxa"/>
          </w:tcPr>
          <w:p w:rsidR="00FF24B5" w:rsidRPr="00D47BAC" w:rsidRDefault="00FF24B5" w:rsidP="00D47BAC">
            <w:pPr>
              <w:spacing w:line="240" w:lineRule="auto"/>
              <w:rPr>
                <w:rFonts w:ascii="Calibri" w:hAnsi="Calibri"/>
                <w:color w:val="000000"/>
                <w:sz w:val="20"/>
                <w:szCs w:val="20"/>
                <w:lang w:val="en-US"/>
              </w:rPr>
            </w:pPr>
            <w:r w:rsidRPr="00D47BAC">
              <w:rPr>
                <w:rFonts w:ascii="Calibri" w:hAnsi="Calibri"/>
                <w:color w:val="000000"/>
                <w:sz w:val="20"/>
                <w:szCs w:val="20"/>
                <w:lang w:val="en-US"/>
              </w:rPr>
              <w:t>OCHA plus 2-3 agency focal points</w:t>
            </w:r>
          </w:p>
        </w:tc>
        <w:tc>
          <w:tcPr>
            <w:tcW w:w="1140" w:type="dxa"/>
          </w:tcPr>
          <w:p w:rsidR="00FF24B5" w:rsidRPr="00D47BAC" w:rsidRDefault="00FF24B5" w:rsidP="00D47BAC">
            <w:pPr>
              <w:spacing w:line="240" w:lineRule="auto"/>
              <w:jc w:val="right"/>
              <w:rPr>
                <w:rFonts w:ascii="Calibri" w:hAnsi="Calibri"/>
                <w:color w:val="000000"/>
                <w:sz w:val="20"/>
                <w:szCs w:val="20"/>
                <w:lang w:val="en-US"/>
              </w:rPr>
            </w:pPr>
            <w:r w:rsidRPr="00D47BAC">
              <w:rPr>
                <w:rFonts w:ascii="Calibri" w:hAnsi="Calibri"/>
                <w:color w:val="000000"/>
                <w:sz w:val="20"/>
                <w:szCs w:val="20"/>
                <w:lang w:val="en-US"/>
              </w:rPr>
              <w:t>30-Nov-10</w:t>
            </w:r>
          </w:p>
        </w:tc>
        <w:tc>
          <w:tcPr>
            <w:tcW w:w="1080" w:type="dxa"/>
          </w:tcPr>
          <w:p w:rsidR="00FF24B5" w:rsidRPr="00D47BAC" w:rsidRDefault="00FF24B5" w:rsidP="00D47BAC">
            <w:pPr>
              <w:spacing w:line="240" w:lineRule="auto"/>
              <w:rPr>
                <w:rFonts w:ascii="Calibri" w:hAnsi="Calibri"/>
                <w:color w:val="000000"/>
                <w:sz w:val="20"/>
                <w:szCs w:val="20"/>
                <w:lang w:val="en-US"/>
              </w:rPr>
            </w:pPr>
          </w:p>
        </w:tc>
      </w:tr>
      <w:tr w:rsidR="00FF24B5" w:rsidRPr="00F73954" w:rsidTr="00D47BAC">
        <w:trPr>
          <w:trHeight w:val="1020"/>
        </w:trPr>
        <w:tc>
          <w:tcPr>
            <w:tcW w:w="2180" w:type="dxa"/>
            <w:noWrap/>
            <w:vAlign w:val="bottom"/>
          </w:tcPr>
          <w:p w:rsidR="00FF24B5" w:rsidRPr="00D47BAC" w:rsidRDefault="00FF24B5" w:rsidP="00D47BAC">
            <w:pPr>
              <w:spacing w:line="240" w:lineRule="auto"/>
              <w:rPr>
                <w:color w:val="000000"/>
                <w:lang w:val="en-US"/>
              </w:rPr>
            </w:pPr>
          </w:p>
        </w:tc>
        <w:tc>
          <w:tcPr>
            <w:tcW w:w="3040" w:type="dxa"/>
            <w:noWrap/>
            <w:vAlign w:val="bottom"/>
          </w:tcPr>
          <w:p w:rsidR="00FF24B5" w:rsidRPr="00D47BAC" w:rsidRDefault="00FF24B5" w:rsidP="00D47BAC">
            <w:pPr>
              <w:spacing w:line="240" w:lineRule="auto"/>
              <w:rPr>
                <w:rFonts w:ascii="Calibri" w:hAnsi="Calibri"/>
                <w:color w:val="000000"/>
                <w:sz w:val="20"/>
                <w:szCs w:val="20"/>
                <w:lang w:val="en-US"/>
              </w:rPr>
            </w:pPr>
          </w:p>
        </w:tc>
        <w:tc>
          <w:tcPr>
            <w:tcW w:w="2680" w:type="dxa"/>
          </w:tcPr>
          <w:p w:rsidR="00FF24B5" w:rsidRPr="00D47BAC" w:rsidRDefault="00FF24B5" w:rsidP="00D47BAC">
            <w:pPr>
              <w:spacing w:line="240" w:lineRule="auto"/>
              <w:rPr>
                <w:rFonts w:ascii="Calibri" w:hAnsi="Calibri"/>
                <w:color w:val="000000"/>
                <w:sz w:val="20"/>
                <w:szCs w:val="20"/>
                <w:lang w:val="en-US"/>
              </w:rPr>
            </w:pPr>
            <w:r w:rsidRPr="00D47BAC">
              <w:rPr>
                <w:rFonts w:ascii="Calibri" w:hAnsi="Calibri"/>
                <w:color w:val="000000"/>
                <w:sz w:val="20"/>
                <w:szCs w:val="20"/>
                <w:lang w:val="en-US"/>
              </w:rPr>
              <w:t>3. Test and issue guidance on the above to the field</w:t>
            </w:r>
          </w:p>
        </w:tc>
        <w:tc>
          <w:tcPr>
            <w:tcW w:w="1280" w:type="dxa"/>
          </w:tcPr>
          <w:p w:rsidR="00FF24B5" w:rsidRPr="00D47BAC" w:rsidRDefault="00FF24B5" w:rsidP="00D47BAC">
            <w:pPr>
              <w:spacing w:line="240" w:lineRule="auto"/>
              <w:rPr>
                <w:rFonts w:ascii="Calibri" w:hAnsi="Calibri"/>
                <w:color w:val="000000"/>
                <w:sz w:val="20"/>
                <w:szCs w:val="20"/>
                <w:lang w:val="en-US"/>
              </w:rPr>
            </w:pPr>
            <w:r w:rsidRPr="00D47BAC">
              <w:rPr>
                <w:rFonts w:ascii="Calibri" w:hAnsi="Calibri"/>
                <w:color w:val="000000"/>
                <w:sz w:val="20"/>
                <w:szCs w:val="20"/>
                <w:lang w:val="en-US"/>
              </w:rPr>
              <w:t>OCHA plus 2-3 agency focal points</w:t>
            </w:r>
          </w:p>
        </w:tc>
        <w:tc>
          <w:tcPr>
            <w:tcW w:w="1140" w:type="dxa"/>
          </w:tcPr>
          <w:p w:rsidR="00FF24B5" w:rsidRPr="00D47BAC" w:rsidRDefault="00FF24B5" w:rsidP="00D47BAC">
            <w:pPr>
              <w:spacing w:line="240" w:lineRule="auto"/>
              <w:jc w:val="right"/>
              <w:rPr>
                <w:rFonts w:ascii="Calibri" w:hAnsi="Calibri"/>
                <w:color w:val="000000"/>
                <w:sz w:val="20"/>
                <w:szCs w:val="20"/>
                <w:lang w:val="en-US"/>
              </w:rPr>
            </w:pPr>
            <w:r w:rsidRPr="00D47BAC">
              <w:rPr>
                <w:rFonts w:ascii="Calibri" w:hAnsi="Calibri"/>
                <w:color w:val="000000"/>
                <w:sz w:val="20"/>
                <w:szCs w:val="20"/>
                <w:lang w:val="en-US"/>
              </w:rPr>
              <w:t>30-Nov-10</w:t>
            </w:r>
          </w:p>
        </w:tc>
        <w:tc>
          <w:tcPr>
            <w:tcW w:w="1080" w:type="dxa"/>
            <w:noWrap/>
            <w:vAlign w:val="bottom"/>
          </w:tcPr>
          <w:p w:rsidR="00FF24B5" w:rsidRPr="00D47BAC" w:rsidRDefault="00FF24B5" w:rsidP="00D47BAC">
            <w:pPr>
              <w:spacing w:line="240" w:lineRule="auto"/>
              <w:rPr>
                <w:color w:val="000000"/>
                <w:lang w:val="en-US"/>
              </w:rPr>
            </w:pPr>
          </w:p>
        </w:tc>
      </w:tr>
      <w:tr w:rsidR="00FF24B5" w:rsidRPr="00F73954" w:rsidTr="00D47BAC">
        <w:trPr>
          <w:trHeight w:val="3135"/>
        </w:trPr>
        <w:tc>
          <w:tcPr>
            <w:tcW w:w="2180" w:type="dxa"/>
            <w:noWrap/>
          </w:tcPr>
          <w:p w:rsidR="00FF24B5" w:rsidRPr="00D47BAC" w:rsidRDefault="00FF24B5" w:rsidP="00D47BAC">
            <w:pPr>
              <w:spacing w:line="240" w:lineRule="auto"/>
              <w:rPr>
                <w:color w:val="000000"/>
                <w:lang w:val="en-US"/>
              </w:rPr>
            </w:pPr>
            <w:r>
              <w:rPr>
                <w:rFonts w:ascii="Calibri" w:hAnsi="Calibri"/>
                <w:color w:val="000000"/>
                <w:sz w:val="20"/>
                <w:szCs w:val="20"/>
                <w:lang w:val="en-US"/>
              </w:rPr>
              <w:t>H</w:t>
            </w:r>
            <w:r w:rsidRPr="00D47BAC">
              <w:rPr>
                <w:rFonts w:ascii="Calibri" w:hAnsi="Calibri"/>
                <w:color w:val="000000"/>
                <w:sz w:val="20"/>
                <w:szCs w:val="20"/>
                <w:lang w:val="en-US"/>
              </w:rPr>
              <w:t>u</w:t>
            </w:r>
            <w:r>
              <w:rPr>
                <w:rFonts w:ascii="Calibri" w:hAnsi="Calibri"/>
                <w:color w:val="000000"/>
                <w:sz w:val="20"/>
                <w:szCs w:val="20"/>
                <w:lang w:val="en-US"/>
              </w:rPr>
              <w:t>man and financial resources required to administer, apply for and train staff in using pooled funds</w:t>
            </w:r>
          </w:p>
        </w:tc>
        <w:tc>
          <w:tcPr>
            <w:tcW w:w="3040" w:type="dxa"/>
          </w:tcPr>
          <w:p w:rsidR="00FF24B5" w:rsidRDefault="00FF24B5" w:rsidP="00D47BAC">
            <w:pPr>
              <w:spacing w:line="240" w:lineRule="auto"/>
              <w:rPr>
                <w:rFonts w:ascii="Calibri" w:hAnsi="Calibri"/>
                <w:color w:val="000000"/>
                <w:sz w:val="20"/>
                <w:szCs w:val="20"/>
                <w:lang w:val="en-US"/>
              </w:rPr>
            </w:pPr>
            <w:r w:rsidRPr="00D47BAC">
              <w:rPr>
                <w:rFonts w:ascii="Calibri" w:hAnsi="Calibri"/>
                <w:color w:val="000000"/>
                <w:sz w:val="20"/>
                <w:szCs w:val="20"/>
                <w:lang w:val="en-US"/>
              </w:rPr>
              <w:t>Agencies and NGOs to advocate with donors to improve predictability of pooled funds and ensure transparent dialogue with them about staff funding needs to manage pooled funds effectively.</w:t>
            </w:r>
          </w:p>
          <w:p w:rsidR="00FF24B5" w:rsidRDefault="00FF24B5" w:rsidP="00D47BAC">
            <w:pPr>
              <w:spacing w:line="240" w:lineRule="auto"/>
              <w:rPr>
                <w:rFonts w:ascii="Calibri" w:hAnsi="Calibri"/>
                <w:color w:val="000000"/>
                <w:sz w:val="20"/>
                <w:szCs w:val="20"/>
                <w:lang w:val="en-US"/>
              </w:rPr>
            </w:pPr>
          </w:p>
          <w:p w:rsidR="00FF24B5" w:rsidRPr="00D47BAC" w:rsidRDefault="00FF24B5" w:rsidP="00D47BAC">
            <w:pPr>
              <w:spacing w:line="240" w:lineRule="auto"/>
              <w:rPr>
                <w:rFonts w:ascii="Calibri" w:hAnsi="Calibri"/>
                <w:color w:val="000000"/>
                <w:sz w:val="20"/>
                <w:szCs w:val="20"/>
                <w:lang w:val="en-US"/>
              </w:rPr>
            </w:pPr>
          </w:p>
        </w:tc>
        <w:tc>
          <w:tcPr>
            <w:tcW w:w="2680" w:type="dxa"/>
          </w:tcPr>
          <w:p w:rsidR="00FF24B5" w:rsidRDefault="00FF24B5" w:rsidP="00D47BAC">
            <w:pPr>
              <w:spacing w:line="240" w:lineRule="auto"/>
              <w:rPr>
                <w:rFonts w:ascii="Calibri" w:hAnsi="Calibri"/>
                <w:color w:val="000000"/>
                <w:sz w:val="20"/>
                <w:szCs w:val="20"/>
                <w:lang w:val="en-US"/>
              </w:rPr>
            </w:pPr>
            <w:r w:rsidRPr="00D47BAC">
              <w:rPr>
                <w:rFonts w:ascii="Calibri" w:hAnsi="Calibri"/>
                <w:color w:val="000000"/>
                <w:sz w:val="20"/>
                <w:szCs w:val="20"/>
                <w:lang w:val="en-US"/>
              </w:rPr>
              <w:t>1.</w:t>
            </w:r>
            <w:r>
              <w:rPr>
                <w:rFonts w:ascii="Calibri" w:hAnsi="Calibri"/>
                <w:color w:val="000000"/>
                <w:sz w:val="20"/>
                <w:szCs w:val="20"/>
                <w:lang w:val="en-US"/>
              </w:rPr>
              <w:t xml:space="preserve"> Advocate with donors on the issue of predictability and staff funding requirements through various fora such as: </w:t>
            </w:r>
          </w:p>
          <w:p w:rsidR="00FF24B5" w:rsidRDefault="00FF24B5" w:rsidP="00D47BAC">
            <w:pPr>
              <w:spacing w:line="240" w:lineRule="auto"/>
              <w:rPr>
                <w:rFonts w:ascii="Calibri" w:hAnsi="Calibri"/>
                <w:color w:val="000000"/>
                <w:sz w:val="20"/>
                <w:szCs w:val="20"/>
                <w:lang w:val="en-US"/>
              </w:rPr>
            </w:pPr>
          </w:p>
          <w:p w:rsidR="00FF24B5" w:rsidRDefault="00FF24B5" w:rsidP="00D47BAC">
            <w:pPr>
              <w:spacing w:line="240" w:lineRule="auto"/>
              <w:rPr>
                <w:rFonts w:ascii="Calibri" w:hAnsi="Calibri"/>
                <w:color w:val="000000"/>
                <w:sz w:val="20"/>
                <w:szCs w:val="20"/>
                <w:lang w:val="en-US"/>
              </w:rPr>
            </w:pPr>
            <w:r>
              <w:rPr>
                <w:rFonts w:ascii="Calibri" w:hAnsi="Calibri"/>
                <w:color w:val="000000"/>
                <w:sz w:val="20"/>
                <w:szCs w:val="20"/>
                <w:lang w:val="en-US"/>
              </w:rPr>
              <w:t xml:space="preserve">- </w:t>
            </w:r>
            <w:r w:rsidRPr="00D47BAC">
              <w:rPr>
                <w:rFonts w:ascii="Calibri" w:hAnsi="Calibri"/>
                <w:color w:val="000000"/>
                <w:sz w:val="20"/>
                <w:szCs w:val="20"/>
                <w:lang w:val="en-US"/>
              </w:rPr>
              <w:t>CHF WG meetings</w:t>
            </w:r>
            <w:r>
              <w:rPr>
                <w:rFonts w:ascii="Calibri" w:hAnsi="Calibri"/>
                <w:color w:val="000000"/>
                <w:sz w:val="20"/>
                <w:szCs w:val="20"/>
                <w:lang w:val="en-US"/>
              </w:rPr>
              <w:t xml:space="preserve"> (3/year)</w:t>
            </w:r>
          </w:p>
          <w:p w:rsidR="00FF24B5" w:rsidRDefault="00FF24B5" w:rsidP="00D47BAC">
            <w:pPr>
              <w:spacing w:line="240" w:lineRule="auto"/>
              <w:rPr>
                <w:rFonts w:ascii="Calibri" w:hAnsi="Calibri"/>
                <w:color w:val="000000"/>
                <w:sz w:val="20"/>
                <w:szCs w:val="20"/>
                <w:lang w:val="en-US"/>
              </w:rPr>
            </w:pPr>
            <w:r>
              <w:rPr>
                <w:rFonts w:ascii="Calibri" w:hAnsi="Calibri"/>
                <w:color w:val="000000"/>
                <w:sz w:val="20"/>
                <w:szCs w:val="20"/>
                <w:lang w:val="en-US"/>
              </w:rPr>
              <w:t>- ECOCOC</w:t>
            </w:r>
          </w:p>
          <w:p w:rsidR="00FF24B5" w:rsidRDefault="00FF24B5" w:rsidP="00D47BAC">
            <w:pPr>
              <w:spacing w:line="240" w:lineRule="auto"/>
              <w:rPr>
                <w:rFonts w:ascii="Calibri" w:hAnsi="Calibri"/>
                <w:color w:val="000000"/>
                <w:sz w:val="20"/>
                <w:szCs w:val="20"/>
                <w:lang w:val="en-US"/>
              </w:rPr>
            </w:pPr>
            <w:r>
              <w:rPr>
                <w:rFonts w:ascii="Calibri" w:hAnsi="Calibri"/>
                <w:color w:val="000000"/>
                <w:sz w:val="20"/>
                <w:szCs w:val="20"/>
                <w:lang w:val="en-US"/>
              </w:rPr>
              <w:t>- GHD meetings (2/year)</w:t>
            </w:r>
          </w:p>
          <w:p w:rsidR="00FF24B5" w:rsidRDefault="00FF24B5" w:rsidP="00D47BAC">
            <w:pPr>
              <w:spacing w:line="240" w:lineRule="auto"/>
              <w:rPr>
                <w:rFonts w:ascii="Calibri" w:hAnsi="Calibri"/>
                <w:color w:val="000000"/>
                <w:sz w:val="20"/>
                <w:szCs w:val="20"/>
                <w:lang w:val="en-US"/>
              </w:rPr>
            </w:pPr>
            <w:r>
              <w:rPr>
                <w:rFonts w:ascii="Calibri" w:hAnsi="Calibri"/>
                <w:color w:val="000000"/>
                <w:sz w:val="20"/>
                <w:szCs w:val="20"/>
                <w:lang w:val="en-US"/>
              </w:rPr>
              <w:t>- OECD INCAF Task Team on Financing and Aid Architecture</w:t>
            </w:r>
          </w:p>
          <w:p w:rsidR="00FF24B5" w:rsidRDefault="00FF24B5" w:rsidP="00D47BAC">
            <w:pPr>
              <w:spacing w:line="240" w:lineRule="auto"/>
              <w:rPr>
                <w:rFonts w:ascii="Calibri" w:hAnsi="Calibri"/>
                <w:color w:val="000000"/>
                <w:sz w:val="20"/>
                <w:szCs w:val="20"/>
                <w:lang w:val="en-US"/>
              </w:rPr>
            </w:pPr>
            <w:r>
              <w:rPr>
                <w:rFonts w:ascii="Calibri" w:hAnsi="Calibri"/>
                <w:color w:val="000000"/>
                <w:sz w:val="20"/>
                <w:szCs w:val="20"/>
                <w:lang w:val="en-US"/>
              </w:rPr>
              <w:t xml:space="preserve">- </w:t>
            </w:r>
            <w:r w:rsidRPr="00D47BAC">
              <w:rPr>
                <w:rFonts w:ascii="Calibri" w:hAnsi="Calibri"/>
                <w:color w:val="000000"/>
                <w:sz w:val="20"/>
                <w:szCs w:val="20"/>
                <w:lang w:val="en-US"/>
              </w:rPr>
              <w:t>UNDG/ECHA Task Team on Financing for Transition</w:t>
            </w:r>
          </w:p>
          <w:p w:rsidR="00FF24B5" w:rsidRPr="00D47BAC" w:rsidRDefault="00FF24B5" w:rsidP="002570C2">
            <w:pPr>
              <w:spacing w:line="240" w:lineRule="auto"/>
              <w:rPr>
                <w:rFonts w:ascii="Calibri" w:hAnsi="Calibri"/>
                <w:color w:val="000000"/>
                <w:sz w:val="20"/>
                <w:szCs w:val="20"/>
                <w:lang w:val="en-US"/>
              </w:rPr>
            </w:pPr>
            <w:r>
              <w:rPr>
                <w:rFonts w:ascii="Calibri" w:hAnsi="Calibri"/>
                <w:color w:val="000000"/>
                <w:sz w:val="20"/>
                <w:szCs w:val="20"/>
                <w:lang w:val="en-US"/>
              </w:rPr>
              <w:t>- Other opportunities for donor interface and consultations</w:t>
            </w:r>
          </w:p>
        </w:tc>
        <w:tc>
          <w:tcPr>
            <w:tcW w:w="1280" w:type="dxa"/>
          </w:tcPr>
          <w:p w:rsidR="00FF24B5" w:rsidRPr="00D47BAC" w:rsidRDefault="00FF24B5" w:rsidP="00D47BAC">
            <w:pPr>
              <w:spacing w:line="240" w:lineRule="auto"/>
              <w:rPr>
                <w:rFonts w:ascii="Calibri" w:hAnsi="Calibri"/>
                <w:color w:val="000000"/>
                <w:sz w:val="20"/>
                <w:szCs w:val="20"/>
                <w:lang w:val="en-US"/>
              </w:rPr>
            </w:pPr>
            <w:r>
              <w:rPr>
                <w:rFonts w:ascii="Calibri" w:hAnsi="Calibri"/>
                <w:color w:val="000000"/>
                <w:sz w:val="20"/>
                <w:szCs w:val="20"/>
                <w:lang w:val="en-US"/>
              </w:rPr>
              <w:t xml:space="preserve">All </w:t>
            </w:r>
          </w:p>
        </w:tc>
        <w:tc>
          <w:tcPr>
            <w:tcW w:w="1140" w:type="dxa"/>
          </w:tcPr>
          <w:p w:rsidR="00FF24B5" w:rsidRPr="00D47BAC" w:rsidRDefault="00FF24B5" w:rsidP="00D47BAC">
            <w:pPr>
              <w:spacing w:line="240" w:lineRule="auto"/>
              <w:rPr>
                <w:rFonts w:ascii="Calibri" w:hAnsi="Calibri"/>
                <w:color w:val="000000"/>
                <w:sz w:val="20"/>
                <w:szCs w:val="20"/>
                <w:lang w:val="en-US"/>
              </w:rPr>
            </w:pPr>
          </w:p>
        </w:tc>
        <w:tc>
          <w:tcPr>
            <w:tcW w:w="1080" w:type="dxa"/>
            <w:noWrap/>
            <w:vAlign w:val="bottom"/>
          </w:tcPr>
          <w:p w:rsidR="00FF24B5" w:rsidRPr="00D47BAC" w:rsidRDefault="00FF24B5" w:rsidP="00D47BAC">
            <w:pPr>
              <w:spacing w:line="240" w:lineRule="auto"/>
              <w:rPr>
                <w:color w:val="000000"/>
                <w:lang w:val="en-US"/>
              </w:rPr>
            </w:pPr>
          </w:p>
        </w:tc>
      </w:tr>
      <w:tr w:rsidR="00FF24B5" w:rsidRPr="00F73954" w:rsidTr="00D47BAC">
        <w:trPr>
          <w:trHeight w:val="315"/>
        </w:trPr>
        <w:tc>
          <w:tcPr>
            <w:tcW w:w="2180" w:type="dxa"/>
            <w:noWrap/>
            <w:vAlign w:val="bottom"/>
          </w:tcPr>
          <w:p w:rsidR="00FF24B5" w:rsidRPr="00D47BAC" w:rsidRDefault="00FF24B5" w:rsidP="00D47BAC">
            <w:pPr>
              <w:spacing w:line="240" w:lineRule="auto"/>
              <w:rPr>
                <w:color w:val="000000"/>
                <w:lang w:val="en-US"/>
              </w:rPr>
            </w:pPr>
          </w:p>
        </w:tc>
        <w:tc>
          <w:tcPr>
            <w:tcW w:w="3040" w:type="dxa"/>
            <w:noWrap/>
            <w:vAlign w:val="bottom"/>
          </w:tcPr>
          <w:p w:rsidR="00FF24B5" w:rsidRPr="00D47BAC" w:rsidRDefault="00FF24B5" w:rsidP="00D47BAC">
            <w:pPr>
              <w:spacing w:line="240" w:lineRule="auto"/>
              <w:rPr>
                <w:color w:val="000000"/>
                <w:lang w:val="en-US"/>
              </w:rPr>
            </w:pPr>
          </w:p>
        </w:tc>
        <w:tc>
          <w:tcPr>
            <w:tcW w:w="2680" w:type="dxa"/>
          </w:tcPr>
          <w:p w:rsidR="00FF24B5" w:rsidRPr="00D47BAC" w:rsidRDefault="00FF24B5" w:rsidP="00D47BAC">
            <w:pPr>
              <w:spacing w:line="240" w:lineRule="auto"/>
              <w:rPr>
                <w:rFonts w:ascii="Calibri" w:hAnsi="Calibri"/>
                <w:color w:val="000000"/>
                <w:sz w:val="20"/>
                <w:szCs w:val="20"/>
                <w:lang w:val="en-US"/>
              </w:rPr>
            </w:pPr>
          </w:p>
        </w:tc>
        <w:tc>
          <w:tcPr>
            <w:tcW w:w="1280" w:type="dxa"/>
            <w:noWrap/>
            <w:vAlign w:val="bottom"/>
          </w:tcPr>
          <w:p w:rsidR="00FF24B5" w:rsidRPr="00D47BAC" w:rsidRDefault="00FF24B5" w:rsidP="00D47BAC">
            <w:pPr>
              <w:spacing w:line="240" w:lineRule="auto"/>
              <w:rPr>
                <w:color w:val="000000"/>
                <w:lang w:val="en-US"/>
              </w:rPr>
            </w:pPr>
          </w:p>
        </w:tc>
        <w:tc>
          <w:tcPr>
            <w:tcW w:w="1140" w:type="dxa"/>
            <w:noWrap/>
            <w:vAlign w:val="bottom"/>
          </w:tcPr>
          <w:p w:rsidR="00FF24B5" w:rsidRPr="00D47BAC" w:rsidRDefault="00FF24B5" w:rsidP="00D47BAC">
            <w:pPr>
              <w:spacing w:line="240" w:lineRule="auto"/>
              <w:rPr>
                <w:color w:val="000000"/>
                <w:lang w:val="en-US"/>
              </w:rPr>
            </w:pPr>
          </w:p>
        </w:tc>
        <w:tc>
          <w:tcPr>
            <w:tcW w:w="1080" w:type="dxa"/>
            <w:noWrap/>
            <w:vAlign w:val="bottom"/>
          </w:tcPr>
          <w:p w:rsidR="00FF24B5" w:rsidRPr="00D47BAC" w:rsidRDefault="00FF24B5" w:rsidP="00D47BAC">
            <w:pPr>
              <w:spacing w:line="240" w:lineRule="auto"/>
              <w:rPr>
                <w:color w:val="000000"/>
                <w:lang w:val="en-US"/>
              </w:rPr>
            </w:pPr>
          </w:p>
        </w:tc>
      </w:tr>
    </w:tbl>
    <w:p w:rsidR="00FF24B5" w:rsidRPr="00CD442E" w:rsidRDefault="00FF24B5" w:rsidP="00CD442E"/>
    <w:sectPr w:rsidR="00FF24B5" w:rsidRPr="00CD442E" w:rsidSect="00C44B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4B5" w:rsidRDefault="00FF24B5" w:rsidP="000F15E4">
      <w:pPr>
        <w:spacing w:line="240" w:lineRule="auto"/>
      </w:pPr>
      <w:r>
        <w:separator/>
      </w:r>
    </w:p>
  </w:endnote>
  <w:endnote w:type="continuationSeparator" w:id="0">
    <w:p w:rsidR="00FF24B5" w:rsidRDefault="00FF24B5" w:rsidP="000F15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B5" w:rsidRDefault="00FF2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B5" w:rsidRDefault="00FF24B5">
    <w:pPr>
      <w:pStyle w:val="Footer"/>
    </w:pPr>
    <w:r>
      <w:t>Draft Transaction Cost Study Matrix 22 June 2010</w:t>
    </w:r>
  </w:p>
  <w:p w:rsidR="00FF24B5" w:rsidRDefault="00FF24B5">
    <w:pPr>
      <w:pStyle w:val="Footer"/>
    </w:pPr>
  </w:p>
  <w:p w:rsidR="00FF24B5" w:rsidRDefault="00FF24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B5" w:rsidRDefault="00FF2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4B5" w:rsidRDefault="00FF24B5" w:rsidP="000F15E4">
      <w:pPr>
        <w:spacing w:line="240" w:lineRule="auto"/>
      </w:pPr>
      <w:r>
        <w:separator/>
      </w:r>
    </w:p>
  </w:footnote>
  <w:footnote w:type="continuationSeparator" w:id="0">
    <w:p w:rsidR="00FF24B5" w:rsidRDefault="00FF24B5" w:rsidP="000F15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B5" w:rsidRDefault="00FF24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B5" w:rsidRDefault="00FF24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B5" w:rsidRDefault="00FF2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DE8"/>
    <w:multiLevelType w:val="hybridMultilevel"/>
    <w:tmpl w:val="1F742E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406D87"/>
    <w:multiLevelType w:val="hybridMultilevel"/>
    <w:tmpl w:val="B5BA56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DD762DC"/>
    <w:multiLevelType w:val="hybridMultilevel"/>
    <w:tmpl w:val="7DC449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FB10956"/>
    <w:multiLevelType w:val="hybridMultilevel"/>
    <w:tmpl w:val="34B8D8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BAC"/>
    <w:rsid w:val="00037E53"/>
    <w:rsid w:val="000F15E4"/>
    <w:rsid w:val="001857E9"/>
    <w:rsid w:val="001E3490"/>
    <w:rsid w:val="002570C2"/>
    <w:rsid w:val="00327FCF"/>
    <w:rsid w:val="003B29D2"/>
    <w:rsid w:val="006A08AA"/>
    <w:rsid w:val="00726778"/>
    <w:rsid w:val="008B529D"/>
    <w:rsid w:val="00B7725A"/>
    <w:rsid w:val="00B968D6"/>
    <w:rsid w:val="00BA133B"/>
    <w:rsid w:val="00C44B28"/>
    <w:rsid w:val="00C47581"/>
    <w:rsid w:val="00CB199B"/>
    <w:rsid w:val="00CD442E"/>
    <w:rsid w:val="00D47BAC"/>
    <w:rsid w:val="00F73954"/>
    <w:rsid w:val="00FF24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E"/>
    <w:pPr>
      <w:spacing w:line="276" w:lineRule="auto"/>
    </w:pPr>
    <w:rPr>
      <w:sz w:val="24"/>
      <w:szCs w:val="24"/>
      <w:lang w:val="en-GB"/>
    </w:rPr>
  </w:style>
  <w:style w:type="paragraph" w:styleId="Heading1">
    <w:name w:val="heading 1"/>
    <w:basedOn w:val="Normal"/>
    <w:next w:val="Normal"/>
    <w:link w:val="Heading1Char"/>
    <w:uiPriority w:val="99"/>
    <w:qFormat/>
    <w:rsid w:val="003B29D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9D2"/>
    <w:rPr>
      <w:rFonts w:ascii="Cambria" w:hAnsi="Cambria" w:cs="Times New Roman"/>
      <w:b/>
      <w:bCs/>
      <w:color w:val="365F91"/>
      <w:sz w:val="28"/>
      <w:szCs w:val="28"/>
    </w:rPr>
  </w:style>
  <w:style w:type="paragraph" w:styleId="ListParagraph">
    <w:name w:val="List Paragraph"/>
    <w:basedOn w:val="Normal"/>
    <w:uiPriority w:val="99"/>
    <w:qFormat/>
    <w:rsid w:val="00D47BAC"/>
    <w:pPr>
      <w:ind w:left="720"/>
      <w:contextualSpacing/>
    </w:pPr>
  </w:style>
  <w:style w:type="paragraph" w:styleId="Header">
    <w:name w:val="header"/>
    <w:basedOn w:val="Normal"/>
    <w:link w:val="HeaderChar"/>
    <w:uiPriority w:val="99"/>
    <w:semiHidden/>
    <w:rsid w:val="000F15E4"/>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0F15E4"/>
    <w:rPr>
      <w:rFonts w:cs="Times New Roman"/>
    </w:rPr>
  </w:style>
  <w:style w:type="paragraph" w:styleId="Footer">
    <w:name w:val="footer"/>
    <w:basedOn w:val="Normal"/>
    <w:link w:val="FooterChar"/>
    <w:uiPriority w:val="99"/>
    <w:rsid w:val="000F15E4"/>
    <w:pPr>
      <w:tabs>
        <w:tab w:val="center" w:pos="4680"/>
        <w:tab w:val="right" w:pos="9360"/>
      </w:tabs>
      <w:spacing w:line="240" w:lineRule="auto"/>
    </w:pPr>
  </w:style>
  <w:style w:type="character" w:customStyle="1" w:styleId="FooterChar">
    <w:name w:val="Footer Char"/>
    <w:basedOn w:val="DefaultParagraphFont"/>
    <w:link w:val="Footer"/>
    <w:uiPriority w:val="99"/>
    <w:locked/>
    <w:rsid w:val="000F15E4"/>
    <w:rPr>
      <w:rFonts w:cs="Times New Roman"/>
    </w:rPr>
  </w:style>
  <w:style w:type="paragraph" w:styleId="BalloonText">
    <w:name w:val="Balloon Text"/>
    <w:basedOn w:val="Normal"/>
    <w:link w:val="BalloonTextChar"/>
    <w:uiPriority w:val="99"/>
    <w:semiHidden/>
    <w:rsid w:val="000F15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5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383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203</Words>
  <Characters>1160</Characters>
  <Application>Microsoft Office Outlook</Application>
  <DocSecurity>0</DocSecurity>
  <Lines>0</Lines>
  <Paragraphs>0</Paragraphs>
  <ScaleCrop>false</ScaleCrop>
  <Company>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Stage 1 – 2010</dc:title>
  <dc:subject/>
  <dc:creator>nnippita</dc:creator>
  <cp:keywords/>
  <dc:description/>
  <cp:lastModifiedBy>cheatham</cp:lastModifiedBy>
  <cp:revision>2</cp:revision>
  <cp:lastPrinted>2010-06-22T12:29:00Z</cp:lastPrinted>
  <dcterms:created xsi:type="dcterms:W3CDTF">2010-06-22T13:01:00Z</dcterms:created>
  <dcterms:modified xsi:type="dcterms:W3CDTF">2010-06-22T13:01:00Z</dcterms:modified>
</cp:coreProperties>
</file>