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F8730" w14:textId="77777777" w:rsidR="009D0071" w:rsidRPr="0062164A" w:rsidRDefault="0031720E" w:rsidP="007F3EE5">
      <w:pPr>
        <w:pBdr>
          <w:top w:val="double" w:sz="4" w:space="1" w:color="auto"/>
          <w:left w:val="double" w:sz="4" w:space="0" w:color="auto"/>
          <w:bottom w:val="double" w:sz="4" w:space="1" w:color="auto"/>
          <w:right w:val="double" w:sz="4" w:space="0" w:color="auto"/>
        </w:pBdr>
        <w:autoSpaceDE w:val="0"/>
        <w:autoSpaceDN w:val="0"/>
        <w:adjustRightInd w:val="0"/>
        <w:spacing w:after="0" w:line="240" w:lineRule="auto"/>
        <w:ind w:left="720" w:hanging="720"/>
        <w:jc w:val="center"/>
        <w:rPr>
          <w:rFonts w:cs="Arial"/>
          <w:bCs/>
          <w:smallCaps/>
          <w:sz w:val="24"/>
          <w:szCs w:val="24"/>
        </w:rPr>
      </w:pPr>
      <w:r w:rsidRPr="0062164A">
        <w:rPr>
          <w:rFonts w:cs="Arial"/>
          <w:bCs/>
          <w:smallCaps/>
          <w:sz w:val="24"/>
          <w:szCs w:val="24"/>
        </w:rPr>
        <w:t xml:space="preserve">Inter-Agency Standing Committee </w:t>
      </w:r>
    </w:p>
    <w:p w14:paraId="7A522662" w14:textId="77777777" w:rsidR="0031720E" w:rsidRPr="0062164A" w:rsidRDefault="009D0071" w:rsidP="007F3EE5">
      <w:pPr>
        <w:pBdr>
          <w:top w:val="double" w:sz="4" w:space="1" w:color="auto"/>
          <w:left w:val="double" w:sz="4" w:space="0" w:color="auto"/>
          <w:bottom w:val="double" w:sz="4" w:space="1" w:color="auto"/>
          <w:right w:val="double" w:sz="4" w:space="0" w:color="auto"/>
        </w:pBdr>
        <w:autoSpaceDE w:val="0"/>
        <w:autoSpaceDN w:val="0"/>
        <w:adjustRightInd w:val="0"/>
        <w:spacing w:after="0" w:line="240" w:lineRule="auto"/>
        <w:jc w:val="center"/>
        <w:rPr>
          <w:rFonts w:cs="Arial"/>
          <w:bCs/>
          <w:smallCaps/>
          <w:sz w:val="24"/>
          <w:szCs w:val="24"/>
        </w:rPr>
      </w:pPr>
      <w:r w:rsidRPr="0062164A">
        <w:rPr>
          <w:rFonts w:cs="Arial"/>
          <w:bCs/>
          <w:smallCaps/>
          <w:sz w:val="24"/>
          <w:szCs w:val="24"/>
        </w:rPr>
        <w:t>8</w:t>
      </w:r>
      <w:r w:rsidR="001B5F2E">
        <w:rPr>
          <w:rFonts w:cs="Arial"/>
          <w:bCs/>
          <w:smallCaps/>
          <w:sz w:val="24"/>
          <w:szCs w:val="24"/>
        </w:rPr>
        <w:t>8</w:t>
      </w:r>
      <w:r w:rsidRPr="0062164A">
        <w:rPr>
          <w:rFonts w:cs="Arial"/>
          <w:bCs/>
          <w:smallCaps/>
          <w:sz w:val="24"/>
          <w:szCs w:val="24"/>
          <w:vertAlign w:val="superscript"/>
        </w:rPr>
        <w:t xml:space="preserve">th </w:t>
      </w:r>
      <w:r w:rsidRPr="0062164A">
        <w:rPr>
          <w:rFonts w:cs="Arial"/>
          <w:bCs/>
          <w:smallCaps/>
          <w:sz w:val="24"/>
          <w:szCs w:val="24"/>
        </w:rPr>
        <w:t>IASC W</w:t>
      </w:r>
      <w:r w:rsidR="0031720E" w:rsidRPr="0062164A">
        <w:rPr>
          <w:rFonts w:cs="Arial"/>
          <w:bCs/>
          <w:smallCaps/>
          <w:sz w:val="24"/>
          <w:szCs w:val="24"/>
        </w:rPr>
        <w:t>orking Group</w:t>
      </w:r>
      <w:r w:rsidRPr="0062164A">
        <w:rPr>
          <w:rFonts w:cs="Arial"/>
          <w:bCs/>
          <w:smallCaps/>
          <w:sz w:val="24"/>
          <w:szCs w:val="24"/>
        </w:rPr>
        <w:t xml:space="preserve"> Meeting</w:t>
      </w:r>
    </w:p>
    <w:p w14:paraId="3C9777A9" w14:textId="6B52F735" w:rsidR="009D0071" w:rsidRPr="002F47DC" w:rsidRDefault="00D03FA9" w:rsidP="007F3EE5">
      <w:pPr>
        <w:pBdr>
          <w:top w:val="double" w:sz="4" w:space="1" w:color="auto"/>
          <w:left w:val="double" w:sz="4" w:space="0" w:color="auto"/>
          <w:bottom w:val="double" w:sz="4" w:space="1" w:color="auto"/>
          <w:right w:val="double" w:sz="4" w:space="0" w:color="auto"/>
        </w:pBdr>
        <w:autoSpaceDE w:val="0"/>
        <w:autoSpaceDN w:val="0"/>
        <w:adjustRightInd w:val="0"/>
        <w:spacing w:before="240" w:line="240" w:lineRule="auto"/>
        <w:jc w:val="center"/>
        <w:rPr>
          <w:rFonts w:cs="Arial"/>
          <w:b/>
          <w:bCs/>
          <w:color w:val="1F497D" w:themeColor="text2"/>
          <w:sz w:val="36"/>
          <w:szCs w:val="36"/>
        </w:rPr>
      </w:pPr>
      <w:r>
        <w:rPr>
          <w:rFonts w:cs="Arial"/>
          <w:b/>
          <w:bCs/>
          <w:color w:val="1F497D" w:themeColor="text2"/>
          <w:sz w:val="36"/>
          <w:szCs w:val="36"/>
        </w:rPr>
        <w:t>Discussion Paper on the Future of Humanitarian Financing</w:t>
      </w:r>
    </w:p>
    <w:p w14:paraId="19D66431" w14:textId="77777777" w:rsidR="001B5F2E" w:rsidRPr="00CF1D63" w:rsidRDefault="001B5F2E" w:rsidP="007F3EE5">
      <w:pPr>
        <w:pBdr>
          <w:top w:val="double" w:sz="4" w:space="1" w:color="auto"/>
          <w:left w:val="double" w:sz="4" w:space="0" w:color="auto"/>
          <w:bottom w:val="double" w:sz="4" w:space="1" w:color="auto"/>
          <w:right w:val="double" w:sz="4" w:space="0" w:color="auto"/>
        </w:pBdr>
        <w:autoSpaceDE w:val="0"/>
        <w:autoSpaceDN w:val="0"/>
        <w:adjustRightInd w:val="0"/>
        <w:spacing w:after="0" w:line="240" w:lineRule="auto"/>
        <w:jc w:val="center"/>
        <w:rPr>
          <w:rFonts w:cs="Arial"/>
          <w:bCs/>
          <w:smallCaps/>
          <w:sz w:val="24"/>
          <w:szCs w:val="24"/>
        </w:rPr>
      </w:pPr>
      <w:r w:rsidRPr="00CF1D63">
        <w:rPr>
          <w:rFonts w:cs="Arial"/>
          <w:bCs/>
          <w:smallCaps/>
          <w:sz w:val="24"/>
          <w:szCs w:val="24"/>
        </w:rPr>
        <w:t>10-11 March 2015</w:t>
      </w:r>
    </w:p>
    <w:p w14:paraId="50CE5E74" w14:textId="77777777" w:rsidR="001B5F2E" w:rsidRPr="0062164A" w:rsidRDefault="001B5F2E" w:rsidP="007F3EE5">
      <w:pPr>
        <w:pBdr>
          <w:top w:val="double" w:sz="4" w:space="1" w:color="auto"/>
          <w:left w:val="double" w:sz="4" w:space="0" w:color="auto"/>
          <w:bottom w:val="double" w:sz="4" w:space="1" w:color="auto"/>
          <w:right w:val="double" w:sz="4" w:space="0" w:color="auto"/>
        </w:pBdr>
        <w:autoSpaceDE w:val="0"/>
        <w:autoSpaceDN w:val="0"/>
        <w:adjustRightInd w:val="0"/>
        <w:spacing w:after="0" w:line="240" w:lineRule="auto"/>
        <w:jc w:val="center"/>
        <w:rPr>
          <w:rFonts w:cs="Arial"/>
          <w:bCs/>
          <w:smallCaps/>
          <w:sz w:val="24"/>
          <w:szCs w:val="24"/>
        </w:rPr>
      </w:pPr>
      <w:r w:rsidRPr="00CF1D63">
        <w:rPr>
          <w:rFonts w:cs="Arial"/>
          <w:bCs/>
          <w:smallCaps/>
          <w:sz w:val="24"/>
          <w:szCs w:val="24"/>
        </w:rPr>
        <w:t>Host: FAO, Rome</w:t>
      </w:r>
      <w:r w:rsidR="00452AD9" w:rsidRPr="006F7FDC">
        <w:rPr>
          <w:rFonts w:cs="Arial"/>
          <w:bCs/>
          <w:i/>
          <w:smallCaps/>
          <w:sz w:val="24"/>
          <w:szCs w:val="24"/>
        </w:rPr>
        <w:t>, Queen Juliana Room (B324), Building B, 3rd Floor.</w:t>
      </w:r>
    </w:p>
    <w:p w14:paraId="180A59E4" w14:textId="77777777" w:rsidR="0031720E" w:rsidRDefault="0031720E" w:rsidP="0031720E">
      <w:pPr>
        <w:autoSpaceDE w:val="0"/>
        <w:autoSpaceDN w:val="0"/>
        <w:adjustRightInd w:val="0"/>
        <w:spacing w:after="0" w:line="240" w:lineRule="auto"/>
        <w:jc w:val="center"/>
        <w:rPr>
          <w:rFonts w:asciiTheme="majorHAnsi" w:hAnsiTheme="majorHAnsi" w:cs="Arial"/>
          <w:b/>
          <w:bCs/>
          <w:color w:val="1F497D" w:themeColor="text2"/>
          <w:sz w:val="12"/>
          <w:szCs w:val="12"/>
        </w:rPr>
      </w:pPr>
    </w:p>
    <w:p w14:paraId="4EDEB2CB" w14:textId="77777777" w:rsidR="00D23357" w:rsidRPr="00D23357" w:rsidRDefault="00D23357" w:rsidP="00D23357">
      <w:pPr>
        <w:spacing w:after="0" w:line="240" w:lineRule="auto"/>
        <w:jc w:val="both"/>
        <w:rPr>
          <w:rFonts w:cs="Arial"/>
          <w:b/>
          <w:sz w:val="24"/>
          <w:szCs w:val="24"/>
        </w:rPr>
      </w:pPr>
    </w:p>
    <w:p w14:paraId="30AA63F2" w14:textId="162DBE6D" w:rsidR="00AE660B" w:rsidRDefault="00AE660B" w:rsidP="00AE660B">
      <w:pPr>
        <w:spacing w:after="0" w:line="240" w:lineRule="auto"/>
        <w:jc w:val="both"/>
        <w:rPr>
          <w:rFonts w:cs="Arial"/>
          <w:sz w:val="24"/>
          <w:szCs w:val="24"/>
        </w:rPr>
      </w:pPr>
      <w:r w:rsidRPr="00AE660B">
        <w:rPr>
          <w:rFonts w:cs="Arial"/>
          <w:sz w:val="24"/>
          <w:szCs w:val="24"/>
        </w:rPr>
        <w:t xml:space="preserve">Through its Task Team on Humanitarian Financing, members of </w:t>
      </w:r>
      <w:proofErr w:type="gramStart"/>
      <w:r w:rsidRPr="00AE660B">
        <w:rPr>
          <w:rFonts w:cs="Arial"/>
          <w:sz w:val="24"/>
          <w:szCs w:val="24"/>
        </w:rPr>
        <w:t>the  Inter</w:t>
      </w:r>
      <w:proofErr w:type="gramEnd"/>
      <w:r w:rsidRPr="00AE660B">
        <w:rPr>
          <w:rFonts w:cs="Arial"/>
          <w:sz w:val="24"/>
          <w:szCs w:val="24"/>
        </w:rPr>
        <w:t xml:space="preserve">-Agency Standing Committee (IASC), led by a Steering Group of CAFOD, the Food and Agriculture Organisation of the United Nations (FAO) and </w:t>
      </w:r>
      <w:proofErr w:type="spellStart"/>
      <w:r w:rsidRPr="00AE660B">
        <w:rPr>
          <w:rFonts w:cs="Arial"/>
          <w:sz w:val="24"/>
          <w:szCs w:val="24"/>
        </w:rPr>
        <w:t>WorldVision</w:t>
      </w:r>
      <w:proofErr w:type="spellEnd"/>
      <w:r w:rsidRPr="00AE660B">
        <w:rPr>
          <w:rFonts w:cs="Arial"/>
          <w:sz w:val="24"/>
          <w:szCs w:val="24"/>
        </w:rPr>
        <w:t xml:space="preserve"> International,  </w:t>
      </w:r>
      <w:r w:rsidR="00E17039">
        <w:rPr>
          <w:rFonts w:cs="Arial"/>
          <w:sz w:val="24"/>
          <w:szCs w:val="24"/>
        </w:rPr>
        <w:t>i</w:t>
      </w:r>
      <w:r w:rsidRPr="00AE660B">
        <w:rPr>
          <w:rFonts w:cs="Arial"/>
          <w:sz w:val="24"/>
          <w:szCs w:val="24"/>
        </w:rPr>
        <w:t>nitiated a 6 month research process to examine the Future of Humanitarian Financing (FHF).  The FHF process included a series of 5 regional cross-</w:t>
      </w:r>
      <w:proofErr w:type="spellStart"/>
      <w:r w:rsidRPr="00AE660B">
        <w:rPr>
          <w:rFonts w:cs="Arial"/>
          <w:sz w:val="24"/>
          <w:szCs w:val="24"/>
        </w:rPr>
        <w:t>sectoral</w:t>
      </w:r>
      <w:proofErr w:type="spellEnd"/>
      <w:r w:rsidRPr="00AE660B">
        <w:rPr>
          <w:rFonts w:cs="Arial"/>
          <w:sz w:val="24"/>
          <w:szCs w:val="24"/>
        </w:rPr>
        <w:t xml:space="preserve"> dialogue events in late 2014/early 2015 which brought together individuals together individuals from local and international civil society, UN agencies and funds, local and international businesses, regional organisations and governments. Dialogue participants were invited to think about, debate and propose solutions to the current challenges in financing response to humanitarian needs. Insights and emerging consensus coming out of the five dialogues inform the core </w:t>
      </w:r>
      <w:proofErr w:type="gramStart"/>
      <w:r w:rsidRPr="00AE660B">
        <w:rPr>
          <w:rFonts w:cs="Arial"/>
          <w:sz w:val="24"/>
          <w:szCs w:val="24"/>
        </w:rPr>
        <w:t>content  and</w:t>
      </w:r>
      <w:proofErr w:type="gramEnd"/>
      <w:r w:rsidRPr="00AE660B">
        <w:rPr>
          <w:rFonts w:cs="Arial"/>
          <w:sz w:val="24"/>
          <w:szCs w:val="24"/>
        </w:rPr>
        <w:t xml:space="preserve"> spirit of the report. Additional desk research and interviews with experts were also undertaken. Finally, an expert advisory group was convened to debate and comment on an initial draft of the report and feedback from IASC member agencies invited. </w:t>
      </w:r>
    </w:p>
    <w:p w14:paraId="73EF10B8" w14:textId="77777777" w:rsidR="00E17039" w:rsidRPr="00AE660B" w:rsidRDefault="00E17039" w:rsidP="00AE660B">
      <w:pPr>
        <w:spacing w:after="0" w:line="240" w:lineRule="auto"/>
        <w:jc w:val="both"/>
        <w:rPr>
          <w:rFonts w:cs="Arial"/>
          <w:sz w:val="24"/>
          <w:szCs w:val="24"/>
        </w:rPr>
      </w:pPr>
    </w:p>
    <w:p w14:paraId="13C907A5" w14:textId="77777777" w:rsidR="00AE660B" w:rsidRDefault="00AE660B" w:rsidP="00AE660B">
      <w:pPr>
        <w:spacing w:after="0" w:line="240" w:lineRule="auto"/>
        <w:jc w:val="both"/>
        <w:rPr>
          <w:rFonts w:cs="Arial"/>
          <w:sz w:val="24"/>
          <w:szCs w:val="24"/>
        </w:rPr>
      </w:pPr>
      <w:r w:rsidRPr="00AE660B">
        <w:rPr>
          <w:rFonts w:cs="Arial"/>
          <w:sz w:val="24"/>
          <w:szCs w:val="24"/>
        </w:rPr>
        <w:t xml:space="preserve">The Future Humanitarian Financing (FHF) dialogues are part of the suite of preparatory consultations leading up to the 2016 World Humanitarian Summit.  The results of the FHF discussions have been synthesised into a report, which presents a survey of available evidence and ideas, accompanied by a set of practical recommendations for change which include both transformational and incremental change in the short, medium and longer-term, and are designed to stimulate further discussion. The analysis of challenges and solutions emerging from the FHF dialogues are characterised by complexity, contradiction and divergent interpretations which is unsurprising given the </w:t>
      </w:r>
      <w:proofErr w:type="gramStart"/>
      <w:r w:rsidRPr="00AE660B">
        <w:rPr>
          <w:rFonts w:cs="Arial"/>
          <w:sz w:val="24"/>
          <w:szCs w:val="24"/>
        </w:rPr>
        <w:t>diverse  nature</w:t>
      </w:r>
      <w:proofErr w:type="gramEnd"/>
      <w:r w:rsidRPr="00AE660B">
        <w:rPr>
          <w:rFonts w:cs="Arial"/>
          <w:sz w:val="24"/>
          <w:szCs w:val="24"/>
        </w:rPr>
        <w:t xml:space="preserve"> of the humanitarian ecosystem.  The analysis will require further consideration, research, investment and prioritisation. Indeed the purpose of the FHF has been to stimulate dialogue that will contribute to enhancing the adaptive capacity of humanitarian response and it is the sincere hope of the FHF Steering Group agencies that this dialogue will continue beyond the life-time of the initiative. </w:t>
      </w:r>
    </w:p>
    <w:p w14:paraId="35615ABB" w14:textId="77777777" w:rsidR="00E17039" w:rsidRPr="00AE660B" w:rsidRDefault="00E17039" w:rsidP="00AE660B">
      <w:pPr>
        <w:spacing w:after="0" w:line="240" w:lineRule="auto"/>
        <w:jc w:val="both"/>
        <w:rPr>
          <w:rFonts w:cs="Arial"/>
          <w:sz w:val="24"/>
          <w:szCs w:val="24"/>
        </w:rPr>
      </w:pPr>
    </w:p>
    <w:p w14:paraId="2236F86B" w14:textId="76D7436E" w:rsidR="00AE660B" w:rsidRDefault="00AE660B" w:rsidP="00AE660B">
      <w:pPr>
        <w:spacing w:after="0" w:line="240" w:lineRule="auto"/>
        <w:jc w:val="both"/>
        <w:rPr>
          <w:rFonts w:cs="Arial"/>
          <w:sz w:val="24"/>
          <w:szCs w:val="24"/>
        </w:rPr>
      </w:pPr>
      <w:r w:rsidRPr="00AE660B">
        <w:rPr>
          <w:rFonts w:cs="Arial"/>
          <w:sz w:val="24"/>
          <w:szCs w:val="24"/>
        </w:rPr>
        <w:t>This 2 page paper outlines the vision of what the future of financing for humanitarian action, emerging from the FHF dialogues, will look like, and the 4 transformational changes which need to be addressed in order to realise that vision</w:t>
      </w:r>
      <w:r w:rsidR="00E17039">
        <w:rPr>
          <w:rFonts w:cs="Arial"/>
          <w:sz w:val="24"/>
          <w:szCs w:val="24"/>
        </w:rPr>
        <w:t>.</w:t>
      </w:r>
    </w:p>
    <w:p w14:paraId="72E28362" w14:textId="77777777" w:rsidR="00E17039" w:rsidRPr="00AE660B" w:rsidRDefault="00E17039" w:rsidP="00AE660B">
      <w:pPr>
        <w:spacing w:after="0" w:line="240" w:lineRule="auto"/>
        <w:jc w:val="both"/>
        <w:rPr>
          <w:rFonts w:cs="Arial"/>
          <w:b/>
          <w:bCs/>
          <w:i/>
          <w:iCs/>
          <w:sz w:val="24"/>
          <w:szCs w:val="24"/>
        </w:rPr>
      </w:pPr>
    </w:p>
    <w:p w14:paraId="31E4F28B" w14:textId="77777777" w:rsidR="00AE660B" w:rsidRDefault="00AE660B" w:rsidP="00AE660B">
      <w:pPr>
        <w:spacing w:after="0" w:line="240" w:lineRule="auto"/>
        <w:jc w:val="both"/>
        <w:rPr>
          <w:rFonts w:cs="Arial"/>
          <w:b/>
          <w:bCs/>
          <w:i/>
          <w:iCs/>
          <w:sz w:val="24"/>
          <w:szCs w:val="24"/>
        </w:rPr>
      </w:pPr>
      <w:r w:rsidRPr="00AE660B">
        <w:rPr>
          <w:rFonts w:cs="Arial"/>
          <w:b/>
          <w:bCs/>
          <w:i/>
          <w:iCs/>
          <w:sz w:val="24"/>
          <w:szCs w:val="24"/>
        </w:rPr>
        <w:t>In future, much of the cost of providing humanitarian assistance will be borne by local and domestic actors including affected governments, communities, civil society groups, businesses and regional organisations. The costs of financing supplementary international response will continue to come from international governments and private donors including individuals, foundations and corporate donors.</w:t>
      </w:r>
    </w:p>
    <w:p w14:paraId="3B42C454" w14:textId="77777777" w:rsidR="00E17039" w:rsidRPr="00AE660B" w:rsidRDefault="00E17039" w:rsidP="00AE660B">
      <w:pPr>
        <w:spacing w:after="0" w:line="240" w:lineRule="auto"/>
        <w:jc w:val="both"/>
        <w:rPr>
          <w:rFonts w:cs="Arial"/>
          <w:b/>
          <w:bCs/>
          <w:i/>
          <w:iCs/>
          <w:sz w:val="24"/>
          <w:szCs w:val="24"/>
        </w:rPr>
      </w:pPr>
    </w:p>
    <w:p w14:paraId="373997E3" w14:textId="77777777" w:rsidR="00AE660B" w:rsidRDefault="00AE660B" w:rsidP="00AE660B">
      <w:pPr>
        <w:spacing w:after="0" w:line="240" w:lineRule="auto"/>
        <w:jc w:val="both"/>
        <w:rPr>
          <w:rFonts w:cs="Arial"/>
          <w:b/>
          <w:bCs/>
          <w:i/>
          <w:iCs/>
          <w:sz w:val="24"/>
          <w:szCs w:val="24"/>
        </w:rPr>
      </w:pPr>
      <w:r w:rsidRPr="00AE660B">
        <w:rPr>
          <w:rFonts w:cs="Arial"/>
          <w:b/>
          <w:bCs/>
          <w:i/>
          <w:iCs/>
          <w:sz w:val="24"/>
          <w:szCs w:val="24"/>
        </w:rPr>
        <w:lastRenderedPageBreak/>
        <w:t xml:space="preserve">But there will be far greater diversity among donors including the rising middle classes in Middle Income Countries (MICs) who will play a major role in meeting the costs of post-disaster needs through voluntary giving. The interests and concerns of rising and emerging donors will challenge and re-shape modes of assistance and the relative influence of actors within the existing system and will support the rise of new responding actors. </w:t>
      </w:r>
    </w:p>
    <w:p w14:paraId="0B729D9D" w14:textId="77777777" w:rsidR="00E17039" w:rsidRPr="00AE660B" w:rsidRDefault="00E17039" w:rsidP="00AE660B">
      <w:pPr>
        <w:spacing w:after="0" w:line="240" w:lineRule="auto"/>
        <w:jc w:val="both"/>
        <w:rPr>
          <w:rFonts w:cs="Arial"/>
          <w:b/>
          <w:bCs/>
          <w:i/>
          <w:iCs/>
          <w:sz w:val="24"/>
          <w:szCs w:val="24"/>
        </w:rPr>
      </w:pPr>
    </w:p>
    <w:p w14:paraId="3784ADB1" w14:textId="77777777" w:rsidR="00AE660B" w:rsidRDefault="00AE660B" w:rsidP="00AE660B">
      <w:pPr>
        <w:spacing w:after="0" w:line="240" w:lineRule="auto"/>
        <w:jc w:val="both"/>
        <w:rPr>
          <w:rFonts w:cs="Arial"/>
          <w:b/>
          <w:bCs/>
          <w:i/>
          <w:iCs/>
          <w:sz w:val="24"/>
          <w:szCs w:val="24"/>
        </w:rPr>
      </w:pPr>
      <w:r w:rsidRPr="00AE660B">
        <w:rPr>
          <w:rFonts w:cs="Arial"/>
          <w:b/>
          <w:bCs/>
          <w:i/>
          <w:iCs/>
          <w:sz w:val="24"/>
          <w:szCs w:val="24"/>
        </w:rPr>
        <w:t xml:space="preserve">Crisis-affected individuals will receive a ‘bundle’ of financial and material assistance through a variety of channels including commercial savings, loans and insurance; cash and material assistance from relatives and local collectives; government cash transfers and welfare payments; temporary access to subsidised or free goods and service provided by the domestic and international private sector; and finally, cash, material relief and access to services provided by domestic civil society organisations and international humanitarian actors, including the UN and international and regional NGOs. </w:t>
      </w:r>
    </w:p>
    <w:p w14:paraId="4715545F" w14:textId="77777777" w:rsidR="00E17039" w:rsidRPr="00AE660B" w:rsidRDefault="00E17039" w:rsidP="00AE660B">
      <w:pPr>
        <w:spacing w:after="0" w:line="240" w:lineRule="auto"/>
        <w:jc w:val="both"/>
        <w:rPr>
          <w:rFonts w:cs="Arial"/>
          <w:b/>
          <w:bCs/>
          <w:i/>
          <w:iCs/>
          <w:sz w:val="24"/>
          <w:szCs w:val="24"/>
        </w:rPr>
      </w:pPr>
    </w:p>
    <w:p w14:paraId="78082B0D" w14:textId="77777777" w:rsidR="00AE660B" w:rsidRDefault="00AE660B" w:rsidP="00AE660B">
      <w:pPr>
        <w:spacing w:after="0" w:line="240" w:lineRule="auto"/>
        <w:jc w:val="both"/>
        <w:rPr>
          <w:rFonts w:cs="Arial"/>
          <w:b/>
          <w:bCs/>
          <w:i/>
          <w:iCs/>
          <w:sz w:val="24"/>
          <w:szCs w:val="24"/>
        </w:rPr>
      </w:pPr>
      <w:r w:rsidRPr="00AE660B">
        <w:rPr>
          <w:rFonts w:cs="Arial"/>
          <w:b/>
          <w:bCs/>
          <w:i/>
          <w:iCs/>
          <w:sz w:val="24"/>
          <w:szCs w:val="24"/>
        </w:rPr>
        <w:t xml:space="preserve">Responses will be co-ordinated primarily by governments and regional inter-governmental organisations and will draw on international humanitarian standards, emerging norms around transparency and using new communications technology. Elsewhere, international actors will continue to provide classic principled humanitarian assistance in contested settings - where there is conflict, political instability or persecution of minority groups – substituting for a lack of domestic capacity or will to assist affected populations. Modes of assistance will be modernised and make greater use of more efficient technology and relief products and services. </w:t>
      </w:r>
    </w:p>
    <w:p w14:paraId="18528D2B" w14:textId="77777777" w:rsidR="00E17039" w:rsidRPr="00AE660B" w:rsidRDefault="00E17039" w:rsidP="00AE660B">
      <w:pPr>
        <w:spacing w:after="0" w:line="240" w:lineRule="auto"/>
        <w:jc w:val="both"/>
        <w:rPr>
          <w:rFonts w:cs="Arial"/>
          <w:b/>
          <w:bCs/>
          <w:i/>
          <w:iCs/>
          <w:sz w:val="24"/>
          <w:szCs w:val="24"/>
        </w:rPr>
      </w:pPr>
    </w:p>
    <w:p w14:paraId="6C688410" w14:textId="77777777" w:rsidR="00AE660B" w:rsidRPr="00AE660B" w:rsidRDefault="00AE660B" w:rsidP="00AE660B">
      <w:pPr>
        <w:spacing w:after="0" w:line="240" w:lineRule="auto"/>
        <w:jc w:val="both"/>
        <w:rPr>
          <w:rFonts w:cs="Arial"/>
          <w:b/>
          <w:bCs/>
          <w:i/>
          <w:iCs/>
          <w:sz w:val="24"/>
          <w:szCs w:val="24"/>
        </w:rPr>
      </w:pPr>
      <w:r w:rsidRPr="00AE660B">
        <w:rPr>
          <w:rFonts w:cs="Arial"/>
          <w:b/>
          <w:bCs/>
          <w:i/>
          <w:iCs/>
          <w:sz w:val="24"/>
          <w:szCs w:val="24"/>
        </w:rPr>
        <w:t>Influenced by new global norms, treaties, and financing tools, governments and private sector actors will invest in mitigating the risks of climate change and building resilience to disasters, offsetting some of the rising costs of responding to climate-related disasters. In addition, with the technical and financing support of international development partners – including South-South cooperation - governments will invest in their capacity to manage and respond to disasters.</w:t>
      </w:r>
    </w:p>
    <w:p w14:paraId="009F3AB3" w14:textId="77777777" w:rsidR="00AE660B" w:rsidRPr="00AE660B" w:rsidRDefault="00AE660B" w:rsidP="00AE660B">
      <w:pPr>
        <w:spacing w:after="0" w:line="240" w:lineRule="auto"/>
        <w:jc w:val="both"/>
        <w:rPr>
          <w:rFonts w:cs="Arial"/>
          <w:b/>
          <w:bCs/>
          <w:i/>
          <w:iCs/>
          <w:sz w:val="24"/>
          <w:szCs w:val="24"/>
        </w:rPr>
      </w:pPr>
    </w:p>
    <w:p w14:paraId="779B9341" w14:textId="77777777" w:rsidR="00AE660B" w:rsidRDefault="00AE660B" w:rsidP="00AE660B">
      <w:pPr>
        <w:spacing w:after="0" w:line="240" w:lineRule="auto"/>
        <w:jc w:val="both"/>
        <w:rPr>
          <w:rFonts w:cs="Arial"/>
          <w:sz w:val="24"/>
          <w:szCs w:val="24"/>
        </w:rPr>
      </w:pPr>
      <w:r w:rsidRPr="00AE660B">
        <w:rPr>
          <w:rFonts w:cs="Arial"/>
          <w:sz w:val="24"/>
          <w:szCs w:val="24"/>
        </w:rPr>
        <w:t>The IASC Working Group may wish to consider and agree to the following:</w:t>
      </w:r>
    </w:p>
    <w:p w14:paraId="1A3727AE" w14:textId="77777777" w:rsidR="00991C1A" w:rsidRPr="00AE660B" w:rsidRDefault="00991C1A" w:rsidP="00AE660B">
      <w:pPr>
        <w:spacing w:after="0" w:line="240" w:lineRule="auto"/>
        <w:jc w:val="both"/>
        <w:rPr>
          <w:rFonts w:cs="Arial"/>
          <w:sz w:val="24"/>
          <w:szCs w:val="24"/>
        </w:rPr>
      </w:pPr>
    </w:p>
    <w:p w14:paraId="266D2797" w14:textId="77777777" w:rsidR="00AE660B" w:rsidRDefault="00AE660B" w:rsidP="00AE660B">
      <w:pPr>
        <w:numPr>
          <w:ilvl w:val="0"/>
          <w:numId w:val="21"/>
        </w:numPr>
        <w:spacing w:after="0" w:line="240" w:lineRule="auto"/>
        <w:jc w:val="both"/>
        <w:rPr>
          <w:rFonts w:cs="Arial"/>
          <w:sz w:val="24"/>
          <w:szCs w:val="24"/>
        </w:rPr>
      </w:pPr>
      <w:proofErr w:type="gramStart"/>
      <w:r w:rsidRPr="00AE660B">
        <w:rPr>
          <w:rFonts w:cs="Arial"/>
          <w:sz w:val="24"/>
          <w:szCs w:val="24"/>
        </w:rPr>
        <w:t>as</w:t>
      </w:r>
      <w:proofErr w:type="gramEnd"/>
      <w:r w:rsidRPr="00AE660B">
        <w:rPr>
          <w:rFonts w:cs="Arial"/>
          <w:sz w:val="24"/>
          <w:szCs w:val="24"/>
        </w:rPr>
        <w:t xml:space="preserve"> suggested in the Executive Summary,  prioritise, research and invest in recommended actions under the 5 areas, notably, </w:t>
      </w:r>
      <w:r w:rsidRPr="00AE660B">
        <w:rPr>
          <w:rFonts w:cs="Arial"/>
          <w:b/>
          <w:sz w:val="24"/>
          <w:szCs w:val="24"/>
        </w:rPr>
        <w:t xml:space="preserve">re-balancing the division of labour, prioritising nationally-led response, </w:t>
      </w:r>
      <w:r w:rsidRPr="00AE660B">
        <w:rPr>
          <w:rFonts w:cs="Arial"/>
          <w:sz w:val="24"/>
          <w:szCs w:val="24"/>
        </w:rPr>
        <w:t xml:space="preserve"> embracing diversity, </w:t>
      </w:r>
      <w:r w:rsidRPr="00AE660B">
        <w:rPr>
          <w:rFonts w:cs="Arial"/>
          <w:b/>
          <w:sz w:val="24"/>
          <w:szCs w:val="24"/>
        </w:rPr>
        <w:t xml:space="preserve">building a progressive humanitarian enterprise </w:t>
      </w:r>
      <w:r w:rsidRPr="00AE660B">
        <w:rPr>
          <w:rFonts w:cs="Arial"/>
          <w:sz w:val="24"/>
          <w:szCs w:val="24"/>
        </w:rPr>
        <w:t xml:space="preserve">and </w:t>
      </w:r>
      <w:r w:rsidRPr="00AE660B">
        <w:rPr>
          <w:rFonts w:cs="Arial"/>
          <w:b/>
          <w:sz w:val="24"/>
          <w:szCs w:val="24"/>
        </w:rPr>
        <w:t>system upgrades</w:t>
      </w:r>
      <w:r w:rsidRPr="00AE660B">
        <w:rPr>
          <w:rFonts w:cs="Arial"/>
          <w:sz w:val="24"/>
          <w:szCs w:val="24"/>
        </w:rPr>
        <w:t>. (FHF Steering Group members will elaborate on recommendations as presented in the Executive Summary attached to these 2 pages);</w:t>
      </w:r>
    </w:p>
    <w:p w14:paraId="096F2A20" w14:textId="77777777" w:rsidR="00991C1A" w:rsidRPr="00AE660B" w:rsidRDefault="00991C1A" w:rsidP="00991C1A">
      <w:pPr>
        <w:numPr>
          <w:ilvl w:val="0"/>
          <w:numId w:val="21"/>
        </w:numPr>
        <w:spacing w:after="0" w:line="240" w:lineRule="auto"/>
        <w:jc w:val="both"/>
        <w:rPr>
          <w:rFonts w:cs="Arial"/>
          <w:sz w:val="24"/>
          <w:szCs w:val="24"/>
        </w:rPr>
      </w:pPr>
      <w:proofErr w:type="gramStart"/>
      <w:r w:rsidRPr="00AE660B">
        <w:rPr>
          <w:rFonts w:cs="Arial"/>
          <w:sz w:val="24"/>
          <w:szCs w:val="24"/>
        </w:rPr>
        <w:t>consider</w:t>
      </w:r>
      <w:proofErr w:type="gramEnd"/>
      <w:r w:rsidRPr="00AE660B">
        <w:rPr>
          <w:rFonts w:cs="Arial"/>
          <w:sz w:val="24"/>
          <w:szCs w:val="24"/>
        </w:rPr>
        <w:t xml:space="preserve"> key findings and recommendations to be prioritised and submitted to the High-Level Panel on Financing and to the Financing for Development process, through the IASC Principals. </w:t>
      </w:r>
    </w:p>
    <w:p w14:paraId="31FE5721" w14:textId="77777777" w:rsidR="00E17039" w:rsidRPr="00AE660B" w:rsidRDefault="00E17039" w:rsidP="00991C1A">
      <w:pPr>
        <w:spacing w:after="0" w:line="240" w:lineRule="auto"/>
        <w:ind w:left="720"/>
        <w:jc w:val="both"/>
        <w:rPr>
          <w:rFonts w:cs="Arial"/>
          <w:sz w:val="24"/>
          <w:szCs w:val="24"/>
        </w:rPr>
      </w:pPr>
    </w:p>
    <w:p w14:paraId="07B56754" w14:textId="77777777" w:rsidR="00AE660B" w:rsidRDefault="00AE660B" w:rsidP="00D23357">
      <w:pPr>
        <w:spacing w:after="0" w:line="240" w:lineRule="auto"/>
        <w:jc w:val="both"/>
        <w:rPr>
          <w:rFonts w:cs="Arial"/>
          <w:sz w:val="24"/>
          <w:szCs w:val="24"/>
        </w:rPr>
      </w:pPr>
    </w:p>
    <w:p w14:paraId="46D919DD" w14:textId="77777777" w:rsidR="00C67D8F" w:rsidRDefault="00C67D8F" w:rsidP="00D23357">
      <w:pPr>
        <w:spacing w:after="0" w:line="240" w:lineRule="auto"/>
        <w:jc w:val="both"/>
        <w:rPr>
          <w:rFonts w:cs="Arial"/>
          <w:sz w:val="24"/>
          <w:szCs w:val="24"/>
        </w:rPr>
      </w:pPr>
    </w:p>
    <w:p w14:paraId="5C8F9585" w14:textId="77777777" w:rsidR="00C67D8F" w:rsidRDefault="00C67D8F" w:rsidP="00D23357">
      <w:pPr>
        <w:spacing w:after="0" w:line="240" w:lineRule="auto"/>
        <w:jc w:val="both"/>
        <w:rPr>
          <w:rFonts w:cs="Arial"/>
          <w:sz w:val="24"/>
          <w:szCs w:val="24"/>
        </w:rPr>
      </w:pPr>
    </w:p>
    <w:p w14:paraId="0B67F659" w14:textId="3D4F8AA5" w:rsidR="00C67D8F" w:rsidRPr="00D23357" w:rsidRDefault="00547597" w:rsidP="00C67D8F">
      <w:pPr>
        <w:spacing w:after="0" w:line="240" w:lineRule="auto"/>
        <w:jc w:val="right"/>
        <w:rPr>
          <w:rFonts w:cs="Arial"/>
        </w:rPr>
      </w:pPr>
      <w:r>
        <w:rPr>
          <w:rFonts w:cs="Arial"/>
        </w:rPr>
        <w:t>Prepared by TT on Humanitarian Financing/CAFOD/FAO/WVI</w:t>
      </w:r>
      <w:bookmarkStart w:id="0" w:name="_GoBack"/>
      <w:bookmarkEnd w:id="0"/>
    </w:p>
    <w:sectPr w:rsidR="00C67D8F" w:rsidRPr="00D23357" w:rsidSect="00D23357">
      <w:headerReference w:type="default" r:id="rId10"/>
      <w:footerReference w:type="default" r:id="rId11"/>
      <w:headerReference w:type="first" r:id="rId12"/>
      <w:footerReference w:type="first" r:id="rId13"/>
      <w:type w:val="continuous"/>
      <w:pgSz w:w="11906" w:h="16838"/>
      <w:pgMar w:top="562" w:right="1440" w:bottom="562"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64D75" w14:textId="77777777" w:rsidR="000F75F1" w:rsidRDefault="000F75F1" w:rsidP="003B0A6D">
      <w:pPr>
        <w:spacing w:after="0" w:line="240" w:lineRule="auto"/>
      </w:pPr>
      <w:r>
        <w:separator/>
      </w:r>
    </w:p>
  </w:endnote>
  <w:endnote w:type="continuationSeparator" w:id="0">
    <w:p w14:paraId="3BEDBA99" w14:textId="77777777" w:rsidR="000F75F1" w:rsidRDefault="000F75F1" w:rsidP="003B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65924"/>
      <w:docPartObj>
        <w:docPartGallery w:val="Page Numbers (Bottom of Page)"/>
        <w:docPartUnique/>
      </w:docPartObj>
    </w:sdtPr>
    <w:sdtEndPr>
      <w:rPr>
        <w:rFonts w:asciiTheme="majorHAnsi" w:hAnsiTheme="majorHAnsi"/>
        <w:noProof/>
        <w:sz w:val="20"/>
        <w:szCs w:val="20"/>
      </w:rPr>
    </w:sdtEndPr>
    <w:sdtContent>
      <w:p w14:paraId="510D9CF6" w14:textId="77777777" w:rsidR="00C02DF9" w:rsidRPr="004346BD" w:rsidRDefault="00C02DF9" w:rsidP="00D23357">
        <w:pPr>
          <w:pStyle w:val="Footer"/>
          <w:jc w:val="right"/>
        </w:pPr>
        <w:r w:rsidRPr="00031F22">
          <w:rPr>
            <w:rFonts w:asciiTheme="majorHAnsi" w:hAnsiTheme="majorHAnsi"/>
            <w:i/>
            <w:sz w:val="20"/>
            <w:szCs w:val="20"/>
            <w:lang w:val="en-US"/>
          </w:rPr>
          <w:t>8</w:t>
        </w:r>
        <w:r>
          <w:rPr>
            <w:rFonts w:asciiTheme="majorHAnsi" w:hAnsiTheme="majorHAnsi"/>
            <w:i/>
            <w:sz w:val="20"/>
            <w:szCs w:val="20"/>
            <w:lang w:val="en-US"/>
          </w:rPr>
          <w:t>8</w:t>
        </w:r>
        <w:r w:rsidRPr="00031F22">
          <w:rPr>
            <w:rFonts w:asciiTheme="majorHAnsi" w:hAnsiTheme="majorHAnsi"/>
            <w:i/>
            <w:sz w:val="20"/>
            <w:szCs w:val="20"/>
            <w:vertAlign w:val="superscript"/>
            <w:lang w:val="en-US"/>
          </w:rPr>
          <w:t>th</w:t>
        </w:r>
        <w:r w:rsidRPr="00031F22">
          <w:rPr>
            <w:rFonts w:asciiTheme="majorHAnsi" w:hAnsiTheme="majorHAnsi"/>
            <w:i/>
            <w:sz w:val="20"/>
            <w:szCs w:val="20"/>
            <w:lang w:val="en-US"/>
          </w:rPr>
          <w:t xml:space="preserve"> IASC Working Group, </w:t>
        </w:r>
        <w:r>
          <w:rPr>
            <w:rFonts w:asciiTheme="majorHAnsi" w:hAnsiTheme="majorHAnsi"/>
            <w:i/>
            <w:sz w:val="20"/>
            <w:szCs w:val="20"/>
            <w:lang w:val="en-US"/>
          </w:rPr>
          <w:t>10-11 March 2015</w:t>
        </w:r>
        <w:r>
          <w:rPr>
            <w:rFonts w:asciiTheme="majorHAnsi" w:hAnsiTheme="majorHAnsi"/>
            <w:i/>
            <w:sz w:val="20"/>
            <w:szCs w:val="20"/>
            <w:lang w:val="en-US"/>
          </w:rPr>
          <w:tab/>
        </w:r>
        <w:r>
          <w:rPr>
            <w:rFonts w:asciiTheme="majorHAnsi" w:hAnsiTheme="majorHAnsi"/>
            <w:i/>
            <w:sz w:val="20"/>
            <w:szCs w:val="20"/>
            <w:lang w:val="en-US"/>
          </w:rPr>
          <w:tab/>
        </w:r>
        <w:r>
          <w:rPr>
            <w:rFonts w:asciiTheme="majorHAnsi" w:hAnsiTheme="majorHAnsi"/>
            <w:i/>
            <w:sz w:val="20"/>
            <w:szCs w:val="20"/>
            <w:lang w:val="en-US"/>
          </w:rPr>
          <w:tab/>
        </w:r>
        <w:r w:rsidRPr="004346BD">
          <w:rPr>
            <w:rFonts w:asciiTheme="majorHAnsi" w:hAnsiTheme="majorHAnsi"/>
            <w:sz w:val="20"/>
            <w:szCs w:val="20"/>
          </w:rPr>
          <w:fldChar w:fldCharType="begin"/>
        </w:r>
        <w:r w:rsidRPr="004346BD">
          <w:rPr>
            <w:rFonts w:asciiTheme="majorHAnsi" w:hAnsiTheme="majorHAnsi"/>
            <w:sz w:val="20"/>
            <w:szCs w:val="20"/>
          </w:rPr>
          <w:instrText xml:space="preserve"> PAGE   \* MERGEFORMAT </w:instrText>
        </w:r>
        <w:r w:rsidRPr="004346BD">
          <w:rPr>
            <w:rFonts w:asciiTheme="majorHAnsi" w:hAnsiTheme="majorHAnsi"/>
            <w:sz w:val="20"/>
            <w:szCs w:val="20"/>
          </w:rPr>
          <w:fldChar w:fldCharType="separate"/>
        </w:r>
        <w:r w:rsidR="00547597">
          <w:rPr>
            <w:rFonts w:asciiTheme="majorHAnsi" w:hAnsiTheme="majorHAnsi"/>
            <w:noProof/>
            <w:sz w:val="20"/>
            <w:szCs w:val="20"/>
          </w:rPr>
          <w:t>1</w:t>
        </w:r>
        <w:r w:rsidRPr="004346BD">
          <w:rPr>
            <w:rFonts w:asciiTheme="majorHAnsi" w:hAnsiTheme="maj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6BA6" w14:textId="77777777" w:rsidR="00C02DF9" w:rsidRPr="00031F22" w:rsidRDefault="00C02DF9" w:rsidP="004346BD">
    <w:pPr>
      <w:pStyle w:val="Footer"/>
      <w:rPr>
        <w:rFonts w:asciiTheme="majorHAnsi" w:hAnsiTheme="majorHAnsi"/>
        <w:i/>
        <w:sz w:val="20"/>
        <w:szCs w:val="20"/>
        <w:lang w:val="en-US"/>
      </w:rPr>
    </w:pPr>
    <w:r w:rsidRPr="00031F22">
      <w:rPr>
        <w:rFonts w:asciiTheme="majorHAnsi" w:hAnsiTheme="majorHAnsi"/>
        <w:i/>
        <w:sz w:val="20"/>
        <w:szCs w:val="20"/>
        <w:lang w:val="en-US"/>
      </w:rPr>
      <w:t>8</w:t>
    </w:r>
    <w:r>
      <w:rPr>
        <w:rFonts w:asciiTheme="majorHAnsi" w:hAnsiTheme="majorHAnsi"/>
        <w:i/>
        <w:sz w:val="20"/>
        <w:szCs w:val="20"/>
        <w:lang w:val="en-US"/>
      </w:rPr>
      <w:t>7</w:t>
    </w:r>
    <w:r w:rsidRPr="00031F22">
      <w:rPr>
        <w:rFonts w:asciiTheme="majorHAnsi" w:hAnsiTheme="majorHAnsi"/>
        <w:i/>
        <w:sz w:val="20"/>
        <w:szCs w:val="20"/>
        <w:vertAlign w:val="superscript"/>
        <w:lang w:val="en-US"/>
      </w:rPr>
      <w:t>th</w:t>
    </w:r>
    <w:r w:rsidRPr="00031F22">
      <w:rPr>
        <w:rFonts w:asciiTheme="majorHAnsi" w:hAnsiTheme="majorHAnsi"/>
        <w:i/>
        <w:sz w:val="20"/>
        <w:szCs w:val="20"/>
        <w:lang w:val="en-US"/>
      </w:rPr>
      <w:t xml:space="preserve"> IASC Working Group, </w:t>
    </w:r>
    <w:r>
      <w:rPr>
        <w:rFonts w:asciiTheme="majorHAnsi" w:hAnsiTheme="majorHAnsi"/>
        <w:i/>
        <w:sz w:val="20"/>
        <w:szCs w:val="20"/>
        <w:lang w:val="en-US"/>
      </w:rPr>
      <w:t>29-30 October 2014</w:t>
    </w:r>
  </w:p>
  <w:p w14:paraId="08167FF9" w14:textId="77777777" w:rsidR="00C02DF9" w:rsidRPr="004346BD" w:rsidRDefault="00C02DF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3A58E" w14:textId="77777777" w:rsidR="000F75F1" w:rsidRDefault="000F75F1" w:rsidP="003B0A6D">
      <w:pPr>
        <w:spacing w:after="0" w:line="240" w:lineRule="auto"/>
      </w:pPr>
      <w:r>
        <w:separator/>
      </w:r>
    </w:p>
  </w:footnote>
  <w:footnote w:type="continuationSeparator" w:id="0">
    <w:p w14:paraId="7E809A94" w14:textId="77777777" w:rsidR="000F75F1" w:rsidRDefault="000F75F1" w:rsidP="003B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F77F" w14:textId="29543897" w:rsidR="00C02DF9" w:rsidRPr="009D0071" w:rsidRDefault="00D03FA9" w:rsidP="009D0071">
    <w:pPr>
      <w:pStyle w:val="Header"/>
      <w:pBdr>
        <w:between w:val="single" w:sz="4" w:space="1" w:color="4F81BD" w:themeColor="accent1"/>
      </w:pBdr>
      <w:spacing w:line="276" w:lineRule="auto"/>
      <w:rPr>
        <w:rFonts w:asciiTheme="majorHAnsi" w:hAnsiTheme="majorHAnsi"/>
        <w:color w:val="4F81BD" w:themeColor="accent1"/>
      </w:rPr>
    </w:pPr>
    <w:r>
      <w:rPr>
        <w:rFonts w:asciiTheme="majorHAnsi" w:hAnsiTheme="majorHAnsi"/>
        <w:i/>
        <w:color w:val="4F81BD" w:themeColor="accent1"/>
        <w:sz w:val="20"/>
        <w:szCs w:val="20"/>
      </w:rPr>
      <w:t>Future of Humanitarian Financing</w:t>
    </w:r>
    <w:r w:rsidR="00C02DF9" w:rsidRPr="009D0071">
      <w:rPr>
        <w:rFonts w:asciiTheme="majorHAnsi" w:hAnsiTheme="majorHAnsi"/>
        <w:i/>
        <w:color w:val="4F81BD" w:themeColor="accent1"/>
        <w:sz w:val="20"/>
        <w:szCs w:val="20"/>
      </w:rPr>
      <w:t xml:space="preserve">, </w:t>
    </w:r>
    <w:r w:rsidR="00C02DF9">
      <w:rPr>
        <w:rFonts w:asciiTheme="majorHAnsi" w:hAnsiTheme="majorHAnsi"/>
        <w:i/>
        <w:color w:val="4F81BD" w:themeColor="accent1"/>
        <w:sz w:val="20"/>
        <w:szCs w:val="20"/>
      </w:rPr>
      <w:t>88</w:t>
    </w:r>
    <w:r w:rsidR="00C02DF9" w:rsidRPr="00915E08">
      <w:rPr>
        <w:rFonts w:asciiTheme="majorHAnsi" w:hAnsiTheme="majorHAnsi"/>
        <w:i/>
        <w:color w:val="4F81BD" w:themeColor="accent1"/>
        <w:sz w:val="20"/>
        <w:szCs w:val="20"/>
        <w:vertAlign w:val="superscript"/>
      </w:rPr>
      <w:t>th</w:t>
    </w:r>
    <w:r w:rsidR="00C02DF9">
      <w:rPr>
        <w:rFonts w:asciiTheme="majorHAnsi" w:hAnsiTheme="majorHAnsi"/>
        <w:i/>
        <w:color w:val="4F81BD" w:themeColor="accent1"/>
        <w:sz w:val="20"/>
        <w:szCs w:val="20"/>
      </w:rPr>
      <w:t xml:space="preserve"> IASC Working Group Meeting</w:t>
    </w:r>
  </w:p>
  <w:p w14:paraId="6F088598" w14:textId="3BF7BFE4" w:rsidR="00C02DF9" w:rsidRPr="00A152A2" w:rsidRDefault="00C02DF9" w:rsidP="009D0071">
    <w:pPr>
      <w:pStyle w:val="Header"/>
      <w:pBdr>
        <w:between w:val="single" w:sz="4" w:space="1" w:color="4F81BD" w:themeColor="accent1"/>
      </w:pBdr>
      <w:spacing w:line="276" w:lineRule="auto"/>
      <w:rPr>
        <w:rFonts w:asciiTheme="majorHAnsi" w:hAnsiTheme="majorHAnsi"/>
        <w:i/>
        <w:color w:val="4F81BD" w:themeColor="accent1"/>
        <w:sz w:val="20"/>
        <w:szCs w:val="20"/>
        <w:lang w:val="en-US"/>
      </w:rPr>
    </w:pPr>
  </w:p>
  <w:p w14:paraId="34FA1CD8" w14:textId="77777777" w:rsidR="00C02DF9" w:rsidRDefault="00C02DF9" w:rsidP="002321E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5B5C9" w14:textId="77777777" w:rsidR="00C02DF9" w:rsidRPr="009D0071" w:rsidRDefault="00C02DF9" w:rsidP="003E0F40">
    <w:pPr>
      <w:pStyle w:val="Header"/>
      <w:pBdr>
        <w:between w:val="single" w:sz="4" w:space="1" w:color="4F81BD" w:themeColor="accent1"/>
      </w:pBdr>
      <w:spacing w:line="276" w:lineRule="auto"/>
      <w:rPr>
        <w:rFonts w:asciiTheme="majorHAnsi" w:hAnsiTheme="majorHAnsi"/>
        <w:color w:val="4F81BD" w:themeColor="accent1"/>
      </w:rPr>
    </w:pPr>
    <w:r w:rsidRPr="009D0071">
      <w:rPr>
        <w:rFonts w:asciiTheme="majorHAnsi" w:hAnsiTheme="majorHAnsi"/>
        <w:i/>
        <w:color w:val="4F81BD" w:themeColor="accent1"/>
        <w:sz w:val="20"/>
        <w:szCs w:val="20"/>
      </w:rPr>
      <w:t xml:space="preserve">Draft Agenda, </w:t>
    </w:r>
    <w:r>
      <w:rPr>
        <w:rFonts w:asciiTheme="majorHAnsi" w:hAnsiTheme="majorHAnsi"/>
        <w:i/>
        <w:color w:val="4F81BD" w:themeColor="accent1"/>
        <w:sz w:val="20"/>
        <w:szCs w:val="20"/>
      </w:rPr>
      <w:t>87</w:t>
    </w:r>
    <w:r w:rsidRPr="00FF3DA6">
      <w:rPr>
        <w:rFonts w:asciiTheme="majorHAnsi" w:hAnsiTheme="majorHAnsi"/>
        <w:i/>
        <w:color w:val="4F81BD" w:themeColor="accent1"/>
        <w:sz w:val="20"/>
        <w:szCs w:val="20"/>
        <w:vertAlign w:val="superscript"/>
      </w:rPr>
      <w:t>th</w:t>
    </w:r>
    <w:r>
      <w:rPr>
        <w:rFonts w:asciiTheme="majorHAnsi" w:hAnsiTheme="majorHAnsi"/>
        <w:i/>
        <w:color w:val="4F81BD" w:themeColor="accent1"/>
        <w:sz w:val="20"/>
        <w:szCs w:val="20"/>
      </w:rPr>
      <w:t xml:space="preserve"> IASC Working Group Meeting</w:t>
    </w:r>
  </w:p>
  <w:p w14:paraId="319BCEFD" w14:textId="77777777" w:rsidR="00C02DF9" w:rsidRPr="003E0F40" w:rsidRDefault="00C02DF9" w:rsidP="003E0F40">
    <w:pPr>
      <w:pStyle w:val="Header"/>
      <w:pBdr>
        <w:between w:val="single" w:sz="4" w:space="1" w:color="4F81BD" w:themeColor="accent1"/>
      </w:pBdr>
      <w:spacing w:line="276" w:lineRule="auto"/>
      <w:rPr>
        <w:rFonts w:asciiTheme="majorHAnsi" w:hAnsiTheme="majorHAnsi"/>
        <w:i/>
        <w:color w:val="4F81BD" w:themeColor="accent1"/>
        <w:sz w:val="20"/>
        <w:szCs w:val="20"/>
      </w:rPr>
    </w:pPr>
    <w:r>
      <w:rPr>
        <w:rFonts w:asciiTheme="majorHAnsi" w:hAnsiTheme="majorHAnsi"/>
        <w:i/>
        <w:color w:val="4F81BD" w:themeColor="accent1"/>
        <w:sz w:val="20"/>
        <w:szCs w:val="20"/>
        <w:lang w:val="en-US"/>
      </w:rPr>
      <w:t>(As of 3 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61C"/>
    <w:multiLevelType w:val="hybridMultilevel"/>
    <w:tmpl w:val="0834F932"/>
    <w:lvl w:ilvl="0" w:tplc="08090001">
      <w:start w:val="1"/>
      <w:numFmt w:val="bullet"/>
      <w:lvlText w:val=""/>
      <w:lvlJc w:val="left"/>
      <w:pPr>
        <w:tabs>
          <w:tab w:val="num" w:pos="720"/>
        </w:tabs>
        <w:ind w:left="720" w:hanging="360"/>
      </w:pPr>
      <w:rPr>
        <w:rFonts w:ascii="Symbol" w:hAnsi="Symbol"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45E1BF2"/>
    <w:multiLevelType w:val="multilevel"/>
    <w:tmpl w:val="FB7EC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D20D7E"/>
    <w:multiLevelType w:val="hybridMultilevel"/>
    <w:tmpl w:val="5E426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A866E4"/>
    <w:multiLevelType w:val="hybridMultilevel"/>
    <w:tmpl w:val="5752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B2FE2"/>
    <w:multiLevelType w:val="hybridMultilevel"/>
    <w:tmpl w:val="B1300AEC"/>
    <w:lvl w:ilvl="0" w:tplc="4F667B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B3F6D"/>
    <w:multiLevelType w:val="hybridMultilevel"/>
    <w:tmpl w:val="199A989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6">
    <w:nsid w:val="2C394990"/>
    <w:multiLevelType w:val="hybridMultilevel"/>
    <w:tmpl w:val="CB60B89A"/>
    <w:lvl w:ilvl="0" w:tplc="58CA96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BF3B15"/>
    <w:multiLevelType w:val="hybridMultilevel"/>
    <w:tmpl w:val="AC32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6E59AD"/>
    <w:multiLevelType w:val="hybridMultilevel"/>
    <w:tmpl w:val="327E819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8C2FF2"/>
    <w:multiLevelType w:val="hybridMultilevel"/>
    <w:tmpl w:val="40EE7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3141C6"/>
    <w:multiLevelType w:val="hybridMultilevel"/>
    <w:tmpl w:val="F984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BE0924"/>
    <w:multiLevelType w:val="hybridMultilevel"/>
    <w:tmpl w:val="9F36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EE5807"/>
    <w:multiLevelType w:val="hybridMultilevel"/>
    <w:tmpl w:val="95D0EC2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3867F1"/>
    <w:multiLevelType w:val="hybridMultilevel"/>
    <w:tmpl w:val="1846B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E3644A"/>
    <w:multiLevelType w:val="hybridMultilevel"/>
    <w:tmpl w:val="552C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565B28"/>
    <w:multiLevelType w:val="hybridMultilevel"/>
    <w:tmpl w:val="50F2CCB8"/>
    <w:lvl w:ilvl="0" w:tplc="CD7EF4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3CE2033"/>
    <w:multiLevelType w:val="multilevel"/>
    <w:tmpl w:val="E70EBD5E"/>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3F57CDC"/>
    <w:multiLevelType w:val="hybridMultilevel"/>
    <w:tmpl w:val="7C72AE64"/>
    <w:lvl w:ilvl="0" w:tplc="149264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A3184D"/>
    <w:multiLevelType w:val="hybridMultilevel"/>
    <w:tmpl w:val="CAC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DB52A4"/>
    <w:multiLevelType w:val="hybridMultilevel"/>
    <w:tmpl w:val="E5048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A1393B"/>
    <w:multiLevelType w:val="hybridMultilevel"/>
    <w:tmpl w:val="A09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5"/>
  </w:num>
  <w:num w:numId="4">
    <w:abstractNumId w:val="0"/>
  </w:num>
  <w:num w:numId="5">
    <w:abstractNumId w:val="8"/>
  </w:num>
  <w:num w:numId="6">
    <w:abstractNumId w:val="2"/>
  </w:num>
  <w:num w:numId="7">
    <w:abstractNumId w:val="9"/>
  </w:num>
  <w:num w:numId="8">
    <w:abstractNumId w:val="7"/>
  </w:num>
  <w:num w:numId="9">
    <w:abstractNumId w:val="16"/>
  </w:num>
  <w:num w:numId="10">
    <w:abstractNumId w:val="3"/>
  </w:num>
  <w:num w:numId="11">
    <w:abstractNumId w:val="14"/>
  </w:num>
  <w:num w:numId="12">
    <w:abstractNumId w:val="5"/>
  </w:num>
  <w:num w:numId="13">
    <w:abstractNumId w:val="17"/>
  </w:num>
  <w:num w:numId="14">
    <w:abstractNumId w:val="4"/>
  </w:num>
  <w:num w:numId="15">
    <w:abstractNumId w:val="18"/>
  </w:num>
  <w:num w:numId="16">
    <w:abstractNumId w:val="6"/>
  </w:num>
  <w:num w:numId="17">
    <w:abstractNumId w:val="10"/>
  </w:num>
  <w:num w:numId="18">
    <w:abstractNumId w:val="11"/>
  </w:num>
  <w:num w:numId="19">
    <w:abstractNumId w:val="20"/>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0E"/>
    <w:rsid w:val="00001BD0"/>
    <w:rsid w:val="000023AA"/>
    <w:rsid w:val="000063C1"/>
    <w:rsid w:val="00006471"/>
    <w:rsid w:val="00024505"/>
    <w:rsid w:val="000275FB"/>
    <w:rsid w:val="0003647B"/>
    <w:rsid w:val="00047F1D"/>
    <w:rsid w:val="00054EBB"/>
    <w:rsid w:val="0006348C"/>
    <w:rsid w:val="00066C92"/>
    <w:rsid w:val="00066CE4"/>
    <w:rsid w:val="00073CBA"/>
    <w:rsid w:val="00080389"/>
    <w:rsid w:val="00087E36"/>
    <w:rsid w:val="00091F8F"/>
    <w:rsid w:val="00095B6D"/>
    <w:rsid w:val="000A4E45"/>
    <w:rsid w:val="000B323E"/>
    <w:rsid w:val="000B3F9D"/>
    <w:rsid w:val="000C1A23"/>
    <w:rsid w:val="000D3684"/>
    <w:rsid w:val="000D7333"/>
    <w:rsid w:val="000E164D"/>
    <w:rsid w:val="000E68B8"/>
    <w:rsid w:val="000F02F4"/>
    <w:rsid w:val="000F1A2D"/>
    <w:rsid w:val="000F5D52"/>
    <w:rsid w:val="000F75F1"/>
    <w:rsid w:val="001011C3"/>
    <w:rsid w:val="001014A7"/>
    <w:rsid w:val="00101BA2"/>
    <w:rsid w:val="00101ED5"/>
    <w:rsid w:val="00110561"/>
    <w:rsid w:val="001175A5"/>
    <w:rsid w:val="00122AA1"/>
    <w:rsid w:val="001316E8"/>
    <w:rsid w:val="00131F3E"/>
    <w:rsid w:val="001550E4"/>
    <w:rsid w:val="00157AEF"/>
    <w:rsid w:val="001676C9"/>
    <w:rsid w:val="00176286"/>
    <w:rsid w:val="0017636F"/>
    <w:rsid w:val="00181186"/>
    <w:rsid w:val="00186C7E"/>
    <w:rsid w:val="00186F36"/>
    <w:rsid w:val="001A5EDB"/>
    <w:rsid w:val="001A7691"/>
    <w:rsid w:val="001B15E2"/>
    <w:rsid w:val="001B1BCC"/>
    <w:rsid w:val="001B1C4F"/>
    <w:rsid w:val="001B5F2E"/>
    <w:rsid w:val="001C2C68"/>
    <w:rsid w:val="001C4B88"/>
    <w:rsid w:val="001D3AF4"/>
    <w:rsid w:val="001E0728"/>
    <w:rsid w:val="001E3E8C"/>
    <w:rsid w:val="001E76C7"/>
    <w:rsid w:val="002047B1"/>
    <w:rsid w:val="002051C7"/>
    <w:rsid w:val="0020634E"/>
    <w:rsid w:val="00215FCF"/>
    <w:rsid w:val="00216541"/>
    <w:rsid w:val="002242E5"/>
    <w:rsid w:val="00230897"/>
    <w:rsid w:val="002321E3"/>
    <w:rsid w:val="00236D78"/>
    <w:rsid w:val="002431B1"/>
    <w:rsid w:val="002515A3"/>
    <w:rsid w:val="00251FF8"/>
    <w:rsid w:val="002531EE"/>
    <w:rsid w:val="00256726"/>
    <w:rsid w:val="00272288"/>
    <w:rsid w:val="002737DE"/>
    <w:rsid w:val="0027416F"/>
    <w:rsid w:val="00286EF7"/>
    <w:rsid w:val="002933AB"/>
    <w:rsid w:val="00293594"/>
    <w:rsid w:val="002B018C"/>
    <w:rsid w:val="002B29DE"/>
    <w:rsid w:val="002C3551"/>
    <w:rsid w:val="002D795E"/>
    <w:rsid w:val="002E553F"/>
    <w:rsid w:val="002E6D7B"/>
    <w:rsid w:val="002F47DC"/>
    <w:rsid w:val="002F5D1E"/>
    <w:rsid w:val="002F6B77"/>
    <w:rsid w:val="002F791C"/>
    <w:rsid w:val="00300DB1"/>
    <w:rsid w:val="00311791"/>
    <w:rsid w:val="00313750"/>
    <w:rsid w:val="003143C7"/>
    <w:rsid w:val="0031720E"/>
    <w:rsid w:val="0031797F"/>
    <w:rsid w:val="00321F26"/>
    <w:rsid w:val="00325CF1"/>
    <w:rsid w:val="003445E4"/>
    <w:rsid w:val="00363752"/>
    <w:rsid w:val="00374889"/>
    <w:rsid w:val="003750E1"/>
    <w:rsid w:val="00375A09"/>
    <w:rsid w:val="0037660F"/>
    <w:rsid w:val="00381DB6"/>
    <w:rsid w:val="00382E9F"/>
    <w:rsid w:val="0038406B"/>
    <w:rsid w:val="0039356D"/>
    <w:rsid w:val="003A51CF"/>
    <w:rsid w:val="003A56EC"/>
    <w:rsid w:val="003A786B"/>
    <w:rsid w:val="003B0A6D"/>
    <w:rsid w:val="003B76C2"/>
    <w:rsid w:val="003C678D"/>
    <w:rsid w:val="003D1142"/>
    <w:rsid w:val="003D3664"/>
    <w:rsid w:val="003D3CC7"/>
    <w:rsid w:val="003D7EC8"/>
    <w:rsid w:val="003E0487"/>
    <w:rsid w:val="003E0F40"/>
    <w:rsid w:val="003F1388"/>
    <w:rsid w:val="003F34F4"/>
    <w:rsid w:val="003F6AC5"/>
    <w:rsid w:val="00400AE2"/>
    <w:rsid w:val="00407EE0"/>
    <w:rsid w:val="00411F54"/>
    <w:rsid w:val="0042103D"/>
    <w:rsid w:val="004221A9"/>
    <w:rsid w:val="004222FA"/>
    <w:rsid w:val="004255BC"/>
    <w:rsid w:val="0043235B"/>
    <w:rsid w:val="004324B5"/>
    <w:rsid w:val="00433259"/>
    <w:rsid w:val="004346BD"/>
    <w:rsid w:val="0044068A"/>
    <w:rsid w:val="00443E0B"/>
    <w:rsid w:val="00452AD9"/>
    <w:rsid w:val="004552F9"/>
    <w:rsid w:val="00463DF3"/>
    <w:rsid w:val="0048045B"/>
    <w:rsid w:val="0048425B"/>
    <w:rsid w:val="004A2D03"/>
    <w:rsid w:val="004B015A"/>
    <w:rsid w:val="004B7097"/>
    <w:rsid w:val="004C5A9D"/>
    <w:rsid w:val="004D2305"/>
    <w:rsid w:val="004D7CA1"/>
    <w:rsid w:val="004E034E"/>
    <w:rsid w:val="004E49DE"/>
    <w:rsid w:val="00500F35"/>
    <w:rsid w:val="005043B5"/>
    <w:rsid w:val="0050502F"/>
    <w:rsid w:val="00513E38"/>
    <w:rsid w:val="005162B0"/>
    <w:rsid w:val="0052679E"/>
    <w:rsid w:val="00534A3D"/>
    <w:rsid w:val="00534B76"/>
    <w:rsid w:val="00540F19"/>
    <w:rsid w:val="00544396"/>
    <w:rsid w:val="00547202"/>
    <w:rsid w:val="00547597"/>
    <w:rsid w:val="00555EE3"/>
    <w:rsid w:val="00561152"/>
    <w:rsid w:val="00563971"/>
    <w:rsid w:val="00564207"/>
    <w:rsid w:val="005758DE"/>
    <w:rsid w:val="005817B3"/>
    <w:rsid w:val="0058654D"/>
    <w:rsid w:val="00587D7F"/>
    <w:rsid w:val="005A0CCA"/>
    <w:rsid w:val="005A3AF8"/>
    <w:rsid w:val="005B1018"/>
    <w:rsid w:val="005B2C77"/>
    <w:rsid w:val="005C6B28"/>
    <w:rsid w:val="005D09C1"/>
    <w:rsid w:val="005D4942"/>
    <w:rsid w:val="005E0EAD"/>
    <w:rsid w:val="005E6F38"/>
    <w:rsid w:val="005F63F3"/>
    <w:rsid w:val="00603297"/>
    <w:rsid w:val="006037B7"/>
    <w:rsid w:val="00611660"/>
    <w:rsid w:val="00614327"/>
    <w:rsid w:val="00615F04"/>
    <w:rsid w:val="0062164A"/>
    <w:rsid w:val="00624F3D"/>
    <w:rsid w:val="006300F2"/>
    <w:rsid w:val="006375BC"/>
    <w:rsid w:val="00640445"/>
    <w:rsid w:val="00643D91"/>
    <w:rsid w:val="006476A0"/>
    <w:rsid w:val="0065551C"/>
    <w:rsid w:val="0066527A"/>
    <w:rsid w:val="006721DB"/>
    <w:rsid w:val="00676C32"/>
    <w:rsid w:val="006802EB"/>
    <w:rsid w:val="0068326F"/>
    <w:rsid w:val="00693635"/>
    <w:rsid w:val="006C225F"/>
    <w:rsid w:val="006C5242"/>
    <w:rsid w:val="006C59B3"/>
    <w:rsid w:val="006D07BD"/>
    <w:rsid w:val="006D0A0C"/>
    <w:rsid w:val="006D64FE"/>
    <w:rsid w:val="006D7B11"/>
    <w:rsid w:val="006E50E9"/>
    <w:rsid w:val="006E51B1"/>
    <w:rsid w:val="006F0B6C"/>
    <w:rsid w:val="006F7FDC"/>
    <w:rsid w:val="00700E2D"/>
    <w:rsid w:val="007062CC"/>
    <w:rsid w:val="00707973"/>
    <w:rsid w:val="00711D53"/>
    <w:rsid w:val="007129B2"/>
    <w:rsid w:val="007171AB"/>
    <w:rsid w:val="00727C80"/>
    <w:rsid w:val="00747C5F"/>
    <w:rsid w:val="00750E60"/>
    <w:rsid w:val="007514D9"/>
    <w:rsid w:val="007569E7"/>
    <w:rsid w:val="00771C63"/>
    <w:rsid w:val="00772844"/>
    <w:rsid w:val="00777D27"/>
    <w:rsid w:val="007840C7"/>
    <w:rsid w:val="007946BE"/>
    <w:rsid w:val="007A13EE"/>
    <w:rsid w:val="007A5942"/>
    <w:rsid w:val="007B1A5D"/>
    <w:rsid w:val="007B255D"/>
    <w:rsid w:val="007B2840"/>
    <w:rsid w:val="007C71EB"/>
    <w:rsid w:val="007D1939"/>
    <w:rsid w:val="007E681B"/>
    <w:rsid w:val="007F3EE5"/>
    <w:rsid w:val="008019A2"/>
    <w:rsid w:val="008019DF"/>
    <w:rsid w:val="00802F45"/>
    <w:rsid w:val="0081154B"/>
    <w:rsid w:val="00812EE4"/>
    <w:rsid w:val="00822764"/>
    <w:rsid w:val="008305F3"/>
    <w:rsid w:val="00832AC3"/>
    <w:rsid w:val="0083524C"/>
    <w:rsid w:val="00837185"/>
    <w:rsid w:val="00843D64"/>
    <w:rsid w:val="00854B35"/>
    <w:rsid w:val="008574D5"/>
    <w:rsid w:val="00860945"/>
    <w:rsid w:val="00861D69"/>
    <w:rsid w:val="00864DCF"/>
    <w:rsid w:val="008778B4"/>
    <w:rsid w:val="00877B49"/>
    <w:rsid w:val="008832E1"/>
    <w:rsid w:val="00884160"/>
    <w:rsid w:val="00886A81"/>
    <w:rsid w:val="0088772F"/>
    <w:rsid w:val="008930C5"/>
    <w:rsid w:val="00893E14"/>
    <w:rsid w:val="008A7411"/>
    <w:rsid w:val="008B2D86"/>
    <w:rsid w:val="008C246D"/>
    <w:rsid w:val="008C342E"/>
    <w:rsid w:val="008D0201"/>
    <w:rsid w:val="008D3183"/>
    <w:rsid w:val="008D664B"/>
    <w:rsid w:val="008E057B"/>
    <w:rsid w:val="008E0824"/>
    <w:rsid w:val="008E58E8"/>
    <w:rsid w:val="008F461E"/>
    <w:rsid w:val="008F68A1"/>
    <w:rsid w:val="008F69C7"/>
    <w:rsid w:val="00901277"/>
    <w:rsid w:val="00902EAB"/>
    <w:rsid w:val="00911E6B"/>
    <w:rsid w:val="00911F50"/>
    <w:rsid w:val="00915E08"/>
    <w:rsid w:val="00916A0D"/>
    <w:rsid w:val="00920830"/>
    <w:rsid w:val="00920D6C"/>
    <w:rsid w:val="00923AF1"/>
    <w:rsid w:val="0092603A"/>
    <w:rsid w:val="00932377"/>
    <w:rsid w:val="00933BBB"/>
    <w:rsid w:val="00935466"/>
    <w:rsid w:val="0093743F"/>
    <w:rsid w:val="009500A3"/>
    <w:rsid w:val="00952CE8"/>
    <w:rsid w:val="00952DF0"/>
    <w:rsid w:val="00954B57"/>
    <w:rsid w:val="00955852"/>
    <w:rsid w:val="009649B3"/>
    <w:rsid w:val="0097346A"/>
    <w:rsid w:val="009747BC"/>
    <w:rsid w:val="00977B89"/>
    <w:rsid w:val="009843DB"/>
    <w:rsid w:val="009916E0"/>
    <w:rsid w:val="00991C1A"/>
    <w:rsid w:val="00993372"/>
    <w:rsid w:val="00993AF0"/>
    <w:rsid w:val="009A35EA"/>
    <w:rsid w:val="009A3F35"/>
    <w:rsid w:val="009B4323"/>
    <w:rsid w:val="009B7C4C"/>
    <w:rsid w:val="009C255A"/>
    <w:rsid w:val="009D0071"/>
    <w:rsid w:val="009D11A2"/>
    <w:rsid w:val="009D2249"/>
    <w:rsid w:val="009D69D5"/>
    <w:rsid w:val="009D7B0A"/>
    <w:rsid w:val="009E1559"/>
    <w:rsid w:val="009E3AC0"/>
    <w:rsid w:val="009E3C42"/>
    <w:rsid w:val="009F27CC"/>
    <w:rsid w:val="009F3044"/>
    <w:rsid w:val="009F3FA9"/>
    <w:rsid w:val="009F79D8"/>
    <w:rsid w:val="00A045D0"/>
    <w:rsid w:val="00A05296"/>
    <w:rsid w:val="00A1273A"/>
    <w:rsid w:val="00A14590"/>
    <w:rsid w:val="00A152A2"/>
    <w:rsid w:val="00A1581C"/>
    <w:rsid w:val="00A168F2"/>
    <w:rsid w:val="00A242D6"/>
    <w:rsid w:val="00A25D94"/>
    <w:rsid w:val="00A25EBF"/>
    <w:rsid w:val="00A2783E"/>
    <w:rsid w:val="00A416FE"/>
    <w:rsid w:val="00A42BC5"/>
    <w:rsid w:val="00A435E0"/>
    <w:rsid w:val="00A43670"/>
    <w:rsid w:val="00A439E6"/>
    <w:rsid w:val="00A45F48"/>
    <w:rsid w:val="00A4772C"/>
    <w:rsid w:val="00A544A0"/>
    <w:rsid w:val="00A54F17"/>
    <w:rsid w:val="00A55925"/>
    <w:rsid w:val="00A562AF"/>
    <w:rsid w:val="00A56B89"/>
    <w:rsid w:val="00A61C3F"/>
    <w:rsid w:val="00A629EB"/>
    <w:rsid w:val="00A62DF4"/>
    <w:rsid w:val="00A76E89"/>
    <w:rsid w:val="00A85A7F"/>
    <w:rsid w:val="00A94D83"/>
    <w:rsid w:val="00A96FBD"/>
    <w:rsid w:val="00AA28F5"/>
    <w:rsid w:val="00AA307E"/>
    <w:rsid w:val="00AB79A0"/>
    <w:rsid w:val="00AC4611"/>
    <w:rsid w:val="00AC6B53"/>
    <w:rsid w:val="00AD0DF2"/>
    <w:rsid w:val="00AD49B1"/>
    <w:rsid w:val="00AE2BA6"/>
    <w:rsid w:val="00AE5268"/>
    <w:rsid w:val="00AE660B"/>
    <w:rsid w:val="00B00A31"/>
    <w:rsid w:val="00B04B34"/>
    <w:rsid w:val="00B05958"/>
    <w:rsid w:val="00B1737B"/>
    <w:rsid w:val="00B23DDE"/>
    <w:rsid w:val="00B25B19"/>
    <w:rsid w:val="00B26FE1"/>
    <w:rsid w:val="00B32A77"/>
    <w:rsid w:val="00B352A1"/>
    <w:rsid w:val="00B43003"/>
    <w:rsid w:val="00B50B5F"/>
    <w:rsid w:val="00B51971"/>
    <w:rsid w:val="00B64C64"/>
    <w:rsid w:val="00B67096"/>
    <w:rsid w:val="00B721F9"/>
    <w:rsid w:val="00B74F27"/>
    <w:rsid w:val="00B766D7"/>
    <w:rsid w:val="00B77E2C"/>
    <w:rsid w:val="00B8319A"/>
    <w:rsid w:val="00B84C01"/>
    <w:rsid w:val="00B85ABB"/>
    <w:rsid w:val="00B90BF9"/>
    <w:rsid w:val="00B90E07"/>
    <w:rsid w:val="00B915C5"/>
    <w:rsid w:val="00B93DDC"/>
    <w:rsid w:val="00BB4100"/>
    <w:rsid w:val="00BC0211"/>
    <w:rsid w:val="00BC34C9"/>
    <w:rsid w:val="00BC64AF"/>
    <w:rsid w:val="00BC6824"/>
    <w:rsid w:val="00BD0802"/>
    <w:rsid w:val="00BD49A1"/>
    <w:rsid w:val="00BE2D19"/>
    <w:rsid w:val="00BE37DF"/>
    <w:rsid w:val="00BE4EEF"/>
    <w:rsid w:val="00BF0482"/>
    <w:rsid w:val="00BF0D54"/>
    <w:rsid w:val="00BF6330"/>
    <w:rsid w:val="00BF6DE7"/>
    <w:rsid w:val="00BF7B92"/>
    <w:rsid w:val="00C021E8"/>
    <w:rsid w:val="00C02DF9"/>
    <w:rsid w:val="00C176A7"/>
    <w:rsid w:val="00C17D68"/>
    <w:rsid w:val="00C17F0B"/>
    <w:rsid w:val="00C21050"/>
    <w:rsid w:val="00C21470"/>
    <w:rsid w:val="00C313A9"/>
    <w:rsid w:val="00C33737"/>
    <w:rsid w:val="00C33B49"/>
    <w:rsid w:val="00C35190"/>
    <w:rsid w:val="00C40FA4"/>
    <w:rsid w:val="00C445DA"/>
    <w:rsid w:val="00C471C5"/>
    <w:rsid w:val="00C539D3"/>
    <w:rsid w:val="00C60C36"/>
    <w:rsid w:val="00C62F67"/>
    <w:rsid w:val="00C67D8F"/>
    <w:rsid w:val="00C84B0A"/>
    <w:rsid w:val="00C92669"/>
    <w:rsid w:val="00CA051B"/>
    <w:rsid w:val="00CA41C5"/>
    <w:rsid w:val="00CA4C55"/>
    <w:rsid w:val="00CA4E90"/>
    <w:rsid w:val="00CA61DB"/>
    <w:rsid w:val="00CB2083"/>
    <w:rsid w:val="00CB370B"/>
    <w:rsid w:val="00CC4E57"/>
    <w:rsid w:val="00CC7706"/>
    <w:rsid w:val="00CD4540"/>
    <w:rsid w:val="00CD5760"/>
    <w:rsid w:val="00CE0E34"/>
    <w:rsid w:val="00CE733D"/>
    <w:rsid w:val="00CF210F"/>
    <w:rsid w:val="00CF2276"/>
    <w:rsid w:val="00D00F26"/>
    <w:rsid w:val="00D02811"/>
    <w:rsid w:val="00D03FA9"/>
    <w:rsid w:val="00D041A7"/>
    <w:rsid w:val="00D04413"/>
    <w:rsid w:val="00D11B86"/>
    <w:rsid w:val="00D156EC"/>
    <w:rsid w:val="00D17111"/>
    <w:rsid w:val="00D17302"/>
    <w:rsid w:val="00D17D2B"/>
    <w:rsid w:val="00D2003E"/>
    <w:rsid w:val="00D20040"/>
    <w:rsid w:val="00D23357"/>
    <w:rsid w:val="00D25EC4"/>
    <w:rsid w:val="00D4665D"/>
    <w:rsid w:val="00D503A5"/>
    <w:rsid w:val="00D51A96"/>
    <w:rsid w:val="00D53EEE"/>
    <w:rsid w:val="00D552DA"/>
    <w:rsid w:val="00D574A2"/>
    <w:rsid w:val="00D66643"/>
    <w:rsid w:val="00D67C68"/>
    <w:rsid w:val="00D75B89"/>
    <w:rsid w:val="00D7771E"/>
    <w:rsid w:val="00D873A8"/>
    <w:rsid w:val="00D9402C"/>
    <w:rsid w:val="00D95CC3"/>
    <w:rsid w:val="00DB75B8"/>
    <w:rsid w:val="00DD3B21"/>
    <w:rsid w:val="00DE02AD"/>
    <w:rsid w:val="00DE0B09"/>
    <w:rsid w:val="00DE5AEC"/>
    <w:rsid w:val="00DE78A5"/>
    <w:rsid w:val="00DE79F3"/>
    <w:rsid w:val="00DF2FCB"/>
    <w:rsid w:val="00DF5756"/>
    <w:rsid w:val="00DF74C7"/>
    <w:rsid w:val="00DF766F"/>
    <w:rsid w:val="00E00C66"/>
    <w:rsid w:val="00E03D83"/>
    <w:rsid w:val="00E05DA7"/>
    <w:rsid w:val="00E103D3"/>
    <w:rsid w:val="00E115EE"/>
    <w:rsid w:val="00E13AAF"/>
    <w:rsid w:val="00E17039"/>
    <w:rsid w:val="00E2717E"/>
    <w:rsid w:val="00E374AB"/>
    <w:rsid w:val="00E460A4"/>
    <w:rsid w:val="00E50222"/>
    <w:rsid w:val="00E622F7"/>
    <w:rsid w:val="00E628A4"/>
    <w:rsid w:val="00E662B3"/>
    <w:rsid w:val="00E666D1"/>
    <w:rsid w:val="00E6757A"/>
    <w:rsid w:val="00E72A5A"/>
    <w:rsid w:val="00E72CA0"/>
    <w:rsid w:val="00E73B30"/>
    <w:rsid w:val="00E775CE"/>
    <w:rsid w:val="00E82DB0"/>
    <w:rsid w:val="00E90D5C"/>
    <w:rsid w:val="00EA09D4"/>
    <w:rsid w:val="00EA30EA"/>
    <w:rsid w:val="00EA46CA"/>
    <w:rsid w:val="00EA753C"/>
    <w:rsid w:val="00EB356A"/>
    <w:rsid w:val="00EB43CD"/>
    <w:rsid w:val="00EB7996"/>
    <w:rsid w:val="00EC23A6"/>
    <w:rsid w:val="00EC4C8A"/>
    <w:rsid w:val="00EC614C"/>
    <w:rsid w:val="00EC7AD4"/>
    <w:rsid w:val="00ED11FD"/>
    <w:rsid w:val="00ED3A8C"/>
    <w:rsid w:val="00EE4AAA"/>
    <w:rsid w:val="00EE5CC9"/>
    <w:rsid w:val="00EF4230"/>
    <w:rsid w:val="00EF7CFC"/>
    <w:rsid w:val="00F04CC7"/>
    <w:rsid w:val="00F065BA"/>
    <w:rsid w:val="00F12B4B"/>
    <w:rsid w:val="00F13992"/>
    <w:rsid w:val="00F1661C"/>
    <w:rsid w:val="00F253D9"/>
    <w:rsid w:val="00F26A84"/>
    <w:rsid w:val="00F26BF1"/>
    <w:rsid w:val="00F318AD"/>
    <w:rsid w:val="00F37484"/>
    <w:rsid w:val="00F42A54"/>
    <w:rsid w:val="00F44FFA"/>
    <w:rsid w:val="00F451F5"/>
    <w:rsid w:val="00F51703"/>
    <w:rsid w:val="00F51ED0"/>
    <w:rsid w:val="00F5311F"/>
    <w:rsid w:val="00F5777B"/>
    <w:rsid w:val="00F60CA8"/>
    <w:rsid w:val="00F6153E"/>
    <w:rsid w:val="00F66E61"/>
    <w:rsid w:val="00F73C0A"/>
    <w:rsid w:val="00F73ED6"/>
    <w:rsid w:val="00F77BFE"/>
    <w:rsid w:val="00F855FC"/>
    <w:rsid w:val="00F91E8B"/>
    <w:rsid w:val="00FA1B43"/>
    <w:rsid w:val="00FA3BF5"/>
    <w:rsid w:val="00FA6EBA"/>
    <w:rsid w:val="00FB1D0F"/>
    <w:rsid w:val="00FB2117"/>
    <w:rsid w:val="00FB2E4E"/>
    <w:rsid w:val="00FC5033"/>
    <w:rsid w:val="00FC716D"/>
    <w:rsid w:val="00FD37AE"/>
    <w:rsid w:val="00FD496A"/>
    <w:rsid w:val="00FD564F"/>
    <w:rsid w:val="00FE6914"/>
    <w:rsid w:val="00FE7C79"/>
    <w:rsid w:val="00FF3370"/>
    <w:rsid w:val="00FF3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6A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44"/>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qFormat/>
    <w:rsid w:val="0031720E"/>
    <w:pPr>
      <w:ind w:left="720"/>
      <w:contextualSpacing/>
    </w:pPr>
  </w:style>
  <w:style w:type="table" w:styleId="TableGrid">
    <w:name w:val="Table Grid"/>
    <w:basedOn w:val="TableNormal"/>
    <w:uiPriority w:val="59"/>
    <w:rsid w:val="0031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B84C01"/>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FootnoteText">
    <w:name w:val="footnote text"/>
    <w:basedOn w:val="Normal"/>
    <w:link w:val="FootnoteTextChar"/>
    <w:uiPriority w:val="99"/>
    <w:semiHidden/>
    <w:unhideWhenUsed/>
    <w:rsid w:val="00D23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357"/>
    <w:rPr>
      <w:sz w:val="20"/>
      <w:szCs w:val="20"/>
    </w:rPr>
  </w:style>
  <w:style w:type="character" w:styleId="FootnoteReference">
    <w:name w:val="footnote reference"/>
    <w:basedOn w:val="DefaultParagraphFont"/>
    <w:uiPriority w:val="99"/>
    <w:semiHidden/>
    <w:unhideWhenUsed/>
    <w:rsid w:val="00D233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44"/>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qFormat/>
    <w:rsid w:val="0031720E"/>
    <w:pPr>
      <w:ind w:left="720"/>
      <w:contextualSpacing/>
    </w:pPr>
  </w:style>
  <w:style w:type="table" w:styleId="TableGrid">
    <w:name w:val="Table Grid"/>
    <w:basedOn w:val="TableNormal"/>
    <w:uiPriority w:val="59"/>
    <w:rsid w:val="0031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B84C01"/>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FootnoteText">
    <w:name w:val="footnote text"/>
    <w:basedOn w:val="Normal"/>
    <w:link w:val="FootnoteTextChar"/>
    <w:uiPriority w:val="99"/>
    <w:semiHidden/>
    <w:unhideWhenUsed/>
    <w:rsid w:val="00D23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357"/>
    <w:rPr>
      <w:sz w:val="20"/>
      <w:szCs w:val="20"/>
    </w:rPr>
  </w:style>
  <w:style w:type="character" w:styleId="FootnoteReference">
    <w:name w:val="footnote reference"/>
    <w:basedOn w:val="DefaultParagraphFont"/>
    <w:uiPriority w:val="99"/>
    <w:semiHidden/>
    <w:unhideWhenUsed/>
    <w:rsid w:val="00D23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945">
      <w:bodyDiv w:val="1"/>
      <w:marLeft w:val="0"/>
      <w:marRight w:val="0"/>
      <w:marTop w:val="0"/>
      <w:marBottom w:val="0"/>
      <w:divBdr>
        <w:top w:val="none" w:sz="0" w:space="0" w:color="auto"/>
        <w:left w:val="none" w:sz="0" w:space="0" w:color="auto"/>
        <w:bottom w:val="none" w:sz="0" w:space="0" w:color="auto"/>
        <w:right w:val="none" w:sz="0" w:space="0" w:color="auto"/>
      </w:divBdr>
      <w:divsChild>
        <w:div w:id="799882184">
          <w:marLeft w:val="0"/>
          <w:marRight w:val="0"/>
          <w:marTop w:val="0"/>
          <w:marBottom w:val="0"/>
          <w:divBdr>
            <w:top w:val="none" w:sz="0" w:space="0" w:color="auto"/>
            <w:left w:val="none" w:sz="0" w:space="0" w:color="auto"/>
            <w:bottom w:val="none" w:sz="0" w:space="0" w:color="auto"/>
            <w:right w:val="none" w:sz="0" w:space="0" w:color="auto"/>
          </w:divBdr>
          <w:divsChild>
            <w:div w:id="109856440">
              <w:marLeft w:val="-225"/>
              <w:marRight w:val="-225"/>
              <w:marTop w:val="0"/>
              <w:marBottom w:val="0"/>
              <w:divBdr>
                <w:top w:val="none" w:sz="0" w:space="0" w:color="auto"/>
                <w:left w:val="none" w:sz="0" w:space="0" w:color="auto"/>
                <w:bottom w:val="none" w:sz="0" w:space="0" w:color="auto"/>
                <w:right w:val="none" w:sz="0" w:space="0" w:color="auto"/>
              </w:divBdr>
              <w:divsChild>
                <w:div w:id="814680135">
                  <w:marLeft w:val="0"/>
                  <w:marRight w:val="0"/>
                  <w:marTop w:val="0"/>
                  <w:marBottom w:val="0"/>
                  <w:divBdr>
                    <w:top w:val="single" w:sz="36" w:space="11" w:color="009DCB"/>
                    <w:left w:val="none" w:sz="0" w:space="0" w:color="auto"/>
                    <w:bottom w:val="none" w:sz="0" w:space="0" w:color="auto"/>
                    <w:right w:val="none" w:sz="0" w:space="0" w:color="auto"/>
                  </w:divBdr>
                  <w:divsChild>
                    <w:div w:id="161241582">
                      <w:marLeft w:val="-225"/>
                      <w:marRight w:val="-225"/>
                      <w:marTop w:val="0"/>
                      <w:marBottom w:val="0"/>
                      <w:divBdr>
                        <w:top w:val="none" w:sz="0" w:space="0" w:color="auto"/>
                        <w:left w:val="none" w:sz="0" w:space="0" w:color="auto"/>
                        <w:bottom w:val="none" w:sz="0" w:space="0" w:color="auto"/>
                        <w:right w:val="none" w:sz="0" w:space="0" w:color="auto"/>
                      </w:divBdr>
                      <w:divsChild>
                        <w:div w:id="1029723432">
                          <w:marLeft w:val="0"/>
                          <w:marRight w:val="0"/>
                          <w:marTop w:val="0"/>
                          <w:marBottom w:val="0"/>
                          <w:divBdr>
                            <w:top w:val="none" w:sz="0" w:space="0" w:color="auto"/>
                            <w:left w:val="none" w:sz="0" w:space="0" w:color="auto"/>
                            <w:bottom w:val="none" w:sz="0" w:space="0" w:color="auto"/>
                            <w:right w:val="none" w:sz="0" w:space="0" w:color="auto"/>
                          </w:divBdr>
                          <w:divsChild>
                            <w:div w:id="1293945007">
                              <w:marLeft w:val="0"/>
                              <w:marRight w:val="0"/>
                              <w:marTop w:val="0"/>
                              <w:marBottom w:val="0"/>
                              <w:divBdr>
                                <w:top w:val="none" w:sz="0" w:space="0" w:color="auto"/>
                                <w:left w:val="none" w:sz="0" w:space="0" w:color="auto"/>
                                <w:bottom w:val="none" w:sz="0" w:space="0" w:color="auto"/>
                                <w:right w:val="none" w:sz="0" w:space="0" w:color="auto"/>
                              </w:divBdr>
                              <w:divsChild>
                                <w:div w:id="2012369584">
                                  <w:marLeft w:val="0"/>
                                  <w:marRight w:val="0"/>
                                  <w:marTop w:val="0"/>
                                  <w:marBottom w:val="0"/>
                                  <w:divBdr>
                                    <w:top w:val="none" w:sz="0" w:space="0" w:color="auto"/>
                                    <w:left w:val="none" w:sz="0" w:space="0" w:color="auto"/>
                                    <w:bottom w:val="none" w:sz="0" w:space="0" w:color="auto"/>
                                    <w:right w:val="none" w:sz="0" w:space="0" w:color="auto"/>
                                  </w:divBdr>
                                  <w:divsChild>
                                    <w:div w:id="88450">
                                      <w:marLeft w:val="0"/>
                                      <w:marRight w:val="0"/>
                                      <w:marTop w:val="0"/>
                                      <w:marBottom w:val="0"/>
                                      <w:divBdr>
                                        <w:top w:val="none" w:sz="0" w:space="0" w:color="auto"/>
                                        <w:left w:val="none" w:sz="0" w:space="0" w:color="auto"/>
                                        <w:bottom w:val="none" w:sz="0" w:space="0" w:color="auto"/>
                                        <w:right w:val="none" w:sz="0" w:space="0" w:color="auto"/>
                                      </w:divBdr>
                                      <w:divsChild>
                                        <w:div w:id="1418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069482">
      <w:bodyDiv w:val="1"/>
      <w:marLeft w:val="0"/>
      <w:marRight w:val="0"/>
      <w:marTop w:val="0"/>
      <w:marBottom w:val="0"/>
      <w:divBdr>
        <w:top w:val="none" w:sz="0" w:space="0" w:color="auto"/>
        <w:left w:val="none" w:sz="0" w:space="0" w:color="auto"/>
        <w:bottom w:val="none" w:sz="0" w:space="0" w:color="auto"/>
        <w:right w:val="none" w:sz="0" w:space="0" w:color="auto"/>
      </w:divBdr>
      <w:divsChild>
        <w:div w:id="150946340">
          <w:marLeft w:val="0"/>
          <w:marRight w:val="0"/>
          <w:marTop w:val="0"/>
          <w:marBottom w:val="0"/>
          <w:divBdr>
            <w:top w:val="none" w:sz="0" w:space="0" w:color="auto"/>
            <w:left w:val="none" w:sz="0" w:space="0" w:color="auto"/>
            <w:bottom w:val="none" w:sz="0" w:space="0" w:color="auto"/>
            <w:right w:val="none" w:sz="0" w:space="0" w:color="auto"/>
          </w:divBdr>
          <w:divsChild>
            <w:div w:id="303967278">
              <w:marLeft w:val="-225"/>
              <w:marRight w:val="-225"/>
              <w:marTop w:val="0"/>
              <w:marBottom w:val="0"/>
              <w:divBdr>
                <w:top w:val="none" w:sz="0" w:space="0" w:color="auto"/>
                <w:left w:val="none" w:sz="0" w:space="0" w:color="auto"/>
                <w:bottom w:val="none" w:sz="0" w:space="0" w:color="auto"/>
                <w:right w:val="none" w:sz="0" w:space="0" w:color="auto"/>
              </w:divBdr>
              <w:divsChild>
                <w:div w:id="61487405">
                  <w:marLeft w:val="0"/>
                  <w:marRight w:val="0"/>
                  <w:marTop w:val="0"/>
                  <w:marBottom w:val="0"/>
                  <w:divBdr>
                    <w:top w:val="single" w:sz="36" w:space="11" w:color="009DCB"/>
                    <w:left w:val="none" w:sz="0" w:space="0" w:color="auto"/>
                    <w:bottom w:val="none" w:sz="0" w:space="0" w:color="auto"/>
                    <w:right w:val="none" w:sz="0" w:space="0" w:color="auto"/>
                  </w:divBdr>
                  <w:divsChild>
                    <w:div w:id="2037458757">
                      <w:marLeft w:val="-225"/>
                      <w:marRight w:val="-225"/>
                      <w:marTop w:val="0"/>
                      <w:marBottom w:val="0"/>
                      <w:divBdr>
                        <w:top w:val="none" w:sz="0" w:space="0" w:color="auto"/>
                        <w:left w:val="none" w:sz="0" w:space="0" w:color="auto"/>
                        <w:bottom w:val="none" w:sz="0" w:space="0" w:color="auto"/>
                        <w:right w:val="none" w:sz="0" w:space="0" w:color="auto"/>
                      </w:divBdr>
                      <w:divsChild>
                        <w:div w:id="11301949">
                          <w:marLeft w:val="0"/>
                          <w:marRight w:val="0"/>
                          <w:marTop w:val="0"/>
                          <w:marBottom w:val="0"/>
                          <w:divBdr>
                            <w:top w:val="none" w:sz="0" w:space="0" w:color="auto"/>
                            <w:left w:val="none" w:sz="0" w:space="0" w:color="auto"/>
                            <w:bottom w:val="none" w:sz="0" w:space="0" w:color="auto"/>
                            <w:right w:val="none" w:sz="0" w:space="0" w:color="auto"/>
                          </w:divBdr>
                          <w:divsChild>
                            <w:div w:id="195697806">
                              <w:marLeft w:val="0"/>
                              <w:marRight w:val="0"/>
                              <w:marTop w:val="0"/>
                              <w:marBottom w:val="0"/>
                              <w:divBdr>
                                <w:top w:val="none" w:sz="0" w:space="0" w:color="auto"/>
                                <w:left w:val="none" w:sz="0" w:space="0" w:color="auto"/>
                                <w:bottom w:val="none" w:sz="0" w:space="0" w:color="auto"/>
                                <w:right w:val="none" w:sz="0" w:space="0" w:color="auto"/>
                              </w:divBdr>
                              <w:divsChild>
                                <w:div w:id="14383870">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10772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0E691-F94C-4398-A436-6ADA6183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Agenda, 86th IASC Working Group Meeting</vt:lpstr>
    </vt:vector>
  </TitlesOfParts>
  <Company>OCHA</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86th IASC Working Group Meeting</dc:title>
  <dc:creator>Manisha Thomas</dc:creator>
  <cp:lastModifiedBy>Tes Dimalanta</cp:lastModifiedBy>
  <cp:revision>2</cp:revision>
  <cp:lastPrinted>2015-02-26T17:10:00Z</cp:lastPrinted>
  <dcterms:created xsi:type="dcterms:W3CDTF">2015-03-02T17:44:00Z</dcterms:created>
  <dcterms:modified xsi:type="dcterms:W3CDTF">2015-03-02T17:44:00Z</dcterms:modified>
</cp:coreProperties>
</file>