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AF1" w:rsidRPr="00796AF1" w:rsidRDefault="00796AF1" w:rsidP="00796AF1">
      <w:pPr>
        <w:pStyle w:val="Heading2"/>
        <w:keepLines/>
        <w:spacing w:before="200" w:after="0" w:line="276" w:lineRule="auto"/>
        <w:rPr>
          <w:rFonts w:ascii="Times New Roman" w:hAnsi="Times New Roman"/>
          <w:i w:val="0"/>
          <w:color w:val="000000" w:themeColor="text1"/>
          <w:sz w:val="32"/>
        </w:rPr>
      </w:pPr>
      <w:r w:rsidRPr="00796AF1">
        <w:rPr>
          <w:rFonts w:ascii="Times New Roman" w:hAnsi="Times New Roman"/>
          <w:i w:val="0"/>
          <w:color w:val="000000" w:themeColor="text1"/>
          <w:sz w:val="32"/>
        </w:rPr>
        <w:t xml:space="preserve">Inventory of initiatives </w:t>
      </w:r>
      <w:r>
        <w:rPr>
          <w:rFonts w:ascii="Times New Roman" w:hAnsi="Times New Roman"/>
          <w:i w:val="0"/>
          <w:color w:val="000000" w:themeColor="text1"/>
          <w:sz w:val="32"/>
        </w:rPr>
        <w:t>on</w:t>
      </w:r>
      <w:r w:rsidRPr="00796AF1">
        <w:rPr>
          <w:rFonts w:ascii="Times New Roman" w:hAnsi="Times New Roman"/>
          <w:i w:val="0"/>
          <w:color w:val="000000" w:themeColor="text1"/>
          <w:sz w:val="32"/>
        </w:rPr>
        <w:t xml:space="preserve"> the ‘future of humanitarian financing’</w:t>
      </w:r>
    </w:p>
    <w:p w:rsidR="00796AF1" w:rsidRDefault="00796AF1" w:rsidP="00796AF1">
      <w:r>
        <w:t xml:space="preserve">This inventory </w:t>
      </w:r>
      <w:r w:rsidR="00407D78">
        <w:t xml:space="preserve">of initiatives on the ‘future of humanitarian financing’ </w:t>
      </w:r>
      <w:r>
        <w:t>was compiled by the CERF secretariat in November 2014</w:t>
      </w:r>
      <w:r w:rsidR="009313A4">
        <w:t xml:space="preserve"> and updated </w:t>
      </w:r>
      <w:r w:rsidR="001E73B3">
        <w:t xml:space="preserve">by the IASC Humanitarian Financing Task Team </w:t>
      </w:r>
      <w:r w:rsidR="009313A4">
        <w:t>in February 2015</w:t>
      </w:r>
      <w:r>
        <w:t xml:space="preserve">. </w:t>
      </w:r>
      <w:r w:rsidR="00407D78">
        <w:t>It may not provide a comprehensive overview of all such initiatives. The inventory</w:t>
      </w:r>
      <w:r>
        <w:t xml:space="preserve"> is based on information from various sources, not all of which could be independently verified. For any comments, please contact cerf@un.org.</w:t>
      </w:r>
    </w:p>
    <w:p w:rsidR="00790B37" w:rsidRPr="00790B37" w:rsidRDefault="00790B37" w:rsidP="00790B37">
      <w:pPr>
        <w:jc w:val="center"/>
        <w:rPr>
          <w:b/>
          <w:caps/>
          <w:color w:val="000000" w:themeColor="text1"/>
        </w:rPr>
      </w:pPr>
    </w:p>
    <w:p w:rsidR="00790B37" w:rsidRPr="00790B37" w:rsidRDefault="00790B37" w:rsidP="00790B37">
      <w:pPr>
        <w:pStyle w:val="Heading2"/>
        <w:keepLines/>
        <w:numPr>
          <w:ilvl w:val="0"/>
          <w:numId w:val="4"/>
        </w:numPr>
        <w:spacing w:before="200" w:after="0" w:line="276" w:lineRule="auto"/>
        <w:rPr>
          <w:rFonts w:ascii="Times New Roman" w:hAnsi="Times New Roman"/>
          <w:color w:val="000000" w:themeColor="text1"/>
        </w:rPr>
      </w:pPr>
      <w:r w:rsidRPr="00790B37">
        <w:rPr>
          <w:rFonts w:ascii="Times New Roman" w:hAnsi="Times New Roman"/>
          <w:color w:val="000000" w:themeColor="text1"/>
        </w:rPr>
        <w:t>Processes</w:t>
      </w:r>
    </w:p>
    <w:tbl>
      <w:tblPr>
        <w:tblStyle w:val="TableGrid"/>
        <w:tblW w:w="0" w:type="auto"/>
        <w:tblLook w:val="04A0" w:firstRow="1" w:lastRow="0" w:firstColumn="1" w:lastColumn="0" w:noHBand="0" w:noVBand="1"/>
      </w:tblPr>
      <w:tblGrid>
        <w:gridCol w:w="1327"/>
        <w:gridCol w:w="2326"/>
        <w:gridCol w:w="4765"/>
        <w:gridCol w:w="1250"/>
        <w:gridCol w:w="4372"/>
      </w:tblGrid>
      <w:tr w:rsidR="00790B37" w:rsidRPr="009313A4" w:rsidTr="0096555D">
        <w:trPr>
          <w:tblHeader/>
        </w:trPr>
        <w:tc>
          <w:tcPr>
            <w:tcW w:w="0" w:type="auto"/>
          </w:tcPr>
          <w:p w:rsidR="00790B37" w:rsidRPr="009313A4" w:rsidRDefault="00790B37" w:rsidP="008F796D">
            <w:pPr>
              <w:rPr>
                <w:color w:val="000000" w:themeColor="text1"/>
                <w:sz w:val="20"/>
                <w:szCs w:val="20"/>
              </w:rPr>
            </w:pPr>
            <w:r w:rsidRPr="009313A4">
              <w:rPr>
                <w:color w:val="000000" w:themeColor="text1"/>
                <w:sz w:val="20"/>
                <w:szCs w:val="20"/>
              </w:rPr>
              <w:t>Name</w:t>
            </w:r>
          </w:p>
        </w:tc>
        <w:tc>
          <w:tcPr>
            <w:tcW w:w="2326" w:type="dxa"/>
          </w:tcPr>
          <w:p w:rsidR="00790B37" w:rsidRPr="009313A4" w:rsidRDefault="00790B37" w:rsidP="008F796D">
            <w:pPr>
              <w:rPr>
                <w:color w:val="000000" w:themeColor="text1"/>
                <w:sz w:val="20"/>
                <w:szCs w:val="20"/>
              </w:rPr>
            </w:pPr>
            <w:r w:rsidRPr="009313A4">
              <w:rPr>
                <w:color w:val="000000" w:themeColor="text1"/>
                <w:sz w:val="20"/>
                <w:szCs w:val="20"/>
              </w:rPr>
              <w:t>Forum/Organizations</w:t>
            </w:r>
          </w:p>
        </w:tc>
        <w:tc>
          <w:tcPr>
            <w:tcW w:w="4765" w:type="dxa"/>
          </w:tcPr>
          <w:p w:rsidR="00790B37" w:rsidRPr="009313A4" w:rsidRDefault="00790B37" w:rsidP="008F796D">
            <w:pPr>
              <w:rPr>
                <w:color w:val="000000" w:themeColor="text1"/>
                <w:sz w:val="20"/>
                <w:szCs w:val="20"/>
              </w:rPr>
            </w:pPr>
            <w:r w:rsidRPr="009313A4">
              <w:rPr>
                <w:color w:val="000000" w:themeColor="text1"/>
                <w:sz w:val="20"/>
                <w:szCs w:val="20"/>
              </w:rPr>
              <w:t>Description</w:t>
            </w:r>
          </w:p>
        </w:tc>
        <w:tc>
          <w:tcPr>
            <w:tcW w:w="1250" w:type="dxa"/>
          </w:tcPr>
          <w:p w:rsidR="00790B37" w:rsidRPr="009313A4" w:rsidRDefault="00790B37" w:rsidP="008F796D">
            <w:pPr>
              <w:rPr>
                <w:color w:val="000000" w:themeColor="text1"/>
                <w:sz w:val="20"/>
                <w:szCs w:val="20"/>
              </w:rPr>
            </w:pPr>
            <w:r w:rsidRPr="009313A4">
              <w:rPr>
                <w:color w:val="000000" w:themeColor="text1"/>
                <w:sz w:val="20"/>
                <w:szCs w:val="20"/>
              </w:rPr>
              <w:t>Timeframe</w:t>
            </w:r>
          </w:p>
        </w:tc>
        <w:tc>
          <w:tcPr>
            <w:tcW w:w="4372" w:type="dxa"/>
          </w:tcPr>
          <w:p w:rsidR="00790B37" w:rsidRPr="009313A4" w:rsidRDefault="00790B37" w:rsidP="008F796D">
            <w:pPr>
              <w:rPr>
                <w:color w:val="000000" w:themeColor="text1"/>
                <w:sz w:val="20"/>
                <w:szCs w:val="20"/>
              </w:rPr>
            </w:pPr>
            <w:r w:rsidRPr="009313A4">
              <w:rPr>
                <w:color w:val="000000" w:themeColor="text1"/>
                <w:sz w:val="20"/>
                <w:szCs w:val="20"/>
              </w:rPr>
              <w:t>Further information</w:t>
            </w:r>
          </w:p>
        </w:tc>
      </w:tr>
      <w:tr w:rsidR="009313A4" w:rsidRPr="009313A4" w:rsidTr="0096555D">
        <w:tc>
          <w:tcPr>
            <w:tcW w:w="0" w:type="auto"/>
          </w:tcPr>
          <w:p w:rsidR="009313A4" w:rsidRPr="009313A4" w:rsidRDefault="009313A4" w:rsidP="00296C1A">
            <w:pPr>
              <w:rPr>
                <w:color w:val="000000" w:themeColor="text1"/>
                <w:sz w:val="20"/>
                <w:szCs w:val="20"/>
              </w:rPr>
            </w:pPr>
            <w:r w:rsidRPr="009313A4">
              <w:rPr>
                <w:color w:val="000000" w:themeColor="text1"/>
                <w:sz w:val="20"/>
                <w:szCs w:val="20"/>
              </w:rPr>
              <w:t>High-Level Panel to Address the Growing Gap between Humanitarian Needs and Resources</w:t>
            </w:r>
          </w:p>
        </w:tc>
        <w:tc>
          <w:tcPr>
            <w:tcW w:w="2326" w:type="dxa"/>
          </w:tcPr>
          <w:p w:rsidR="009313A4" w:rsidRPr="009313A4" w:rsidRDefault="009313A4" w:rsidP="00385772">
            <w:pPr>
              <w:rPr>
                <w:color w:val="000000" w:themeColor="text1"/>
                <w:sz w:val="20"/>
                <w:szCs w:val="20"/>
              </w:rPr>
            </w:pPr>
            <w:r w:rsidRPr="009313A4">
              <w:rPr>
                <w:color w:val="000000" w:themeColor="text1"/>
                <w:sz w:val="20"/>
                <w:szCs w:val="20"/>
              </w:rPr>
              <w:t xml:space="preserve">Proposed to SG by ERC Amos and HC </w:t>
            </w:r>
            <w:proofErr w:type="spellStart"/>
            <w:r w:rsidRPr="009313A4">
              <w:rPr>
                <w:color w:val="000000" w:themeColor="text1"/>
                <w:sz w:val="20"/>
                <w:szCs w:val="20"/>
              </w:rPr>
              <w:t>Guterres</w:t>
            </w:r>
            <w:proofErr w:type="spellEnd"/>
            <w:r w:rsidRPr="009313A4">
              <w:rPr>
                <w:color w:val="000000" w:themeColor="text1"/>
                <w:sz w:val="20"/>
                <w:szCs w:val="20"/>
              </w:rPr>
              <w:t>; lead: OCHA (PDSB</w:t>
            </w:r>
            <w:r w:rsidR="00385772">
              <w:rPr>
                <w:color w:val="000000" w:themeColor="text1"/>
                <w:sz w:val="20"/>
                <w:szCs w:val="20"/>
              </w:rPr>
              <w:t>,</w:t>
            </w:r>
            <w:r w:rsidRPr="009313A4">
              <w:rPr>
                <w:color w:val="000000" w:themeColor="text1"/>
                <w:sz w:val="20"/>
                <w:szCs w:val="20"/>
              </w:rPr>
              <w:t xml:space="preserve"> PRMB</w:t>
            </w:r>
            <w:r w:rsidR="00385772">
              <w:rPr>
                <w:color w:val="000000" w:themeColor="text1"/>
                <w:sz w:val="20"/>
                <w:szCs w:val="20"/>
              </w:rPr>
              <w:t xml:space="preserve"> and CERF</w:t>
            </w:r>
            <w:r w:rsidRPr="009313A4">
              <w:rPr>
                <w:color w:val="000000" w:themeColor="text1"/>
                <w:sz w:val="20"/>
                <w:szCs w:val="20"/>
              </w:rPr>
              <w:t>)</w:t>
            </w:r>
          </w:p>
        </w:tc>
        <w:tc>
          <w:tcPr>
            <w:tcW w:w="4765" w:type="dxa"/>
          </w:tcPr>
          <w:p w:rsidR="009313A4" w:rsidRPr="009313A4" w:rsidRDefault="009313A4" w:rsidP="00296C1A">
            <w:pPr>
              <w:rPr>
                <w:color w:val="000000" w:themeColor="text1"/>
                <w:sz w:val="20"/>
                <w:szCs w:val="20"/>
              </w:rPr>
            </w:pPr>
            <w:r w:rsidRPr="009313A4">
              <w:rPr>
                <w:color w:val="000000" w:themeColor="text1"/>
                <w:sz w:val="20"/>
                <w:szCs w:val="20"/>
              </w:rPr>
              <w:t xml:space="preserve">Small, high-level panel at the level of former Presidents or Prime Ministers with about 10 members from donor countries, affected states, financial sector, and possibly global civil society. </w:t>
            </w:r>
            <w:r w:rsidR="00562A89">
              <w:rPr>
                <w:color w:val="000000" w:themeColor="text1"/>
                <w:sz w:val="20"/>
                <w:szCs w:val="20"/>
              </w:rPr>
              <w:t xml:space="preserve">A meeting of the panel might take place in the margins of the ECOSOC humanitarian affairs segment on 17-19 June 2015. </w:t>
            </w:r>
            <w:r w:rsidRPr="009313A4">
              <w:rPr>
                <w:color w:val="000000" w:themeColor="text1"/>
                <w:sz w:val="20"/>
                <w:szCs w:val="20"/>
              </w:rPr>
              <w:t>Topics: mobilizing more funding more predictably, more long-term funding, innovative funding, using resources in a more cost-effective way including risk management and preparedness, change short-term approach to funding long-term solutions.</w:t>
            </w:r>
          </w:p>
          <w:p w:rsidR="009313A4" w:rsidRPr="009313A4" w:rsidRDefault="009313A4" w:rsidP="00296C1A">
            <w:pPr>
              <w:rPr>
                <w:color w:val="000000" w:themeColor="text1"/>
                <w:sz w:val="20"/>
                <w:szCs w:val="20"/>
              </w:rPr>
            </w:pPr>
            <w:r w:rsidRPr="009313A4">
              <w:rPr>
                <w:color w:val="000000" w:themeColor="text1"/>
                <w:sz w:val="20"/>
                <w:szCs w:val="20"/>
              </w:rPr>
              <w:t>Many of the other processes listed below will feed into the discussions of the panel, including the ‘Future of Humanitarian Financing’ workstream.</w:t>
            </w:r>
            <w:r w:rsidR="00562A89">
              <w:rPr>
                <w:color w:val="000000" w:themeColor="text1"/>
                <w:sz w:val="20"/>
                <w:szCs w:val="20"/>
              </w:rPr>
              <w:t xml:space="preserve"> </w:t>
            </w:r>
          </w:p>
        </w:tc>
        <w:tc>
          <w:tcPr>
            <w:tcW w:w="1250" w:type="dxa"/>
          </w:tcPr>
          <w:p w:rsidR="009313A4" w:rsidRPr="009313A4" w:rsidRDefault="009313A4" w:rsidP="009313A4">
            <w:pPr>
              <w:rPr>
                <w:color w:val="000000" w:themeColor="text1"/>
                <w:sz w:val="20"/>
                <w:szCs w:val="20"/>
              </w:rPr>
            </w:pPr>
            <w:r w:rsidRPr="009313A4">
              <w:rPr>
                <w:color w:val="000000" w:themeColor="text1"/>
                <w:sz w:val="20"/>
                <w:szCs w:val="20"/>
              </w:rPr>
              <w:t>February – September 2015 (pending confirmation of panel members)</w:t>
            </w:r>
          </w:p>
        </w:tc>
        <w:tc>
          <w:tcPr>
            <w:tcW w:w="4372" w:type="dxa"/>
          </w:tcPr>
          <w:p w:rsidR="009313A4" w:rsidRPr="009313A4" w:rsidRDefault="009313A4" w:rsidP="009313A4">
            <w:pPr>
              <w:pStyle w:val="ListParagraph"/>
              <w:numPr>
                <w:ilvl w:val="0"/>
                <w:numId w:val="6"/>
              </w:numPr>
              <w:rPr>
                <w:color w:val="000000" w:themeColor="text1"/>
                <w:sz w:val="20"/>
                <w:szCs w:val="20"/>
              </w:rPr>
            </w:pPr>
            <w:r w:rsidRPr="009313A4">
              <w:rPr>
                <w:color w:val="000000" w:themeColor="text1"/>
                <w:sz w:val="20"/>
                <w:szCs w:val="20"/>
              </w:rPr>
              <w:t>Draft terms of reference (shared with IASC)</w:t>
            </w:r>
          </w:p>
          <w:p w:rsidR="009313A4" w:rsidRPr="009313A4" w:rsidRDefault="009313A4" w:rsidP="009313A4">
            <w:pPr>
              <w:pStyle w:val="ListParagraph"/>
              <w:numPr>
                <w:ilvl w:val="0"/>
                <w:numId w:val="6"/>
              </w:numPr>
              <w:rPr>
                <w:color w:val="000000" w:themeColor="text1"/>
                <w:sz w:val="20"/>
                <w:szCs w:val="20"/>
              </w:rPr>
            </w:pPr>
            <w:r w:rsidRPr="009313A4">
              <w:rPr>
                <w:color w:val="000000" w:themeColor="text1"/>
                <w:sz w:val="20"/>
                <w:szCs w:val="20"/>
              </w:rPr>
              <w:t>Note to the Secretary-General: Proposal for a High-Level Panel to Address the Growing Gap Between Humanitarian Needs and Resources, 24 October 2014</w:t>
            </w:r>
          </w:p>
        </w:tc>
      </w:tr>
      <w:tr w:rsidR="0096555D" w:rsidRPr="009313A4" w:rsidTr="0096555D">
        <w:tc>
          <w:tcPr>
            <w:tcW w:w="0" w:type="auto"/>
          </w:tcPr>
          <w:p w:rsidR="0096555D" w:rsidRPr="009313A4" w:rsidRDefault="0096555D" w:rsidP="00296C1A">
            <w:pPr>
              <w:rPr>
                <w:color w:val="000000" w:themeColor="text1"/>
                <w:sz w:val="20"/>
                <w:szCs w:val="20"/>
              </w:rPr>
            </w:pPr>
            <w:r w:rsidRPr="009313A4">
              <w:rPr>
                <w:color w:val="000000" w:themeColor="text1"/>
                <w:sz w:val="20"/>
                <w:szCs w:val="20"/>
              </w:rPr>
              <w:t>World Humanitarian Summit</w:t>
            </w:r>
          </w:p>
        </w:tc>
        <w:tc>
          <w:tcPr>
            <w:tcW w:w="2326" w:type="dxa"/>
          </w:tcPr>
          <w:p w:rsidR="0096555D" w:rsidRPr="009313A4" w:rsidRDefault="0096555D" w:rsidP="00296C1A">
            <w:pPr>
              <w:rPr>
                <w:color w:val="000000" w:themeColor="text1"/>
                <w:sz w:val="20"/>
                <w:szCs w:val="20"/>
              </w:rPr>
            </w:pPr>
            <w:r w:rsidRPr="009313A4">
              <w:rPr>
                <w:color w:val="000000" w:themeColor="text1"/>
                <w:sz w:val="20"/>
                <w:szCs w:val="20"/>
              </w:rPr>
              <w:t>World Humanitarian Summit secretariat, Development Initiatives</w:t>
            </w:r>
          </w:p>
        </w:tc>
        <w:tc>
          <w:tcPr>
            <w:tcW w:w="4765" w:type="dxa"/>
          </w:tcPr>
          <w:p w:rsidR="0096555D" w:rsidRPr="009313A4" w:rsidRDefault="0096555D" w:rsidP="00296C1A">
            <w:pPr>
              <w:rPr>
                <w:color w:val="000000" w:themeColor="text1"/>
                <w:sz w:val="20"/>
                <w:szCs w:val="20"/>
              </w:rPr>
            </w:pPr>
            <w:r w:rsidRPr="009313A4">
              <w:rPr>
                <w:color w:val="000000" w:themeColor="text1"/>
                <w:sz w:val="20"/>
                <w:szCs w:val="20"/>
              </w:rPr>
              <w:t>Humanitarian financing will be a prominent issue in the process leading up to and in the vision and commitments that emerge from the Summit itself.</w:t>
            </w:r>
          </w:p>
          <w:p w:rsidR="0096555D" w:rsidRPr="009313A4" w:rsidRDefault="0096555D" w:rsidP="00296C1A">
            <w:pPr>
              <w:rPr>
                <w:color w:val="000000" w:themeColor="text1"/>
                <w:sz w:val="20"/>
                <w:szCs w:val="20"/>
              </w:rPr>
            </w:pPr>
          </w:p>
          <w:p w:rsidR="0096555D" w:rsidRPr="009313A4" w:rsidRDefault="0096555D" w:rsidP="00296C1A">
            <w:pPr>
              <w:rPr>
                <w:color w:val="000000" w:themeColor="text1"/>
                <w:sz w:val="20"/>
                <w:szCs w:val="20"/>
              </w:rPr>
            </w:pPr>
            <w:r w:rsidRPr="009313A4">
              <w:rPr>
                <w:color w:val="000000" w:themeColor="text1"/>
                <w:sz w:val="20"/>
                <w:szCs w:val="20"/>
              </w:rPr>
              <w:t xml:space="preserve">The WHS secretariat has commissioned Development Initiatives and other experts to compile a discussion paper on the future of humanitarian financing. </w:t>
            </w:r>
            <w:r>
              <w:rPr>
                <w:color w:val="000000" w:themeColor="text1"/>
                <w:sz w:val="20"/>
                <w:szCs w:val="20"/>
              </w:rPr>
              <w:t>At a</w:t>
            </w:r>
            <w:r w:rsidRPr="009313A4">
              <w:rPr>
                <w:color w:val="000000" w:themeColor="text1"/>
                <w:sz w:val="20"/>
                <w:szCs w:val="20"/>
              </w:rPr>
              <w:t xml:space="preserve"> technical meeting in Lausanne in November </w:t>
            </w:r>
            <w:r>
              <w:rPr>
                <w:color w:val="000000" w:themeColor="text1"/>
                <w:sz w:val="20"/>
                <w:szCs w:val="20"/>
              </w:rPr>
              <w:t xml:space="preserve">2014 </w:t>
            </w:r>
            <w:r w:rsidRPr="009313A4">
              <w:rPr>
                <w:color w:val="000000" w:themeColor="text1"/>
                <w:sz w:val="20"/>
                <w:szCs w:val="20"/>
              </w:rPr>
              <w:t xml:space="preserve">this and other topics </w:t>
            </w:r>
            <w:r>
              <w:rPr>
                <w:color w:val="000000" w:themeColor="text1"/>
                <w:sz w:val="20"/>
                <w:szCs w:val="20"/>
              </w:rPr>
              <w:t>were discussed</w:t>
            </w:r>
            <w:r w:rsidRPr="009313A4">
              <w:rPr>
                <w:color w:val="000000" w:themeColor="text1"/>
                <w:sz w:val="20"/>
                <w:szCs w:val="20"/>
              </w:rPr>
              <w:t xml:space="preserve">. </w:t>
            </w:r>
          </w:p>
          <w:p w:rsidR="0096555D" w:rsidRPr="009313A4" w:rsidRDefault="0096555D" w:rsidP="00296C1A">
            <w:pPr>
              <w:rPr>
                <w:color w:val="000000" w:themeColor="text1"/>
                <w:sz w:val="20"/>
                <w:szCs w:val="20"/>
              </w:rPr>
            </w:pPr>
          </w:p>
          <w:p w:rsidR="0096555D" w:rsidRPr="009313A4" w:rsidRDefault="0096555D" w:rsidP="00296C1A">
            <w:pPr>
              <w:rPr>
                <w:color w:val="000000" w:themeColor="text1"/>
                <w:sz w:val="20"/>
                <w:szCs w:val="20"/>
              </w:rPr>
            </w:pPr>
            <w:r w:rsidRPr="009313A4">
              <w:rPr>
                <w:color w:val="000000" w:themeColor="text1"/>
                <w:sz w:val="20"/>
                <w:szCs w:val="20"/>
              </w:rPr>
              <w:t xml:space="preserve">The eight WHS regional consultations (June 2014 – June 2015) have dedicated humanitarian financing sessions. The consultations so far have made a strong push for the localizing of preparedness and response, </w:t>
            </w:r>
            <w:r w:rsidRPr="009313A4">
              <w:rPr>
                <w:color w:val="000000" w:themeColor="text1"/>
                <w:sz w:val="20"/>
                <w:szCs w:val="20"/>
              </w:rPr>
              <w:lastRenderedPageBreak/>
              <w:t>which could be supported by regional or national funding mechanisms for local organizations as well as looking at opportunities for bringing in the private sector. The WHS regional consultation in Hungary from 3-4 February 2015 provide</w:t>
            </w:r>
            <w:r>
              <w:rPr>
                <w:color w:val="000000" w:themeColor="text1"/>
                <w:sz w:val="20"/>
                <w:szCs w:val="20"/>
              </w:rPr>
              <w:t>d</w:t>
            </w:r>
            <w:r w:rsidRPr="009313A4">
              <w:rPr>
                <w:color w:val="000000" w:themeColor="text1"/>
                <w:sz w:val="20"/>
                <w:szCs w:val="20"/>
              </w:rPr>
              <w:t xml:space="preserve"> a</w:t>
            </w:r>
            <w:r>
              <w:rPr>
                <w:color w:val="000000" w:themeColor="text1"/>
                <w:sz w:val="20"/>
                <w:szCs w:val="20"/>
              </w:rPr>
              <w:t>n</w:t>
            </w:r>
            <w:r w:rsidRPr="009313A4">
              <w:rPr>
                <w:color w:val="000000" w:themeColor="text1"/>
                <w:sz w:val="20"/>
                <w:szCs w:val="20"/>
              </w:rPr>
              <w:t xml:space="preserve"> opportunity to give special attention to financing issues with the leading humanitarian donors in attendance. </w:t>
            </w:r>
          </w:p>
          <w:p w:rsidR="0096555D" w:rsidRPr="009313A4" w:rsidRDefault="0096555D" w:rsidP="00296C1A">
            <w:pPr>
              <w:rPr>
                <w:color w:val="000000" w:themeColor="text1"/>
                <w:sz w:val="20"/>
                <w:szCs w:val="20"/>
              </w:rPr>
            </w:pPr>
          </w:p>
          <w:p w:rsidR="0096555D" w:rsidRPr="009313A4" w:rsidRDefault="0096555D" w:rsidP="00296C1A">
            <w:pPr>
              <w:rPr>
                <w:color w:val="000000" w:themeColor="text1"/>
                <w:sz w:val="20"/>
                <w:szCs w:val="20"/>
              </w:rPr>
            </w:pPr>
            <w:r>
              <w:rPr>
                <w:color w:val="000000" w:themeColor="text1"/>
                <w:sz w:val="20"/>
                <w:szCs w:val="20"/>
              </w:rPr>
              <w:t xml:space="preserve">At a roundtable in January 2015, </w:t>
            </w:r>
            <w:r w:rsidRPr="009313A4">
              <w:rPr>
                <w:color w:val="000000" w:themeColor="text1"/>
                <w:sz w:val="20"/>
                <w:szCs w:val="20"/>
              </w:rPr>
              <w:t xml:space="preserve">Islamic finance </w:t>
            </w:r>
            <w:r>
              <w:rPr>
                <w:color w:val="000000" w:themeColor="text1"/>
                <w:sz w:val="20"/>
                <w:szCs w:val="20"/>
              </w:rPr>
              <w:t>was discussed.</w:t>
            </w:r>
          </w:p>
          <w:p w:rsidR="0096555D" w:rsidRPr="009313A4" w:rsidRDefault="0096555D" w:rsidP="00296C1A">
            <w:pPr>
              <w:rPr>
                <w:color w:val="000000" w:themeColor="text1"/>
                <w:sz w:val="20"/>
                <w:szCs w:val="20"/>
              </w:rPr>
            </w:pPr>
          </w:p>
          <w:p w:rsidR="0096555D" w:rsidRPr="009313A4" w:rsidRDefault="0096555D" w:rsidP="00296C1A">
            <w:pPr>
              <w:rPr>
                <w:color w:val="000000" w:themeColor="text1"/>
                <w:sz w:val="20"/>
                <w:szCs w:val="20"/>
              </w:rPr>
            </w:pPr>
            <w:r w:rsidRPr="009313A4">
              <w:rPr>
                <w:color w:val="000000" w:themeColor="text1"/>
                <w:sz w:val="20"/>
                <w:szCs w:val="20"/>
              </w:rPr>
              <w:t>The WHS has work streams on predictable and protracted crises, and the building of resilience. These are exploring opportunities for increased and integrated engagement with development partners. This includes the potential of incremental reduction in humanitarian assistance in certain contexts, such as with the increased investment in risk management and adaptation from post-2015 processes and the Green Climate Fund, and also from bringing in development partners earlier and more effectively into the response to crises, including by supporting countries in the hosting of displaced populations.</w:t>
            </w:r>
          </w:p>
          <w:p w:rsidR="0096555D" w:rsidRPr="009313A4" w:rsidRDefault="0096555D" w:rsidP="00296C1A">
            <w:pPr>
              <w:rPr>
                <w:color w:val="000000" w:themeColor="text1"/>
                <w:sz w:val="20"/>
                <w:szCs w:val="20"/>
              </w:rPr>
            </w:pPr>
          </w:p>
          <w:p w:rsidR="0096555D" w:rsidRPr="009313A4" w:rsidRDefault="0096555D" w:rsidP="00296C1A">
            <w:pPr>
              <w:rPr>
                <w:color w:val="000000" w:themeColor="text1"/>
                <w:sz w:val="20"/>
                <w:szCs w:val="20"/>
              </w:rPr>
            </w:pPr>
            <w:r w:rsidRPr="009313A4">
              <w:rPr>
                <w:color w:val="000000" w:themeColor="text1"/>
                <w:sz w:val="20"/>
                <w:szCs w:val="20"/>
              </w:rPr>
              <w:t xml:space="preserve">Other financing related WHS work streams are: 1) risk financing, which the World Bank is leading on, which is looking particularly at the opportunities of bringing in the discipline and best practice of the insurance sector into humanitarian finance and </w:t>
            </w:r>
            <w:proofErr w:type="spellStart"/>
            <w:r w:rsidRPr="009313A4">
              <w:rPr>
                <w:color w:val="000000" w:themeColor="text1"/>
                <w:sz w:val="20"/>
                <w:szCs w:val="20"/>
              </w:rPr>
              <w:t>programmes</w:t>
            </w:r>
            <w:proofErr w:type="spellEnd"/>
            <w:r w:rsidRPr="009313A4">
              <w:rPr>
                <w:color w:val="000000" w:themeColor="text1"/>
                <w:sz w:val="20"/>
                <w:szCs w:val="20"/>
              </w:rPr>
              <w:t>; 2) enhancing preparedness financing, which is getting underway and exploring the role of and links with climate finance; 3) the impact of counter-terrorism on humanitarian financing; 4) scaling up innovations, such as cash transfers, and the efficiencies derived from these.</w:t>
            </w:r>
          </w:p>
          <w:p w:rsidR="0096555D" w:rsidRPr="009313A4" w:rsidRDefault="0096555D" w:rsidP="00296C1A">
            <w:pPr>
              <w:rPr>
                <w:color w:val="000000" w:themeColor="text1"/>
                <w:sz w:val="20"/>
                <w:szCs w:val="20"/>
              </w:rPr>
            </w:pPr>
          </w:p>
          <w:p w:rsidR="0096555D" w:rsidRPr="009313A4" w:rsidRDefault="0096555D" w:rsidP="00296C1A">
            <w:pPr>
              <w:rPr>
                <w:color w:val="000000" w:themeColor="text1"/>
                <w:sz w:val="20"/>
                <w:szCs w:val="20"/>
              </w:rPr>
            </w:pPr>
            <w:r w:rsidRPr="009313A4">
              <w:rPr>
                <w:color w:val="000000" w:themeColor="text1"/>
                <w:sz w:val="20"/>
                <w:szCs w:val="20"/>
              </w:rPr>
              <w:t>The WHS online con</w:t>
            </w:r>
            <w:r>
              <w:rPr>
                <w:color w:val="000000" w:themeColor="text1"/>
                <w:sz w:val="20"/>
                <w:szCs w:val="20"/>
              </w:rPr>
              <w:t xml:space="preserve">sultations </w:t>
            </w:r>
            <w:r w:rsidRPr="009313A4">
              <w:rPr>
                <w:color w:val="000000" w:themeColor="text1"/>
                <w:sz w:val="20"/>
                <w:szCs w:val="20"/>
              </w:rPr>
              <w:t xml:space="preserve">include two discussions on financing: (1) What changes to current financing mechanisms are required to enhance preparedness and </w:t>
            </w:r>
            <w:r w:rsidRPr="009313A4">
              <w:rPr>
                <w:color w:val="000000" w:themeColor="text1"/>
                <w:sz w:val="20"/>
                <w:szCs w:val="20"/>
              </w:rPr>
              <w:lastRenderedPageBreak/>
              <w:t>risk management? (2) How might humanitarian financing mechanisms and methods need to evolve to more directly support strengthening national and local capacity to prepare for and respond to emergencies?</w:t>
            </w:r>
          </w:p>
        </w:tc>
        <w:tc>
          <w:tcPr>
            <w:tcW w:w="1250" w:type="dxa"/>
          </w:tcPr>
          <w:p w:rsidR="0096555D" w:rsidRDefault="00562A89" w:rsidP="00296C1A">
            <w:pPr>
              <w:rPr>
                <w:color w:val="000000" w:themeColor="text1"/>
                <w:sz w:val="20"/>
                <w:szCs w:val="20"/>
              </w:rPr>
            </w:pPr>
            <w:r>
              <w:rPr>
                <w:color w:val="000000" w:themeColor="text1"/>
                <w:sz w:val="20"/>
                <w:szCs w:val="20"/>
              </w:rPr>
              <w:lastRenderedPageBreak/>
              <w:t>Global consultation 14-16 October 2015 in Geneva</w:t>
            </w:r>
          </w:p>
          <w:p w:rsidR="00562A89" w:rsidRPr="009313A4" w:rsidRDefault="00562A89" w:rsidP="00296C1A">
            <w:pPr>
              <w:rPr>
                <w:color w:val="000000" w:themeColor="text1"/>
                <w:sz w:val="20"/>
                <w:szCs w:val="20"/>
              </w:rPr>
            </w:pPr>
            <w:r>
              <w:rPr>
                <w:color w:val="000000" w:themeColor="text1"/>
                <w:sz w:val="20"/>
                <w:szCs w:val="20"/>
              </w:rPr>
              <w:t>Summit 23-27 May 2016 in Istanbul</w:t>
            </w:r>
          </w:p>
        </w:tc>
        <w:tc>
          <w:tcPr>
            <w:tcW w:w="4372" w:type="dxa"/>
          </w:tcPr>
          <w:p w:rsidR="0096555D" w:rsidRDefault="0096555D" w:rsidP="00296C1A">
            <w:pPr>
              <w:pStyle w:val="ListParagraph"/>
              <w:numPr>
                <w:ilvl w:val="0"/>
                <w:numId w:val="6"/>
              </w:numPr>
              <w:rPr>
                <w:sz w:val="20"/>
                <w:szCs w:val="20"/>
              </w:rPr>
            </w:pPr>
            <w:r>
              <w:rPr>
                <w:sz w:val="20"/>
                <w:szCs w:val="20"/>
              </w:rPr>
              <w:t xml:space="preserve">‘Think Piece: Humanitarian Financing’ (DI/GHA for the WHS </w:t>
            </w:r>
            <w:proofErr w:type="spellStart"/>
            <w:r>
              <w:rPr>
                <w:sz w:val="20"/>
                <w:szCs w:val="20"/>
              </w:rPr>
              <w:t>secretaraiat</w:t>
            </w:r>
            <w:proofErr w:type="spellEnd"/>
            <w:r>
              <w:rPr>
                <w:sz w:val="20"/>
                <w:szCs w:val="20"/>
              </w:rPr>
              <w:t>)</w:t>
            </w:r>
          </w:p>
          <w:p w:rsidR="0096555D" w:rsidRPr="009313A4" w:rsidRDefault="00016B09" w:rsidP="00296C1A">
            <w:pPr>
              <w:rPr>
                <w:color w:val="000000" w:themeColor="text1"/>
                <w:sz w:val="20"/>
                <w:szCs w:val="20"/>
              </w:rPr>
            </w:pPr>
            <w:hyperlink r:id="rId9" w:history="1">
              <w:r w:rsidR="0096555D" w:rsidRPr="009313A4">
                <w:rPr>
                  <w:rStyle w:val="Hyperlink"/>
                  <w:color w:val="000000" w:themeColor="text1"/>
                  <w:sz w:val="20"/>
                  <w:szCs w:val="20"/>
                </w:rPr>
                <w:t>www.worldhumanitariansummit.org/node/449453</w:t>
              </w:r>
            </w:hyperlink>
          </w:p>
          <w:p w:rsidR="0096555D" w:rsidRPr="009313A4" w:rsidRDefault="00016B09" w:rsidP="00296C1A">
            <w:pPr>
              <w:rPr>
                <w:color w:val="000000" w:themeColor="text1"/>
                <w:sz w:val="20"/>
                <w:szCs w:val="20"/>
              </w:rPr>
            </w:pPr>
            <w:hyperlink r:id="rId10" w:history="1">
              <w:r w:rsidR="0096555D" w:rsidRPr="009313A4">
                <w:rPr>
                  <w:rStyle w:val="Hyperlink"/>
                  <w:color w:val="000000" w:themeColor="text1"/>
                  <w:sz w:val="20"/>
                  <w:szCs w:val="20"/>
                </w:rPr>
                <w:t>www.worldhumanitariansummit.org/node/449459</w:t>
              </w:r>
            </w:hyperlink>
            <w:r w:rsidR="0096555D" w:rsidRPr="009313A4">
              <w:rPr>
                <w:color w:val="000000" w:themeColor="text1"/>
                <w:sz w:val="20"/>
                <w:szCs w:val="20"/>
              </w:rPr>
              <w:t xml:space="preserve"> </w:t>
            </w:r>
          </w:p>
        </w:tc>
      </w:tr>
      <w:tr w:rsidR="0096555D" w:rsidRPr="009313A4" w:rsidTr="0096555D">
        <w:tc>
          <w:tcPr>
            <w:tcW w:w="0" w:type="auto"/>
          </w:tcPr>
          <w:p w:rsidR="0096555D" w:rsidRPr="009313A4" w:rsidRDefault="0096555D" w:rsidP="008F796D">
            <w:pPr>
              <w:rPr>
                <w:color w:val="000000" w:themeColor="text1"/>
                <w:sz w:val="20"/>
                <w:szCs w:val="20"/>
              </w:rPr>
            </w:pPr>
            <w:r w:rsidRPr="009313A4">
              <w:rPr>
                <w:color w:val="000000" w:themeColor="text1"/>
                <w:sz w:val="20"/>
                <w:szCs w:val="20"/>
              </w:rPr>
              <w:lastRenderedPageBreak/>
              <w:t>Future of Humanitarian Financing</w:t>
            </w:r>
          </w:p>
        </w:tc>
        <w:tc>
          <w:tcPr>
            <w:tcW w:w="2326" w:type="dxa"/>
          </w:tcPr>
          <w:p w:rsidR="0096555D" w:rsidRPr="009313A4" w:rsidRDefault="0096555D" w:rsidP="008F796D">
            <w:pPr>
              <w:rPr>
                <w:color w:val="000000" w:themeColor="text1"/>
                <w:sz w:val="20"/>
                <w:szCs w:val="20"/>
              </w:rPr>
            </w:pPr>
            <w:r w:rsidRPr="009313A4">
              <w:rPr>
                <w:color w:val="000000" w:themeColor="text1"/>
                <w:sz w:val="20"/>
                <w:szCs w:val="20"/>
              </w:rPr>
              <w:t>IASC Humanitarian Financing Task Team; lead agencies: CAFOD, World Vision, FAO</w:t>
            </w:r>
          </w:p>
        </w:tc>
        <w:tc>
          <w:tcPr>
            <w:tcW w:w="4765" w:type="dxa"/>
          </w:tcPr>
          <w:p w:rsidR="0096555D" w:rsidRPr="009313A4" w:rsidRDefault="0096555D" w:rsidP="008F796D">
            <w:pPr>
              <w:rPr>
                <w:color w:val="000000" w:themeColor="text1"/>
                <w:sz w:val="20"/>
                <w:szCs w:val="20"/>
              </w:rPr>
            </w:pPr>
            <w:r w:rsidRPr="009313A4">
              <w:rPr>
                <w:color w:val="000000" w:themeColor="text1"/>
                <w:sz w:val="20"/>
                <w:szCs w:val="20"/>
              </w:rPr>
              <w:t>This is one of 14 activities in the workplan of the IASC Humanitarian Financing Task Team, which was approved by the IASC Working Group in February 2014. A steering committee is leading this activity.</w:t>
            </w:r>
          </w:p>
          <w:p w:rsidR="0096555D" w:rsidRPr="009313A4" w:rsidRDefault="0096555D" w:rsidP="009313A4">
            <w:pPr>
              <w:rPr>
                <w:color w:val="000000" w:themeColor="text1"/>
                <w:sz w:val="20"/>
                <w:szCs w:val="20"/>
              </w:rPr>
            </w:pPr>
            <w:r w:rsidRPr="009313A4">
              <w:rPr>
                <w:color w:val="000000" w:themeColor="text1"/>
                <w:sz w:val="20"/>
                <w:szCs w:val="20"/>
              </w:rPr>
              <w:t>Funding has been secured from Germany to commission a scoping study on future funding possibility for humanitarian action. This will be a ‘creative, long-term visioning piece that looks beyond current models of humanitarian financing.’ In addition, to get a wide range of inputs and ideas, regional consultations have been held in London, Amman, Bangkok, Dakar, Geneva, and online.</w:t>
            </w:r>
            <w:r w:rsidR="00385772">
              <w:rPr>
                <w:color w:val="000000" w:themeColor="text1"/>
                <w:sz w:val="20"/>
                <w:szCs w:val="20"/>
              </w:rPr>
              <w:t xml:space="preserve">  A full day session of the </w:t>
            </w:r>
            <w:r w:rsidR="00F575AB">
              <w:rPr>
                <w:color w:val="000000" w:themeColor="text1"/>
                <w:sz w:val="20"/>
                <w:szCs w:val="20"/>
              </w:rPr>
              <w:t xml:space="preserve">activity’s </w:t>
            </w:r>
            <w:r w:rsidR="00385772">
              <w:rPr>
                <w:color w:val="000000" w:themeColor="text1"/>
                <w:sz w:val="20"/>
                <w:szCs w:val="20"/>
              </w:rPr>
              <w:t>Advisory Group was held with the organizers and consultant in Geneva on 23 January.</w:t>
            </w:r>
          </w:p>
        </w:tc>
        <w:tc>
          <w:tcPr>
            <w:tcW w:w="1250" w:type="dxa"/>
          </w:tcPr>
          <w:p w:rsidR="0096555D" w:rsidRPr="009313A4" w:rsidRDefault="0096555D" w:rsidP="008F796D">
            <w:pPr>
              <w:rPr>
                <w:color w:val="000000" w:themeColor="text1"/>
                <w:sz w:val="20"/>
                <w:szCs w:val="20"/>
              </w:rPr>
            </w:pPr>
            <w:r w:rsidRPr="009313A4">
              <w:rPr>
                <w:color w:val="000000" w:themeColor="text1"/>
                <w:sz w:val="20"/>
                <w:szCs w:val="20"/>
              </w:rPr>
              <w:t>October 2014 – 2015</w:t>
            </w:r>
          </w:p>
        </w:tc>
        <w:tc>
          <w:tcPr>
            <w:tcW w:w="4372" w:type="dxa"/>
          </w:tcPr>
          <w:p w:rsidR="0096555D" w:rsidRPr="009313A4" w:rsidRDefault="0096555D" w:rsidP="009313A4">
            <w:pPr>
              <w:pStyle w:val="ListParagraph"/>
              <w:numPr>
                <w:ilvl w:val="0"/>
                <w:numId w:val="6"/>
              </w:numPr>
              <w:rPr>
                <w:color w:val="000000" w:themeColor="text1"/>
                <w:sz w:val="20"/>
                <w:szCs w:val="20"/>
              </w:rPr>
            </w:pPr>
            <w:r w:rsidRPr="009313A4">
              <w:rPr>
                <w:color w:val="000000" w:themeColor="text1"/>
                <w:sz w:val="20"/>
                <w:szCs w:val="20"/>
              </w:rPr>
              <w:t>‘Visioning the future’, draft report, Feb 2015</w:t>
            </w:r>
          </w:p>
          <w:p w:rsidR="0096555D" w:rsidRPr="009313A4" w:rsidRDefault="0096555D" w:rsidP="009313A4">
            <w:pPr>
              <w:pStyle w:val="ListParagraph"/>
              <w:numPr>
                <w:ilvl w:val="0"/>
                <w:numId w:val="6"/>
              </w:numPr>
              <w:rPr>
                <w:color w:val="000000" w:themeColor="text1"/>
                <w:sz w:val="20"/>
                <w:szCs w:val="20"/>
              </w:rPr>
            </w:pPr>
            <w:r w:rsidRPr="009313A4">
              <w:rPr>
                <w:color w:val="000000" w:themeColor="text1"/>
                <w:sz w:val="20"/>
                <w:szCs w:val="20"/>
              </w:rPr>
              <w:t>Humanitarian Financing Task Team (HFTT): Detailed Work Plan, January 2014 – December 2015, 20 October 2014</w:t>
            </w:r>
          </w:p>
          <w:p w:rsidR="0096555D" w:rsidRPr="009313A4" w:rsidRDefault="0096555D" w:rsidP="009313A4">
            <w:pPr>
              <w:pStyle w:val="ListParagraph"/>
              <w:numPr>
                <w:ilvl w:val="0"/>
                <w:numId w:val="6"/>
              </w:numPr>
              <w:rPr>
                <w:color w:val="000000" w:themeColor="text1"/>
                <w:sz w:val="20"/>
                <w:szCs w:val="20"/>
              </w:rPr>
            </w:pPr>
            <w:r w:rsidRPr="009313A4">
              <w:rPr>
                <w:color w:val="000000" w:themeColor="text1"/>
                <w:sz w:val="20"/>
                <w:szCs w:val="20"/>
              </w:rPr>
              <w:t>IASC Priority/Task Team Progress Report 2014: IASC Task Team on Humanitarian Financing (HFTT), 87th IASC Working Group Meeting, 21 October 2014</w:t>
            </w:r>
          </w:p>
          <w:p w:rsidR="0096555D" w:rsidRPr="009313A4" w:rsidRDefault="00016B09" w:rsidP="008F796D">
            <w:pPr>
              <w:rPr>
                <w:color w:val="000000" w:themeColor="text1"/>
                <w:sz w:val="20"/>
                <w:szCs w:val="20"/>
              </w:rPr>
            </w:pPr>
            <w:hyperlink r:id="rId11" w:history="1">
              <w:r w:rsidR="0096555D" w:rsidRPr="009313A4">
                <w:rPr>
                  <w:rStyle w:val="Hyperlink"/>
                  <w:color w:val="000000" w:themeColor="text1"/>
                  <w:sz w:val="20"/>
                  <w:szCs w:val="20"/>
                </w:rPr>
                <w:t>futurehumanitarianfinancing.org/</w:t>
              </w:r>
            </w:hyperlink>
          </w:p>
          <w:p w:rsidR="0096555D" w:rsidRPr="009313A4" w:rsidRDefault="00016B09" w:rsidP="008F796D">
            <w:pPr>
              <w:rPr>
                <w:color w:val="000000" w:themeColor="text1"/>
                <w:sz w:val="20"/>
                <w:szCs w:val="20"/>
              </w:rPr>
            </w:pPr>
            <w:hyperlink r:id="rId12" w:history="1">
              <w:r w:rsidR="0096555D" w:rsidRPr="009313A4">
                <w:rPr>
                  <w:rStyle w:val="Hyperlink"/>
                  <w:color w:val="000000" w:themeColor="text1"/>
                  <w:sz w:val="20"/>
                  <w:szCs w:val="20"/>
                </w:rPr>
                <w:t>twitter.com/</w:t>
              </w:r>
              <w:proofErr w:type="spellStart"/>
              <w:r w:rsidR="0096555D" w:rsidRPr="009313A4">
                <w:rPr>
                  <w:rStyle w:val="Hyperlink"/>
                  <w:color w:val="000000" w:themeColor="text1"/>
                  <w:sz w:val="20"/>
                  <w:szCs w:val="20"/>
                </w:rPr>
                <w:t>FutureHF</w:t>
              </w:r>
              <w:proofErr w:type="spellEnd"/>
            </w:hyperlink>
            <w:r w:rsidR="0096555D" w:rsidRPr="009313A4">
              <w:rPr>
                <w:color w:val="000000" w:themeColor="text1"/>
                <w:sz w:val="20"/>
                <w:szCs w:val="20"/>
              </w:rPr>
              <w:t xml:space="preserve"> </w:t>
            </w:r>
          </w:p>
          <w:p w:rsidR="0096555D" w:rsidRPr="009313A4" w:rsidRDefault="00016B09" w:rsidP="008F796D">
            <w:pPr>
              <w:rPr>
                <w:color w:val="000000" w:themeColor="text1"/>
                <w:sz w:val="20"/>
                <w:szCs w:val="20"/>
              </w:rPr>
            </w:pPr>
            <w:hyperlink r:id="rId13" w:history="1">
              <w:r w:rsidR="0096555D" w:rsidRPr="009313A4">
                <w:rPr>
                  <w:rStyle w:val="Hyperlink"/>
                  <w:color w:val="000000" w:themeColor="text1"/>
                  <w:sz w:val="20"/>
                  <w:szCs w:val="20"/>
                </w:rPr>
                <w:t>www.facebook.com/futurehf</w:t>
              </w:r>
            </w:hyperlink>
            <w:r w:rsidR="0096555D" w:rsidRPr="009313A4">
              <w:rPr>
                <w:color w:val="000000" w:themeColor="text1"/>
                <w:sz w:val="20"/>
                <w:szCs w:val="20"/>
              </w:rPr>
              <w:t xml:space="preserve"> </w:t>
            </w:r>
          </w:p>
          <w:p w:rsidR="0096555D" w:rsidRPr="009313A4" w:rsidRDefault="00016B09" w:rsidP="008F796D">
            <w:pPr>
              <w:rPr>
                <w:color w:val="000000" w:themeColor="text1"/>
                <w:sz w:val="20"/>
                <w:szCs w:val="20"/>
              </w:rPr>
            </w:pPr>
            <w:hyperlink r:id="rId14" w:history="1">
              <w:r w:rsidR="0096555D" w:rsidRPr="009313A4">
                <w:rPr>
                  <w:rStyle w:val="Hyperlink"/>
                  <w:color w:val="000000" w:themeColor="text1"/>
                  <w:sz w:val="20"/>
                  <w:szCs w:val="20"/>
                </w:rPr>
                <w:t>www.surveymonkey.com/s/6GM3CZH</w:t>
              </w:r>
            </w:hyperlink>
            <w:r w:rsidR="0096555D" w:rsidRPr="009313A4">
              <w:rPr>
                <w:color w:val="000000" w:themeColor="text1"/>
                <w:sz w:val="20"/>
                <w:szCs w:val="20"/>
              </w:rPr>
              <w:t xml:space="preserve"> </w:t>
            </w:r>
          </w:p>
        </w:tc>
      </w:tr>
      <w:tr w:rsidR="0096555D" w:rsidRPr="009313A4" w:rsidTr="0096555D">
        <w:tc>
          <w:tcPr>
            <w:tcW w:w="0" w:type="auto"/>
          </w:tcPr>
          <w:p w:rsidR="0096555D" w:rsidRPr="009313A4" w:rsidRDefault="0096555D" w:rsidP="008F796D">
            <w:pPr>
              <w:rPr>
                <w:color w:val="000000" w:themeColor="text1"/>
                <w:sz w:val="20"/>
                <w:szCs w:val="20"/>
              </w:rPr>
            </w:pPr>
            <w:r w:rsidRPr="009313A4">
              <w:rPr>
                <w:color w:val="000000" w:themeColor="text1"/>
                <w:sz w:val="20"/>
                <w:szCs w:val="20"/>
              </w:rPr>
              <w:t>Bridging the humanitarian/ development gap</w:t>
            </w:r>
          </w:p>
        </w:tc>
        <w:tc>
          <w:tcPr>
            <w:tcW w:w="2326" w:type="dxa"/>
          </w:tcPr>
          <w:p w:rsidR="0096555D" w:rsidRPr="009313A4" w:rsidRDefault="0096555D" w:rsidP="008F796D">
            <w:pPr>
              <w:rPr>
                <w:color w:val="000000" w:themeColor="text1"/>
                <w:sz w:val="20"/>
                <w:szCs w:val="20"/>
              </w:rPr>
            </w:pPr>
            <w:r w:rsidRPr="009313A4">
              <w:rPr>
                <w:color w:val="000000" w:themeColor="text1"/>
                <w:sz w:val="20"/>
                <w:szCs w:val="20"/>
              </w:rPr>
              <w:t>IASC Humanitarian Financing Task Team and IASC Task Team on Preparedness and Resilience; lead agencies: FAO, UNDP, WHO, World Bank</w:t>
            </w:r>
          </w:p>
        </w:tc>
        <w:tc>
          <w:tcPr>
            <w:tcW w:w="4765" w:type="dxa"/>
          </w:tcPr>
          <w:p w:rsidR="0096555D" w:rsidRPr="009313A4" w:rsidRDefault="0096555D" w:rsidP="008F796D">
            <w:pPr>
              <w:rPr>
                <w:color w:val="000000" w:themeColor="text1"/>
                <w:sz w:val="20"/>
                <w:szCs w:val="20"/>
              </w:rPr>
            </w:pPr>
            <w:r w:rsidRPr="009313A4">
              <w:rPr>
                <w:color w:val="000000" w:themeColor="text1"/>
                <w:sz w:val="20"/>
                <w:szCs w:val="20"/>
              </w:rPr>
              <w:t>This is one of four objectives in the workplan of the IASC Humanitarian Financing Task Team, with three associated activities, and part of the workplan of the IASC Task Team on Preparedness and Resilience.</w:t>
            </w:r>
          </w:p>
          <w:p w:rsidR="0096555D" w:rsidRPr="009313A4" w:rsidRDefault="0096555D" w:rsidP="008F796D">
            <w:pPr>
              <w:rPr>
                <w:color w:val="000000" w:themeColor="text1"/>
                <w:sz w:val="20"/>
                <w:szCs w:val="20"/>
              </w:rPr>
            </w:pPr>
            <w:r w:rsidRPr="009313A4">
              <w:rPr>
                <w:color w:val="000000" w:themeColor="text1"/>
                <w:sz w:val="20"/>
                <w:szCs w:val="20"/>
              </w:rPr>
              <w:t>While the focus of this workstream is on the humanitarian/development gap in general, financing plays an important role. In particular, the link between humanitarian, preparedness, climate-change, and development funding will be explored. For instance, some aid agencies have used preparedness, development, and other long-term funding in humanitarian contexts.</w:t>
            </w:r>
          </w:p>
          <w:p w:rsidR="0096555D" w:rsidRPr="009313A4" w:rsidRDefault="0096555D" w:rsidP="008F796D">
            <w:pPr>
              <w:rPr>
                <w:color w:val="000000" w:themeColor="text1"/>
                <w:sz w:val="20"/>
                <w:szCs w:val="20"/>
              </w:rPr>
            </w:pPr>
          </w:p>
          <w:p w:rsidR="0096555D" w:rsidRPr="009313A4" w:rsidRDefault="0096555D" w:rsidP="008F796D">
            <w:pPr>
              <w:rPr>
                <w:color w:val="000000" w:themeColor="text1"/>
                <w:sz w:val="20"/>
                <w:szCs w:val="20"/>
              </w:rPr>
            </w:pPr>
            <w:r w:rsidRPr="009313A4">
              <w:rPr>
                <w:color w:val="000000" w:themeColor="text1"/>
                <w:sz w:val="20"/>
                <w:szCs w:val="20"/>
              </w:rPr>
              <w:t xml:space="preserve">Key messages on preparedness financing emerging from the IASC/ODI “Dare to Prepare” report have been prepared and are being reviewed by Task Team members with a view to disseminating to IASC members. </w:t>
            </w:r>
          </w:p>
          <w:p w:rsidR="0096555D" w:rsidRPr="009313A4" w:rsidRDefault="0096555D" w:rsidP="008F796D">
            <w:pPr>
              <w:rPr>
                <w:color w:val="000000" w:themeColor="text1"/>
                <w:sz w:val="20"/>
                <w:szCs w:val="20"/>
              </w:rPr>
            </w:pPr>
          </w:p>
          <w:p w:rsidR="0096555D" w:rsidRPr="009313A4" w:rsidRDefault="0096555D" w:rsidP="008F796D">
            <w:pPr>
              <w:rPr>
                <w:color w:val="000000" w:themeColor="text1"/>
                <w:sz w:val="20"/>
                <w:szCs w:val="20"/>
              </w:rPr>
            </w:pPr>
            <w:r w:rsidRPr="009313A4">
              <w:rPr>
                <w:color w:val="000000" w:themeColor="text1"/>
                <w:sz w:val="20"/>
                <w:szCs w:val="20"/>
              </w:rPr>
              <w:t xml:space="preserve">In addition, Task Team members are working on a theory of change to establish an appropriate mechanism </w:t>
            </w:r>
            <w:r w:rsidRPr="009313A4">
              <w:rPr>
                <w:color w:val="000000" w:themeColor="text1"/>
                <w:sz w:val="20"/>
                <w:szCs w:val="20"/>
              </w:rPr>
              <w:lastRenderedPageBreak/>
              <w:t>to address preparedness financing gaps at country and regional level. An external peer review including climate finance experts is being convened in late November 2014.</w:t>
            </w:r>
          </w:p>
        </w:tc>
        <w:tc>
          <w:tcPr>
            <w:tcW w:w="1250" w:type="dxa"/>
          </w:tcPr>
          <w:p w:rsidR="0096555D" w:rsidRPr="009313A4" w:rsidRDefault="0096555D" w:rsidP="008F796D">
            <w:pPr>
              <w:rPr>
                <w:color w:val="000000" w:themeColor="text1"/>
                <w:sz w:val="20"/>
                <w:szCs w:val="20"/>
              </w:rPr>
            </w:pPr>
            <w:r w:rsidRPr="009313A4">
              <w:rPr>
                <w:color w:val="000000" w:themeColor="text1"/>
                <w:sz w:val="20"/>
                <w:szCs w:val="20"/>
              </w:rPr>
              <w:lastRenderedPageBreak/>
              <w:t>2014 – 2015</w:t>
            </w:r>
          </w:p>
        </w:tc>
        <w:tc>
          <w:tcPr>
            <w:tcW w:w="4372" w:type="dxa"/>
          </w:tcPr>
          <w:p w:rsidR="0096555D" w:rsidRPr="009313A4" w:rsidRDefault="0096555D" w:rsidP="009313A4">
            <w:pPr>
              <w:pStyle w:val="ListParagraph"/>
              <w:numPr>
                <w:ilvl w:val="0"/>
                <w:numId w:val="6"/>
              </w:numPr>
              <w:rPr>
                <w:color w:val="000000" w:themeColor="text1"/>
                <w:sz w:val="20"/>
                <w:szCs w:val="20"/>
              </w:rPr>
            </w:pPr>
            <w:r w:rsidRPr="009313A4">
              <w:rPr>
                <w:color w:val="000000" w:themeColor="text1"/>
                <w:sz w:val="20"/>
                <w:szCs w:val="20"/>
              </w:rPr>
              <w:t>Humanitarian Financing Task Team (HFTT): Detailed Work Plan, January 2014 – December 2015, 20 October 2014</w:t>
            </w:r>
          </w:p>
          <w:p w:rsidR="0096555D" w:rsidRPr="009313A4" w:rsidRDefault="0096555D" w:rsidP="009313A4">
            <w:pPr>
              <w:pStyle w:val="ListParagraph"/>
              <w:numPr>
                <w:ilvl w:val="0"/>
                <w:numId w:val="6"/>
              </w:numPr>
              <w:rPr>
                <w:color w:val="000000" w:themeColor="text1"/>
                <w:sz w:val="20"/>
                <w:szCs w:val="20"/>
              </w:rPr>
            </w:pPr>
            <w:r w:rsidRPr="009313A4">
              <w:rPr>
                <w:color w:val="000000" w:themeColor="text1"/>
                <w:sz w:val="20"/>
                <w:szCs w:val="20"/>
              </w:rPr>
              <w:t>IASC Priority/Task Team Progress Report 2014: IASC Task Team on Humanitarian Financing (HFTT), 87th IASC Working Group Meeting, 21 October 2014</w:t>
            </w:r>
          </w:p>
          <w:p w:rsidR="0096555D" w:rsidRPr="009313A4" w:rsidRDefault="0096555D" w:rsidP="009313A4">
            <w:pPr>
              <w:pStyle w:val="ListParagraph"/>
              <w:numPr>
                <w:ilvl w:val="0"/>
                <w:numId w:val="6"/>
              </w:numPr>
              <w:rPr>
                <w:color w:val="000000" w:themeColor="text1"/>
                <w:sz w:val="20"/>
                <w:szCs w:val="20"/>
              </w:rPr>
            </w:pPr>
            <w:r w:rsidRPr="009313A4">
              <w:rPr>
                <w:color w:val="000000" w:themeColor="text1"/>
                <w:sz w:val="20"/>
                <w:szCs w:val="20"/>
              </w:rPr>
              <w:t>Humanitarian Financing Task Team – Meeting Notes – 10 October 2014</w:t>
            </w:r>
          </w:p>
          <w:p w:rsidR="0096555D" w:rsidRPr="009313A4" w:rsidRDefault="0096555D" w:rsidP="008F796D">
            <w:pPr>
              <w:rPr>
                <w:color w:val="000000" w:themeColor="text1"/>
                <w:sz w:val="20"/>
                <w:szCs w:val="20"/>
              </w:rPr>
            </w:pPr>
          </w:p>
        </w:tc>
      </w:tr>
      <w:tr w:rsidR="0096555D" w:rsidRPr="009313A4" w:rsidTr="0096555D">
        <w:tc>
          <w:tcPr>
            <w:tcW w:w="0" w:type="auto"/>
          </w:tcPr>
          <w:p w:rsidR="0096555D" w:rsidRPr="009313A4" w:rsidRDefault="0096555D" w:rsidP="008F796D">
            <w:pPr>
              <w:rPr>
                <w:color w:val="000000" w:themeColor="text1"/>
                <w:sz w:val="20"/>
                <w:szCs w:val="20"/>
              </w:rPr>
            </w:pPr>
            <w:r>
              <w:rPr>
                <w:color w:val="000000" w:themeColor="text1"/>
                <w:sz w:val="20"/>
                <w:szCs w:val="20"/>
              </w:rPr>
              <w:lastRenderedPageBreak/>
              <w:t xml:space="preserve">Humanitarian Financing Workstream </w:t>
            </w:r>
          </w:p>
        </w:tc>
        <w:tc>
          <w:tcPr>
            <w:tcW w:w="2326" w:type="dxa"/>
          </w:tcPr>
          <w:p w:rsidR="0096555D" w:rsidRPr="009313A4" w:rsidRDefault="0096555D" w:rsidP="008F796D">
            <w:pPr>
              <w:rPr>
                <w:color w:val="000000" w:themeColor="text1"/>
                <w:sz w:val="20"/>
                <w:szCs w:val="20"/>
              </w:rPr>
            </w:pPr>
            <w:r>
              <w:rPr>
                <w:color w:val="000000" w:themeColor="text1"/>
                <w:sz w:val="20"/>
                <w:szCs w:val="20"/>
              </w:rPr>
              <w:t>Good Humanitarian Donorship initiative</w:t>
            </w:r>
          </w:p>
        </w:tc>
        <w:tc>
          <w:tcPr>
            <w:tcW w:w="4765" w:type="dxa"/>
          </w:tcPr>
          <w:p w:rsidR="0096555D" w:rsidRPr="009313A4" w:rsidRDefault="0096555D" w:rsidP="0096555D">
            <w:pPr>
              <w:rPr>
                <w:color w:val="000000" w:themeColor="text1"/>
                <w:sz w:val="20"/>
                <w:szCs w:val="20"/>
              </w:rPr>
            </w:pPr>
            <w:r>
              <w:rPr>
                <w:color w:val="000000" w:themeColor="text1"/>
                <w:sz w:val="20"/>
                <w:szCs w:val="20"/>
              </w:rPr>
              <w:t>The GHD initiative is finalizing its workplan for 2015-2016. It will include a workstream on humanitarian financing, led by Germany, Sweden, and the UK, which may include issues such as good practices in financing agreements, a review of reporting requirements and donor conditions, and a mapping of funding modalities.</w:t>
            </w:r>
          </w:p>
        </w:tc>
        <w:tc>
          <w:tcPr>
            <w:tcW w:w="1250" w:type="dxa"/>
          </w:tcPr>
          <w:p w:rsidR="0096555D" w:rsidRPr="009313A4" w:rsidRDefault="0096555D" w:rsidP="008F796D">
            <w:pPr>
              <w:rPr>
                <w:color w:val="000000" w:themeColor="text1"/>
                <w:sz w:val="20"/>
                <w:szCs w:val="20"/>
              </w:rPr>
            </w:pPr>
          </w:p>
        </w:tc>
        <w:tc>
          <w:tcPr>
            <w:tcW w:w="4372" w:type="dxa"/>
          </w:tcPr>
          <w:p w:rsidR="0096555D" w:rsidRPr="009313A4" w:rsidRDefault="0096555D" w:rsidP="008F796D">
            <w:pPr>
              <w:rPr>
                <w:color w:val="000000" w:themeColor="text1"/>
                <w:sz w:val="20"/>
                <w:szCs w:val="20"/>
              </w:rPr>
            </w:pPr>
            <w:r>
              <w:rPr>
                <w:color w:val="000000" w:themeColor="text1"/>
                <w:sz w:val="20"/>
                <w:szCs w:val="20"/>
              </w:rPr>
              <w:t>‘GHD Work Plan 2014-2016’ (draft)</w:t>
            </w:r>
          </w:p>
        </w:tc>
      </w:tr>
      <w:tr w:rsidR="0096555D" w:rsidRPr="009313A4" w:rsidTr="0096555D">
        <w:trPr>
          <w:cantSplit/>
        </w:trPr>
        <w:tc>
          <w:tcPr>
            <w:tcW w:w="0" w:type="auto"/>
          </w:tcPr>
          <w:p w:rsidR="0096555D" w:rsidRPr="009313A4" w:rsidRDefault="0096555D" w:rsidP="008F796D">
            <w:pPr>
              <w:rPr>
                <w:color w:val="000000" w:themeColor="text1"/>
                <w:sz w:val="20"/>
                <w:szCs w:val="20"/>
              </w:rPr>
            </w:pPr>
            <w:r>
              <w:rPr>
                <w:color w:val="000000" w:themeColor="text1"/>
                <w:sz w:val="20"/>
                <w:szCs w:val="20"/>
              </w:rPr>
              <w:t xml:space="preserve">Review of HPC Information Services </w:t>
            </w:r>
          </w:p>
        </w:tc>
        <w:tc>
          <w:tcPr>
            <w:tcW w:w="2326" w:type="dxa"/>
          </w:tcPr>
          <w:p w:rsidR="0096555D" w:rsidRPr="009313A4" w:rsidRDefault="0096555D" w:rsidP="008F796D">
            <w:pPr>
              <w:rPr>
                <w:color w:val="000000" w:themeColor="text1"/>
                <w:sz w:val="20"/>
                <w:szCs w:val="20"/>
              </w:rPr>
            </w:pPr>
            <w:r>
              <w:rPr>
                <w:color w:val="000000" w:themeColor="text1"/>
                <w:sz w:val="20"/>
                <w:szCs w:val="20"/>
              </w:rPr>
              <w:t>OCHA/PSB</w:t>
            </w:r>
          </w:p>
        </w:tc>
        <w:tc>
          <w:tcPr>
            <w:tcW w:w="4765" w:type="dxa"/>
          </w:tcPr>
          <w:p w:rsidR="0096555D" w:rsidRPr="009313A4" w:rsidRDefault="0096555D" w:rsidP="008F796D">
            <w:pPr>
              <w:rPr>
                <w:color w:val="000000" w:themeColor="text1"/>
                <w:sz w:val="20"/>
                <w:szCs w:val="20"/>
              </w:rPr>
            </w:pPr>
            <w:r>
              <w:rPr>
                <w:color w:val="000000" w:themeColor="text1"/>
                <w:sz w:val="20"/>
                <w:szCs w:val="20"/>
              </w:rPr>
              <w:t xml:space="preserve">OCHA has begun a two-year process of reviewing and improving the information services supporting the humanitarian </w:t>
            </w:r>
            <w:proofErr w:type="spellStart"/>
            <w:r>
              <w:rPr>
                <w:color w:val="000000" w:themeColor="text1"/>
                <w:sz w:val="20"/>
                <w:szCs w:val="20"/>
              </w:rPr>
              <w:t>programme</w:t>
            </w:r>
            <w:proofErr w:type="spellEnd"/>
            <w:r>
              <w:rPr>
                <w:color w:val="000000" w:themeColor="text1"/>
                <w:sz w:val="20"/>
                <w:szCs w:val="20"/>
              </w:rPr>
              <w:t xml:space="preserve"> cycle, including FTS, OPS, and others.</w:t>
            </w:r>
          </w:p>
        </w:tc>
        <w:tc>
          <w:tcPr>
            <w:tcW w:w="1250" w:type="dxa"/>
          </w:tcPr>
          <w:p w:rsidR="0096555D" w:rsidRPr="009313A4" w:rsidRDefault="0096555D" w:rsidP="008F796D">
            <w:pPr>
              <w:rPr>
                <w:color w:val="000000" w:themeColor="text1"/>
                <w:sz w:val="20"/>
                <w:szCs w:val="20"/>
              </w:rPr>
            </w:pPr>
            <w:r>
              <w:rPr>
                <w:color w:val="000000" w:themeColor="text1"/>
                <w:sz w:val="20"/>
                <w:szCs w:val="20"/>
              </w:rPr>
              <w:t>November 2014 – 2016</w:t>
            </w:r>
          </w:p>
        </w:tc>
        <w:tc>
          <w:tcPr>
            <w:tcW w:w="4372" w:type="dxa"/>
          </w:tcPr>
          <w:p w:rsidR="0096555D" w:rsidRDefault="0096555D" w:rsidP="008F796D">
            <w:pPr>
              <w:rPr>
                <w:sz w:val="20"/>
                <w:szCs w:val="20"/>
              </w:rPr>
            </w:pPr>
            <w:r>
              <w:rPr>
                <w:sz w:val="20"/>
                <w:szCs w:val="20"/>
              </w:rPr>
              <w:t xml:space="preserve">‘Information services supporting the humanitarian </w:t>
            </w:r>
            <w:proofErr w:type="spellStart"/>
            <w:r>
              <w:rPr>
                <w:sz w:val="20"/>
                <w:szCs w:val="20"/>
              </w:rPr>
              <w:t>programme</w:t>
            </w:r>
            <w:proofErr w:type="spellEnd"/>
            <w:r>
              <w:rPr>
                <w:sz w:val="20"/>
                <w:szCs w:val="20"/>
              </w:rPr>
              <w:t xml:space="preserve"> cycle’ (concept note and infographic)</w:t>
            </w:r>
          </w:p>
          <w:p w:rsidR="0096555D" w:rsidRPr="009313A4" w:rsidRDefault="0096555D" w:rsidP="008F796D">
            <w:pPr>
              <w:rPr>
                <w:sz w:val="20"/>
                <w:szCs w:val="20"/>
              </w:rPr>
            </w:pPr>
          </w:p>
        </w:tc>
      </w:tr>
      <w:tr w:rsidR="0096555D" w:rsidRPr="009313A4" w:rsidTr="0096555D">
        <w:trPr>
          <w:cantSplit/>
        </w:trPr>
        <w:tc>
          <w:tcPr>
            <w:tcW w:w="0" w:type="auto"/>
          </w:tcPr>
          <w:p w:rsidR="0096555D" w:rsidRPr="009313A4" w:rsidRDefault="0096555D" w:rsidP="008F796D">
            <w:pPr>
              <w:rPr>
                <w:color w:val="000000" w:themeColor="text1"/>
                <w:sz w:val="20"/>
                <w:szCs w:val="20"/>
              </w:rPr>
            </w:pPr>
            <w:r w:rsidRPr="009313A4">
              <w:rPr>
                <w:color w:val="000000" w:themeColor="text1"/>
                <w:sz w:val="20"/>
                <w:szCs w:val="20"/>
              </w:rPr>
              <w:t>Disaster Response Dialogue</w:t>
            </w:r>
          </w:p>
        </w:tc>
        <w:tc>
          <w:tcPr>
            <w:tcW w:w="2326" w:type="dxa"/>
          </w:tcPr>
          <w:p w:rsidR="0096555D" w:rsidRPr="009313A4" w:rsidRDefault="0096555D" w:rsidP="008F796D">
            <w:pPr>
              <w:rPr>
                <w:color w:val="000000" w:themeColor="text1"/>
                <w:sz w:val="20"/>
                <w:szCs w:val="20"/>
              </w:rPr>
            </w:pPr>
            <w:r w:rsidRPr="009313A4">
              <w:rPr>
                <w:color w:val="000000" w:themeColor="text1"/>
                <w:sz w:val="20"/>
                <w:szCs w:val="20"/>
              </w:rPr>
              <w:t>Initiated by SDC, IFRC, ICVA, OCHA in 2011, currently hosted by IFRC</w:t>
            </w:r>
          </w:p>
        </w:tc>
        <w:tc>
          <w:tcPr>
            <w:tcW w:w="4765" w:type="dxa"/>
          </w:tcPr>
          <w:p w:rsidR="0096555D" w:rsidRPr="009313A4" w:rsidRDefault="0096555D" w:rsidP="008F796D">
            <w:pPr>
              <w:rPr>
                <w:color w:val="000000" w:themeColor="text1"/>
                <w:sz w:val="20"/>
                <w:szCs w:val="20"/>
              </w:rPr>
            </w:pPr>
            <w:r w:rsidRPr="009313A4">
              <w:rPr>
                <w:color w:val="000000" w:themeColor="text1"/>
                <w:sz w:val="20"/>
                <w:szCs w:val="20"/>
              </w:rPr>
              <w:t>At the 2014 Global Conference of the Disaster Response Dialogue, hosted by the Government of the Philippines in cooperation with Australia, research on financing to affected states was reportedly commissioned.</w:t>
            </w:r>
          </w:p>
        </w:tc>
        <w:tc>
          <w:tcPr>
            <w:tcW w:w="1250" w:type="dxa"/>
          </w:tcPr>
          <w:p w:rsidR="0096555D" w:rsidRPr="009313A4" w:rsidRDefault="001E73B3" w:rsidP="001E73B3">
            <w:pPr>
              <w:rPr>
                <w:color w:val="000000" w:themeColor="text1"/>
                <w:sz w:val="20"/>
                <w:szCs w:val="20"/>
              </w:rPr>
            </w:pPr>
            <w:r>
              <w:rPr>
                <w:color w:val="000000" w:themeColor="text1"/>
                <w:sz w:val="20"/>
                <w:szCs w:val="20"/>
              </w:rPr>
              <w:t xml:space="preserve">Completed, </w:t>
            </w:r>
            <w:r w:rsidR="0096555D" w:rsidRPr="009313A4">
              <w:rPr>
                <w:color w:val="000000" w:themeColor="text1"/>
                <w:sz w:val="20"/>
                <w:szCs w:val="20"/>
              </w:rPr>
              <w:t>global conference took place October 2014</w:t>
            </w:r>
          </w:p>
        </w:tc>
        <w:tc>
          <w:tcPr>
            <w:tcW w:w="4372" w:type="dxa"/>
          </w:tcPr>
          <w:p w:rsidR="0096555D" w:rsidRPr="009313A4" w:rsidRDefault="00016B09" w:rsidP="008F796D">
            <w:pPr>
              <w:rPr>
                <w:color w:val="000000" w:themeColor="text1"/>
                <w:sz w:val="20"/>
                <w:szCs w:val="20"/>
              </w:rPr>
            </w:pPr>
            <w:hyperlink r:id="rId15" w:history="1">
              <w:r w:rsidR="0096555D" w:rsidRPr="009313A4">
                <w:rPr>
                  <w:rStyle w:val="Hyperlink"/>
                  <w:color w:val="000000" w:themeColor="text1"/>
                  <w:sz w:val="20"/>
                  <w:szCs w:val="20"/>
                </w:rPr>
                <w:t>www.drdinitiative.org/v2/</w:t>
              </w:r>
            </w:hyperlink>
            <w:r w:rsidR="0096555D" w:rsidRPr="009313A4">
              <w:rPr>
                <w:color w:val="000000" w:themeColor="text1"/>
                <w:sz w:val="20"/>
                <w:szCs w:val="20"/>
              </w:rPr>
              <w:t xml:space="preserve"> </w:t>
            </w:r>
          </w:p>
          <w:p w:rsidR="0096555D" w:rsidRPr="009313A4" w:rsidRDefault="00016B09" w:rsidP="008F796D">
            <w:pPr>
              <w:rPr>
                <w:color w:val="000000" w:themeColor="text1"/>
                <w:sz w:val="20"/>
                <w:szCs w:val="20"/>
              </w:rPr>
            </w:pPr>
            <w:hyperlink r:id="rId16" w:history="1">
              <w:r w:rsidR="0096555D" w:rsidRPr="009313A4">
                <w:rPr>
                  <w:rStyle w:val="Hyperlink"/>
                  <w:color w:val="000000" w:themeColor="text1"/>
                  <w:sz w:val="20"/>
                  <w:szCs w:val="20"/>
                </w:rPr>
                <w:t>www.ifrc.org/what-we-do/disaster-law/disaster-law-events/disaster-response-dialogue-conference/</w:t>
              </w:r>
            </w:hyperlink>
            <w:r w:rsidR="0096555D" w:rsidRPr="009313A4">
              <w:rPr>
                <w:color w:val="000000" w:themeColor="text1"/>
                <w:sz w:val="20"/>
                <w:szCs w:val="20"/>
              </w:rPr>
              <w:t xml:space="preserve"> </w:t>
            </w:r>
          </w:p>
          <w:p w:rsidR="0096555D" w:rsidRPr="009313A4" w:rsidRDefault="00016B09" w:rsidP="008F796D">
            <w:pPr>
              <w:rPr>
                <w:color w:val="000000" w:themeColor="text1"/>
                <w:sz w:val="20"/>
                <w:szCs w:val="20"/>
              </w:rPr>
            </w:pPr>
            <w:hyperlink r:id="rId17" w:history="1">
              <w:r w:rsidR="0096555D" w:rsidRPr="009313A4">
                <w:rPr>
                  <w:rStyle w:val="Hyperlink"/>
                  <w:color w:val="000000" w:themeColor="text1"/>
                  <w:sz w:val="20"/>
                  <w:szCs w:val="20"/>
                </w:rPr>
                <w:t>www.dfa.gov.ph/index.php/2013-06-27-21-50-36/dfa-releases/4303-disaster-response-dialogue-global-conference-opens-in-manila</w:t>
              </w:r>
            </w:hyperlink>
            <w:r w:rsidR="0096555D" w:rsidRPr="009313A4">
              <w:rPr>
                <w:color w:val="000000" w:themeColor="text1"/>
                <w:sz w:val="20"/>
                <w:szCs w:val="20"/>
              </w:rPr>
              <w:t xml:space="preserve"> </w:t>
            </w:r>
          </w:p>
        </w:tc>
      </w:tr>
    </w:tbl>
    <w:p w:rsidR="00790B37" w:rsidRPr="00790B37" w:rsidRDefault="00790B37" w:rsidP="00790B37">
      <w:pPr>
        <w:rPr>
          <w:b/>
          <w:bCs/>
          <w:color w:val="000000" w:themeColor="text1"/>
        </w:rPr>
      </w:pPr>
    </w:p>
    <w:p w:rsidR="00790B37" w:rsidRPr="00790B37" w:rsidRDefault="00790B37" w:rsidP="00790B37">
      <w:pPr>
        <w:pStyle w:val="Heading2"/>
        <w:keepLines/>
        <w:numPr>
          <w:ilvl w:val="0"/>
          <w:numId w:val="4"/>
        </w:numPr>
        <w:spacing w:before="200" w:after="0" w:line="276" w:lineRule="auto"/>
        <w:rPr>
          <w:rFonts w:ascii="Times New Roman" w:hAnsi="Times New Roman"/>
          <w:color w:val="000000" w:themeColor="text1"/>
        </w:rPr>
      </w:pPr>
      <w:r w:rsidRPr="00790B37">
        <w:rPr>
          <w:rFonts w:ascii="Times New Roman" w:hAnsi="Times New Roman"/>
          <w:color w:val="000000" w:themeColor="text1"/>
        </w:rPr>
        <w:t>Funds</w:t>
      </w:r>
    </w:p>
    <w:tbl>
      <w:tblPr>
        <w:tblStyle w:val="TableGrid"/>
        <w:tblW w:w="0" w:type="auto"/>
        <w:tblLook w:val="04A0" w:firstRow="1" w:lastRow="0" w:firstColumn="1" w:lastColumn="0" w:noHBand="0" w:noVBand="1"/>
      </w:tblPr>
      <w:tblGrid>
        <w:gridCol w:w="1717"/>
        <w:gridCol w:w="2243"/>
        <w:gridCol w:w="4703"/>
        <w:gridCol w:w="1169"/>
        <w:gridCol w:w="4208"/>
      </w:tblGrid>
      <w:tr w:rsidR="00790B37" w:rsidRPr="00790B37" w:rsidTr="00790B37">
        <w:trPr>
          <w:tblHeader/>
        </w:trPr>
        <w:tc>
          <w:tcPr>
            <w:tcW w:w="1728" w:type="dxa"/>
          </w:tcPr>
          <w:p w:rsidR="00790B37" w:rsidRPr="00790B37" w:rsidRDefault="00790B37" w:rsidP="008F796D">
            <w:pPr>
              <w:rPr>
                <w:color w:val="000000" w:themeColor="text1"/>
                <w:sz w:val="20"/>
                <w:szCs w:val="20"/>
              </w:rPr>
            </w:pPr>
            <w:r w:rsidRPr="00790B37">
              <w:rPr>
                <w:color w:val="000000" w:themeColor="text1"/>
                <w:sz w:val="20"/>
                <w:szCs w:val="20"/>
              </w:rPr>
              <w:t>Name</w:t>
            </w:r>
          </w:p>
        </w:tc>
        <w:tc>
          <w:tcPr>
            <w:tcW w:w="2250" w:type="dxa"/>
          </w:tcPr>
          <w:p w:rsidR="00790B37" w:rsidRPr="00790B37" w:rsidRDefault="00790B37" w:rsidP="008F796D">
            <w:pPr>
              <w:rPr>
                <w:color w:val="000000" w:themeColor="text1"/>
                <w:sz w:val="20"/>
                <w:szCs w:val="20"/>
              </w:rPr>
            </w:pPr>
            <w:r w:rsidRPr="00790B37">
              <w:rPr>
                <w:color w:val="000000" w:themeColor="text1"/>
                <w:sz w:val="20"/>
                <w:szCs w:val="20"/>
              </w:rPr>
              <w:t>Forum/Organizations</w:t>
            </w:r>
          </w:p>
        </w:tc>
        <w:tc>
          <w:tcPr>
            <w:tcW w:w="4770" w:type="dxa"/>
          </w:tcPr>
          <w:p w:rsidR="00790B37" w:rsidRPr="00790B37" w:rsidRDefault="00790B37" w:rsidP="008F796D">
            <w:pPr>
              <w:rPr>
                <w:color w:val="000000" w:themeColor="text1"/>
                <w:sz w:val="20"/>
                <w:szCs w:val="20"/>
              </w:rPr>
            </w:pPr>
            <w:r w:rsidRPr="00790B37">
              <w:rPr>
                <w:color w:val="000000" w:themeColor="text1"/>
                <w:sz w:val="20"/>
                <w:szCs w:val="20"/>
              </w:rPr>
              <w:t>Description</w:t>
            </w:r>
          </w:p>
        </w:tc>
        <w:tc>
          <w:tcPr>
            <w:tcW w:w="1170" w:type="dxa"/>
          </w:tcPr>
          <w:p w:rsidR="00790B37" w:rsidRPr="00790B37" w:rsidRDefault="00790B37" w:rsidP="008F796D">
            <w:pPr>
              <w:rPr>
                <w:color w:val="000000" w:themeColor="text1"/>
                <w:sz w:val="20"/>
                <w:szCs w:val="20"/>
              </w:rPr>
            </w:pPr>
            <w:r w:rsidRPr="00790B37">
              <w:rPr>
                <w:color w:val="000000" w:themeColor="text1"/>
                <w:sz w:val="20"/>
                <w:szCs w:val="20"/>
              </w:rPr>
              <w:t>Timeframe</w:t>
            </w:r>
          </w:p>
        </w:tc>
        <w:tc>
          <w:tcPr>
            <w:tcW w:w="4256" w:type="dxa"/>
          </w:tcPr>
          <w:p w:rsidR="00790B37" w:rsidRPr="00790B37" w:rsidRDefault="00790B37" w:rsidP="008F796D">
            <w:pPr>
              <w:rPr>
                <w:color w:val="000000" w:themeColor="text1"/>
                <w:sz w:val="20"/>
                <w:szCs w:val="20"/>
              </w:rPr>
            </w:pPr>
            <w:r w:rsidRPr="00790B37">
              <w:rPr>
                <w:color w:val="000000" w:themeColor="text1"/>
                <w:sz w:val="20"/>
                <w:szCs w:val="20"/>
              </w:rPr>
              <w:t>Further information</w:t>
            </w:r>
          </w:p>
        </w:tc>
      </w:tr>
      <w:tr w:rsidR="00790B37" w:rsidRPr="00790B37" w:rsidTr="00790B37">
        <w:tc>
          <w:tcPr>
            <w:tcW w:w="1728" w:type="dxa"/>
          </w:tcPr>
          <w:p w:rsidR="00790B37" w:rsidRPr="00790B37" w:rsidRDefault="00790B37" w:rsidP="008F796D">
            <w:pPr>
              <w:rPr>
                <w:color w:val="000000" w:themeColor="text1"/>
                <w:sz w:val="20"/>
                <w:szCs w:val="20"/>
              </w:rPr>
            </w:pPr>
            <w:r w:rsidRPr="00790B37">
              <w:rPr>
                <w:color w:val="000000" w:themeColor="text1"/>
                <w:sz w:val="20"/>
                <w:szCs w:val="20"/>
              </w:rPr>
              <w:t>Review of CERF</w:t>
            </w:r>
          </w:p>
        </w:tc>
        <w:tc>
          <w:tcPr>
            <w:tcW w:w="2250" w:type="dxa"/>
          </w:tcPr>
          <w:p w:rsidR="00790B37" w:rsidRPr="00790B37" w:rsidRDefault="00C77F20" w:rsidP="006D51A4">
            <w:pPr>
              <w:rPr>
                <w:color w:val="000000" w:themeColor="text1"/>
                <w:sz w:val="20"/>
                <w:szCs w:val="20"/>
              </w:rPr>
            </w:pPr>
            <w:r>
              <w:rPr>
                <w:color w:val="000000" w:themeColor="text1"/>
                <w:sz w:val="20"/>
                <w:szCs w:val="20"/>
              </w:rPr>
              <w:t>Supported public</w:t>
            </w:r>
            <w:r w:rsidR="00790B37" w:rsidRPr="00790B37">
              <w:rPr>
                <w:color w:val="000000" w:themeColor="text1"/>
                <w:sz w:val="20"/>
                <w:szCs w:val="20"/>
              </w:rPr>
              <w:t xml:space="preserve">ly by HC </w:t>
            </w:r>
            <w:proofErr w:type="spellStart"/>
            <w:r w:rsidR="00790B37" w:rsidRPr="00790B37">
              <w:rPr>
                <w:color w:val="000000" w:themeColor="text1"/>
                <w:sz w:val="20"/>
                <w:szCs w:val="20"/>
              </w:rPr>
              <w:t>Guterres</w:t>
            </w:r>
            <w:proofErr w:type="spellEnd"/>
            <w:r w:rsidR="00790B37" w:rsidRPr="00790B37">
              <w:rPr>
                <w:color w:val="000000" w:themeColor="text1"/>
                <w:sz w:val="20"/>
                <w:szCs w:val="20"/>
              </w:rPr>
              <w:t xml:space="preserve"> and others; lead: OCHA/CERF</w:t>
            </w:r>
          </w:p>
        </w:tc>
        <w:tc>
          <w:tcPr>
            <w:tcW w:w="4770" w:type="dxa"/>
          </w:tcPr>
          <w:p w:rsidR="00790B37" w:rsidRPr="00790B37" w:rsidRDefault="00790B37" w:rsidP="007663F4">
            <w:pPr>
              <w:rPr>
                <w:color w:val="000000" w:themeColor="text1"/>
                <w:sz w:val="20"/>
                <w:szCs w:val="20"/>
              </w:rPr>
            </w:pPr>
            <w:r w:rsidRPr="00790B37">
              <w:rPr>
                <w:color w:val="000000" w:themeColor="text1"/>
                <w:sz w:val="20"/>
                <w:szCs w:val="20"/>
              </w:rPr>
              <w:t>While humanitarian requirements have tripled since 2006, CERF’s funding target has remained the same, at $450 million. L3 crises and other large humanitarian operations require a system-wide response. In response, OCHA has begun a scoping phase to explore options for updating CERF. As a first step of the scoping phase, OCHA has commissioned two studies: (1) a technical study of the possibility to use assessed funds for CERF, and (2) a strategic study of the potential added value of an updated CERF</w:t>
            </w:r>
            <w:r w:rsidR="007663F4">
              <w:rPr>
                <w:color w:val="000000" w:themeColor="text1"/>
                <w:sz w:val="20"/>
                <w:szCs w:val="20"/>
              </w:rPr>
              <w:t>, including an investment case</w:t>
            </w:r>
            <w:r w:rsidRPr="00790B37">
              <w:rPr>
                <w:color w:val="000000" w:themeColor="text1"/>
                <w:sz w:val="20"/>
                <w:szCs w:val="20"/>
              </w:rPr>
              <w:t>. Next steps are dependent on the outcomes of these studies.</w:t>
            </w:r>
          </w:p>
        </w:tc>
        <w:tc>
          <w:tcPr>
            <w:tcW w:w="1170" w:type="dxa"/>
          </w:tcPr>
          <w:p w:rsidR="00790B37" w:rsidRPr="00790B37" w:rsidRDefault="00790B37" w:rsidP="008F796D">
            <w:pPr>
              <w:rPr>
                <w:color w:val="000000" w:themeColor="text1"/>
                <w:sz w:val="20"/>
                <w:szCs w:val="20"/>
              </w:rPr>
            </w:pPr>
            <w:r w:rsidRPr="00790B37">
              <w:rPr>
                <w:color w:val="000000" w:themeColor="text1"/>
                <w:sz w:val="20"/>
                <w:szCs w:val="20"/>
              </w:rPr>
              <w:t>Two scoping studies by end-2014</w:t>
            </w:r>
          </w:p>
        </w:tc>
        <w:tc>
          <w:tcPr>
            <w:tcW w:w="4256" w:type="dxa"/>
          </w:tcPr>
          <w:p w:rsidR="007440E7" w:rsidRDefault="007440E7" w:rsidP="007440E7">
            <w:pPr>
              <w:pStyle w:val="ListParagraph"/>
              <w:numPr>
                <w:ilvl w:val="0"/>
                <w:numId w:val="6"/>
              </w:numPr>
              <w:rPr>
                <w:sz w:val="20"/>
                <w:szCs w:val="20"/>
              </w:rPr>
            </w:pPr>
            <w:r>
              <w:rPr>
                <w:sz w:val="20"/>
                <w:szCs w:val="20"/>
              </w:rPr>
              <w:t>Two draft studies are being finalized</w:t>
            </w:r>
          </w:p>
          <w:p w:rsidR="00790B37" w:rsidRPr="007440E7" w:rsidRDefault="00790B37" w:rsidP="007440E7">
            <w:pPr>
              <w:pStyle w:val="ListParagraph"/>
              <w:numPr>
                <w:ilvl w:val="0"/>
                <w:numId w:val="6"/>
              </w:numPr>
              <w:rPr>
                <w:sz w:val="20"/>
                <w:szCs w:val="20"/>
              </w:rPr>
            </w:pPr>
            <w:r w:rsidRPr="007440E7">
              <w:rPr>
                <w:sz w:val="20"/>
                <w:szCs w:val="20"/>
              </w:rPr>
              <w:t>Note to the Secretary-General: Updating the Central Emergency Response Fund, 13 August 2014</w:t>
            </w:r>
          </w:p>
          <w:p w:rsidR="00790B37" w:rsidRPr="007440E7" w:rsidRDefault="00790B37" w:rsidP="007440E7">
            <w:pPr>
              <w:pStyle w:val="ListParagraph"/>
              <w:numPr>
                <w:ilvl w:val="0"/>
                <w:numId w:val="6"/>
              </w:numPr>
              <w:rPr>
                <w:sz w:val="20"/>
                <w:szCs w:val="20"/>
              </w:rPr>
            </w:pPr>
            <w:r w:rsidRPr="007440E7">
              <w:rPr>
                <w:sz w:val="20"/>
                <w:szCs w:val="20"/>
              </w:rPr>
              <w:t>Review of the Potential for Assessed Funding for the Central Emergency Response Fund (CERF) – Terms of Reference, 9 September 2014</w:t>
            </w:r>
          </w:p>
          <w:p w:rsidR="00790B37" w:rsidRPr="00790B37" w:rsidRDefault="00790B37" w:rsidP="007440E7">
            <w:pPr>
              <w:pStyle w:val="ListParagraph"/>
              <w:numPr>
                <w:ilvl w:val="0"/>
                <w:numId w:val="6"/>
              </w:numPr>
              <w:rPr>
                <w:color w:val="000000" w:themeColor="text1"/>
                <w:sz w:val="20"/>
                <w:szCs w:val="20"/>
              </w:rPr>
            </w:pPr>
            <w:r w:rsidRPr="007440E7">
              <w:rPr>
                <w:sz w:val="20"/>
                <w:szCs w:val="20"/>
              </w:rPr>
              <w:t>Review of the Added Value of a Reformed Central Emergency Response Fund (CERF) – Terms of Reference, 26 August 2014</w:t>
            </w:r>
          </w:p>
        </w:tc>
      </w:tr>
      <w:tr w:rsidR="00790B37" w:rsidRPr="00790B37" w:rsidTr="00790B37">
        <w:tc>
          <w:tcPr>
            <w:tcW w:w="1728" w:type="dxa"/>
          </w:tcPr>
          <w:p w:rsidR="00790B37" w:rsidRPr="00790B37" w:rsidRDefault="00790B37" w:rsidP="008F796D">
            <w:pPr>
              <w:rPr>
                <w:color w:val="000000" w:themeColor="text1"/>
                <w:sz w:val="20"/>
                <w:szCs w:val="20"/>
              </w:rPr>
            </w:pPr>
            <w:r w:rsidRPr="00790B37">
              <w:rPr>
                <w:color w:val="000000" w:themeColor="text1"/>
                <w:sz w:val="20"/>
                <w:szCs w:val="20"/>
              </w:rPr>
              <w:t>Global ERF Facility</w:t>
            </w:r>
          </w:p>
        </w:tc>
        <w:tc>
          <w:tcPr>
            <w:tcW w:w="2250" w:type="dxa"/>
          </w:tcPr>
          <w:p w:rsidR="00790B37" w:rsidRPr="00790B37" w:rsidRDefault="00790B37" w:rsidP="008F796D">
            <w:pPr>
              <w:rPr>
                <w:color w:val="000000" w:themeColor="text1"/>
                <w:sz w:val="20"/>
                <w:szCs w:val="20"/>
              </w:rPr>
            </w:pPr>
            <w:r w:rsidRPr="00790B37">
              <w:rPr>
                <w:color w:val="000000" w:themeColor="text1"/>
                <w:sz w:val="20"/>
                <w:szCs w:val="20"/>
              </w:rPr>
              <w:t>OCHA/FCS</w:t>
            </w:r>
          </w:p>
        </w:tc>
        <w:tc>
          <w:tcPr>
            <w:tcW w:w="4770" w:type="dxa"/>
          </w:tcPr>
          <w:p w:rsidR="00790B37" w:rsidRDefault="00D650B5" w:rsidP="007663F4">
            <w:pPr>
              <w:rPr>
                <w:color w:val="000000" w:themeColor="text1"/>
                <w:sz w:val="20"/>
                <w:szCs w:val="20"/>
              </w:rPr>
            </w:pPr>
            <w:r>
              <w:rPr>
                <w:color w:val="000000" w:themeColor="text1"/>
                <w:sz w:val="20"/>
                <w:szCs w:val="20"/>
              </w:rPr>
              <w:t xml:space="preserve">OCHA considers </w:t>
            </w:r>
            <w:r w:rsidR="00790B37" w:rsidRPr="00790B37">
              <w:rPr>
                <w:color w:val="000000" w:themeColor="text1"/>
                <w:sz w:val="20"/>
                <w:szCs w:val="20"/>
              </w:rPr>
              <w:t>establish</w:t>
            </w:r>
            <w:r>
              <w:rPr>
                <w:color w:val="000000" w:themeColor="text1"/>
                <w:sz w:val="20"/>
                <w:szCs w:val="20"/>
              </w:rPr>
              <w:t>ing</w:t>
            </w:r>
            <w:r w:rsidR="00790B37" w:rsidRPr="00790B37">
              <w:rPr>
                <w:color w:val="000000" w:themeColor="text1"/>
                <w:sz w:val="20"/>
                <w:szCs w:val="20"/>
              </w:rPr>
              <w:t xml:space="preserve"> a global facility to fill gaps which CBPFs in their current configuration cannot fill, ensuring that funds can be quickly activated in </w:t>
            </w:r>
            <w:r w:rsidR="00790B37" w:rsidRPr="00790B37">
              <w:rPr>
                <w:color w:val="000000" w:themeColor="text1"/>
                <w:sz w:val="20"/>
                <w:szCs w:val="20"/>
              </w:rPr>
              <w:lastRenderedPageBreak/>
              <w:t>emergencies, and de-activated when they lose relevance and critical mass. This w</w:t>
            </w:r>
            <w:r w:rsidR="007663F4">
              <w:rPr>
                <w:color w:val="000000" w:themeColor="text1"/>
                <w:sz w:val="20"/>
                <w:szCs w:val="20"/>
              </w:rPr>
              <w:t>ould</w:t>
            </w:r>
            <w:r w:rsidR="00790B37" w:rsidRPr="00790B37">
              <w:rPr>
                <w:color w:val="000000" w:themeColor="text1"/>
                <w:sz w:val="20"/>
                <w:szCs w:val="20"/>
              </w:rPr>
              <w:t xml:space="preserve"> make OCHA more effective in using limited donor funding, prioritizing high-profile emergencies, and supporting mostly local NGOs.</w:t>
            </w:r>
          </w:p>
          <w:p w:rsidR="00F457CA" w:rsidRDefault="00F457CA" w:rsidP="007663F4">
            <w:pPr>
              <w:rPr>
                <w:color w:val="000000" w:themeColor="text1"/>
                <w:sz w:val="20"/>
                <w:szCs w:val="20"/>
              </w:rPr>
            </w:pPr>
          </w:p>
          <w:p w:rsidR="00F457CA" w:rsidRPr="00790B37" w:rsidRDefault="00F457CA" w:rsidP="007663F4">
            <w:pPr>
              <w:rPr>
                <w:color w:val="000000" w:themeColor="text1"/>
                <w:sz w:val="20"/>
                <w:szCs w:val="20"/>
              </w:rPr>
            </w:pPr>
            <w:r w:rsidRPr="008E337C">
              <w:rPr>
                <w:color w:val="000000" w:themeColor="text1"/>
                <w:sz w:val="20"/>
                <w:szCs w:val="20"/>
                <w:lang w:val="en-GB"/>
              </w:rPr>
              <w:t>OCHA started the discussion on the possibility of establishing a global facility for NGOs in December 2014, presenting three options to the Pooled Fund Working Groups (PFWG) and the NGO Dialogue Platform (i.e.</w:t>
            </w:r>
            <w:r>
              <w:rPr>
                <w:color w:val="000000" w:themeColor="text1"/>
                <w:sz w:val="20"/>
                <w:szCs w:val="20"/>
                <w:lang w:val="en-GB"/>
              </w:rPr>
              <w:t>,</w:t>
            </w:r>
            <w:r w:rsidRPr="008E337C">
              <w:rPr>
                <w:color w:val="000000" w:themeColor="text1"/>
                <w:sz w:val="20"/>
                <w:szCs w:val="20"/>
                <w:lang w:val="en-GB"/>
              </w:rPr>
              <w:t xml:space="preserve"> global fund, regional funds, or stand-by CBPFs where OCHA has a presence). Ahead of these meetings, intra-OCHA consultations were facilitated by FCS, and a number of donors were also contacted to seek their preliminary feedback and views. FCS prepared and distributed a discussion paper outlining the concept and feedback. Overall, partners and stakeholders acknowledged the need for innovative solutions to improving field effectiveness through enhanced partnerships with NGOs, especially in cases of large-scale emergencies where CBPFs are not available. In particular, participants appreciated the intent to increase local NGO engagement in humanitarian response. </w:t>
            </w:r>
            <w:r>
              <w:rPr>
                <w:color w:val="000000" w:themeColor="text1"/>
                <w:sz w:val="20"/>
                <w:szCs w:val="20"/>
                <w:lang w:val="en-GB"/>
              </w:rPr>
              <w:t xml:space="preserve">A consultancy to further develop the concept of a global facility for NGOs will be hired by OCHA to </w:t>
            </w:r>
            <w:r w:rsidRPr="008E337C">
              <w:rPr>
                <w:color w:val="000000" w:themeColor="text1"/>
                <w:sz w:val="20"/>
                <w:szCs w:val="20"/>
                <w:lang w:val="en-GB"/>
              </w:rPr>
              <w:t>generate recommendations on the feasibility, pros and cons of the three proposed models. Recommendations will be supported by solid analysis of data and evidence on NGOs’ access to humanitarian funding, as well as informed by ongoing debates and initiatives on the future direction humanitarian financing and the views and interests of main and potential stakeholders.</w:t>
            </w:r>
            <w:r>
              <w:rPr>
                <w:color w:val="000000" w:themeColor="text1"/>
                <w:sz w:val="20"/>
                <w:szCs w:val="20"/>
                <w:lang w:val="en-GB"/>
              </w:rPr>
              <w:t xml:space="preserve"> </w:t>
            </w:r>
            <w:r w:rsidRPr="008E337C">
              <w:rPr>
                <w:color w:val="000000" w:themeColor="text1"/>
                <w:sz w:val="20"/>
                <w:szCs w:val="20"/>
                <w:lang w:val="en-GB"/>
              </w:rPr>
              <w:t>On this basis, OCHA will consider the next steps, course of action and timeframe.</w:t>
            </w:r>
          </w:p>
        </w:tc>
        <w:tc>
          <w:tcPr>
            <w:tcW w:w="1170" w:type="dxa"/>
          </w:tcPr>
          <w:p w:rsidR="00790B37" w:rsidRPr="00790B37" w:rsidRDefault="00790B37" w:rsidP="008F796D">
            <w:pPr>
              <w:rPr>
                <w:color w:val="000000" w:themeColor="text1"/>
                <w:sz w:val="20"/>
                <w:szCs w:val="20"/>
              </w:rPr>
            </w:pPr>
          </w:p>
        </w:tc>
        <w:tc>
          <w:tcPr>
            <w:tcW w:w="4256" w:type="dxa"/>
          </w:tcPr>
          <w:p w:rsidR="00F457CA" w:rsidRDefault="00D650B5" w:rsidP="007440E7">
            <w:pPr>
              <w:pStyle w:val="ListParagraph"/>
              <w:numPr>
                <w:ilvl w:val="0"/>
                <w:numId w:val="6"/>
              </w:numPr>
              <w:rPr>
                <w:color w:val="000000" w:themeColor="text1"/>
                <w:sz w:val="20"/>
                <w:szCs w:val="20"/>
              </w:rPr>
            </w:pPr>
            <w:r w:rsidRPr="00790B37">
              <w:rPr>
                <w:color w:val="000000" w:themeColor="text1"/>
                <w:sz w:val="20"/>
                <w:szCs w:val="20"/>
              </w:rPr>
              <w:t xml:space="preserve">“Country-Based Pooled Funding Mechanisms: Mapping and Comparative Analysis”, Glyn Taylor, Humanitarian </w:t>
            </w:r>
            <w:r w:rsidRPr="00790B37">
              <w:rPr>
                <w:color w:val="000000" w:themeColor="text1"/>
                <w:sz w:val="20"/>
                <w:szCs w:val="20"/>
              </w:rPr>
              <w:lastRenderedPageBreak/>
              <w:t>Outcomes, June 2014</w:t>
            </w:r>
          </w:p>
          <w:p w:rsidR="00790B37" w:rsidRPr="00790B37" w:rsidRDefault="00F457CA" w:rsidP="007440E7">
            <w:pPr>
              <w:pStyle w:val="ListParagraph"/>
              <w:numPr>
                <w:ilvl w:val="0"/>
                <w:numId w:val="6"/>
              </w:numPr>
              <w:rPr>
                <w:color w:val="000000" w:themeColor="text1"/>
                <w:sz w:val="20"/>
                <w:szCs w:val="20"/>
              </w:rPr>
            </w:pPr>
            <w:r>
              <w:rPr>
                <w:color w:val="000000" w:themeColor="text1"/>
                <w:sz w:val="20"/>
                <w:szCs w:val="20"/>
              </w:rPr>
              <w:t>Discussion paper, “What OCHA Could Do to Increase Field Effectiveness through Enhanced NGO Partnership”</w:t>
            </w:r>
          </w:p>
        </w:tc>
      </w:tr>
      <w:tr w:rsidR="00790B37" w:rsidRPr="00790B37" w:rsidTr="00790B37">
        <w:tc>
          <w:tcPr>
            <w:tcW w:w="1728" w:type="dxa"/>
          </w:tcPr>
          <w:p w:rsidR="00790B37" w:rsidRPr="00790B37" w:rsidRDefault="00790B37" w:rsidP="008F796D">
            <w:pPr>
              <w:rPr>
                <w:color w:val="000000" w:themeColor="text1"/>
                <w:sz w:val="20"/>
                <w:szCs w:val="20"/>
              </w:rPr>
            </w:pPr>
            <w:r w:rsidRPr="00790B37">
              <w:rPr>
                <w:color w:val="000000" w:themeColor="text1"/>
                <w:sz w:val="20"/>
                <w:szCs w:val="20"/>
              </w:rPr>
              <w:lastRenderedPageBreak/>
              <w:t>Start Fund</w:t>
            </w:r>
          </w:p>
        </w:tc>
        <w:tc>
          <w:tcPr>
            <w:tcW w:w="2250" w:type="dxa"/>
          </w:tcPr>
          <w:p w:rsidR="00790B37" w:rsidRPr="00790B37" w:rsidRDefault="00385BFB" w:rsidP="008F796D">
            <w:pPr>
              <w:rPr>
                <w:color w:val="000000" w:themeColor="text1"/>
                <w:sz w:val="20"/>
                <w:szCs w:val="20"/>
              </w:rPr>
            </w:pPr>
            <w:r>
              <w:rPr>
                <w:color w:val="000000" w:themeColor="text1"/>
                <w:sz w:val="20"/>
                <w:szCs w:val="20"/>
              </w:rPr>
              <w:t>Start Network</w:t>
            </w:r>
          </w:p>
        </w:tc>
        <w:tc>
          <w:tcPr>
            <w:tcW w:w="4770" w:type="dxa"/>
          </w:tcPr>
          <w:p w:rsidR="00F575AB" w:rsidRDefault="00F575AB" w:rsidP="007440E7">
            <w:pPr>
              <w:rPr>
                <w:color w:val="000000" w:themeColor="text1"/>
                <w:sz w:val="20"/>
                <w:szCs w:val="20"/>
              </w:rPr>
            </w:pPr>
            <w:r>
              <w:rPr>
                <w:color w:val="000000" w:themeColor="text1"/>
                <w:sz w:val="20"/>
                <w:szCs w:val="20"/>
              </w:rPr>
              <w:t>The Start Fund was set up by the Start Network in 2014 and is available to the Network’s 19 member NGOs, and, indirectly, to the thousands of implementing partners of these 19 NGOs.</w:t>
            </w:r>
          </w:p>
          <w:p w:rsidR="00F575AB" w:rsidRDefault="00F575AB" w:rsidP="007440E7">
            <w:pPr>
              <w:rPr>
                <w:color w:val="000000" w:themeColor="text1"/>
                <w:sz w:val="20"/>
                <w:szCs w:val="20"/>
              </w:rPr>
            </w:pPr>
          </w:p>
          <w:p w:rsidR="00790B37" w:rsidRPr="00790B37" w:rsidRDefault="00790B37" w:rsidP="007440E7">
            <w:pPr>
              <w:rPr>
                <w:color w:val="000000" w:themeColor="text1"/>
                <w:sz w:val="20"/>
                <w:szCs w:val="20"/>
              </w:rPr>
            </w:pPr>
            <w:r w:rsidRPr="00790B37">
              <w:rPr>
                <w:color w:val="000000" w:themeColor="text1"/>
                <w:sz w:val="20"/>
                <w:szCs w:val="20"/>
              </w:rPr>
              <w:lastRenderedPageBreak/>
              <w:t xml:space="preserve">While not a new initiative, the Start Fund is still in its start-up phase, and a larger Start Fund will have implications for the other funds and facilities listed above. It has secured contributions of up to GBP 30 million from DFID over 3 years and EUR 800,000 from Irish Aid. The Start Fund was launched in April 2014 </w:t>
            </w:r>
            <w:r w:rsidR="007440E7">
              <w:rPr>
                <w:color w:val="000000" w:themeColor="text1"/>
                <w:sz w:val="20"/>
                <w:szCs w:val="20"/>
              </w:rPr>
              <w:t>and disbursed GBP 2.1 million in 2014 ($3.2m)</w:t>
            </w:r>
            <w:r w:rsidRPr="00790B37">
              <w:rPr>
                <w:color w:val="000000" w:themeColor="text1"/>
                <w:sz w:val="20"/>
                <w:szCs w:val="20"/>
              </w:rPr>
              <w:t xml:space="preserve">. </w:t>
            </w:r>
          </w:p>
        </w:tc>
        <w:tc>
          <w:tcPr>
            <w:tcW w:w="1170" w:type="dxa"/>
          </w:tcPr>
          <w:p w:rsidR="00790B37" w:rsidRPr="00790B37" w:rsidRDefault="00790B37" w:rsidP="008F796D">
            <w:pPr>
              <w:rPr>
                <w:color w:val="000000" w:themeColor="text1"/>
                <w:sz w:val="20"/>
                <w:szCs w:val="20"/>
              </w:rPr>
            </w:pPr>
            <w:r w:rsidRPr="00790B37">
              <w:rPr>
                <w:color w:val="000000" w:themeColor="text1"/>
                <w:sz w:val="20"/>
                <w:szCs w:val="20"/>
              </w:rPr>
              <w:lastRenderedPageBreak/>
              <w:t xml:space="preserve">April 2014 – 2017 </w:t>
            </w:r>
          </w:p>
        </w:tc>
        <w:tc>
          <w:tcPr>
            <w:tcW w:w="4256" w:type="dxa"/>
          </w:tcPr>
          <w:p w:rsidR="00790B37" w:rsidRPr="00790B37" w:rsidRDefault="00016B09" w:rsidP="008F796D">
            <w:pPr>
              <w:rPr>
                <w:color w:val="000000" w:themeColor="text1"/>
                <w:sz w:val="20"/>
                <w:szCs w:val="20"/>
              </w:rPr>
            </w:pPr>
            <w:hyperlink r:id="rId18" w:history="1">
              <w:r w:rsidR="00790B37" w:rsidRPr="00790B37">
                <w:rPr>
                  <w:rStyle w:val="Hyperlink"/>
                  <w:color w:val="000000" w:themeColor="text1"/>
                  <w:sz w:val="20"/>
                  <w:szCs w:val="20"/>
                </w:rPr>
                <w:t>http://www.start-network.org/how/start-fund/</w:t>
              </w:r>
            </w:hyperlink>
          </w:p>
          <w:p w:rsidR="00790B37" w:rsidRPr="00790B37" w:rsidRDefault="00790B37" w:rsidP="008F796D">
            <w:pPr>
              <w:rPr>
                <w:color w:val="000000" w:themeColor="text1"/>
                <w:sz w:val="20"/>
                <w:szCs w:val="20"/>
              </w:rPr>
            </w:pPr>
            <w:r w:rsidRPr="00790B37">
              <w:rPr>
                <w:color w:val="000000" w:themeColor="text1"/>
                <w:sz w:val="20"/>
                <w:szCs w:val="20"/>
              </w:rPr>
              <w:t>IASC Humanitarian Financing Task Team – Meeting Notes – 24 April 2014</w:t>
            </w:r>
          </w:p>
        </w:tc>
      </w:tr>
      <w:tr w:rsidR="00790B37" w:rsidRPr="00790B37" w:rsidTr="00790B37">
        <w:tc>
          <w:tcPr>
            <w:tcW w:w="1728" w:type="dxa"/>
          </w:tcPr>
          <w:p w:rsidR="00790B37" w:rsidRPr="00790B37" w:rsidRDefault="0091769F" w:rsidP="008F796D">
            <w:pPr>
              <w:rPr>
                <w:color w:val="000000" w:themeColor="text1"/>
                <w:sz w:val="20"/>
                <w:szCs w:val="20"/>
              </w:rPr>
            </w:pPr>
            <w:r>
              <w:rPr>
                <w:color w:val="000000" w:themeColor="text1"/>
                <w:sz w:val="20"/>
                <w:szCs w:val="20"/>
              </w:rPr>
              <w:lastRenderedPageBreak/>
              <w:t xml:space="preserve">Global </w:t>
            </w:r>
            <w:r w:rsidR="00790B37" w:rsidRPr="00790B37">
              <w:rPr>
                <w:color w:val="000000" w:themeColor="text1"/>
                <w:sz w:val="20"/>
                <w:szCs w:val="20"/>
              </w:rPr>
              <w:t>Preparedness Fund</w:t>
            </w:r>
          </w:p>
        </w:tc>
        <w:tc>
          <w:tcPr>
            <w:tcW w:w="2250" w:type="dxa"/>
          </w:tcPr>
          <w:p w:rsidR="00790B37" w:rsidRPr="00790B37" w:rsidRDefault="00A327AD" w:rsidP="00A327AD">
            <w:pPr>
              <w:rPr>
                <w:color w:val="000000" w:themeColor="text1"/>
                <w:sz w:val="20"/>
                <w:szCs w:val="20"/>
              </w:rPr>
            </w:pPr>
            <w:r>
              <w:rPr>
                <w:color w:val="000000" w:themeColor="text1"/>
                <w:sz w:val="20"/>
                <w:szCs w:val="20"/>
              </w:rPr>
              <w:t xml:space="preserve">FAO, OCHA, </w:t>
            </w:r>
            <w:r w:rsidR="00790B37" w:rsidRPr="00790B37">
              <w:rPr>
                <w:color w:val="000000" w:themeColor="text1"/>
                <w:sz w:val="20"/>
                <w:szCs w:val="20"/>
              </w:rPr>
              <w:t xml:space="preserve">UNDP, </w:t>
            </w:r>
            <w:r>
              <w:rPr>
                <w:color w:val="000000" w:themeColor="text1"/>
                <w:sz w:val="20"/>
                <w:szCs w:val="20"/>
              </w:rPr>
              <w:t>WHO</w:t>
            </w:r>
          </w:p>
        </w:tc>
        <w:tc>
          <w:tcPr>
            <w:tcW w:w="4770" w:type="dxa"/>
          </w:tcPr>
          <w:p w:rsidR="00790B37" w:rsidRPr="00790B37" w:rsidRDefault="0091769F" w:rsidP="0091769F">
            <w:pPr>
              <w:rPr>
                <w:color w:val="000000" w:themeColor="text1"/>
                <w:sz w:val="20"/>
                <w:szCs w:val="20"/>
              </w:rPr>
            </w:pPr>
            <w:r w:rsidRPr="00790B37">
              <w:rPr>
                <w:color w:val="000000" w:themeColor="text1"/>
                <w:sz w:val="20"/>
                <w:szCs w:val="20"/>
              </w:rPr>
              <w:t>The idea of a new global pooled fund for preparedness has been brought on several occasions</w:t>
            </w:r>
            <w:r>
              <w:rPr>
                <w:color w:val="000000" w:themeColor="text1"/>
                <w:sz w:val="20"/>
                <w:szCs w:val="20"/>
              </w:rPr>
              <w:t>, including under the workstream to ‘bridge the humanitarian/ development gap’ (see above)</w:t>
            </w:r>
            <w:r w:rsidRPr="00790B37">
              <w:rPr>
                <w:color w:val="000000" w:themeColor="text1"/>
                <w:sz w:val="20"/>
                <w:szCs w:val="20"/>
              </w:rPr>
              <w:t xml:space="preserve">. </w:t>
            </w:r>
            <w:r>
              <w:rPr>
                <w:color w:val="000000" w:themeColor="text1"/>
                <w:sz w:val="20"/>
                <w:szCs w:val="20"/>
              </w:rPr>
              <w:t xml:space="preserve">It should help reduce the division between humanitarian and development funding channels, as a result of which emergency preparedness is often left unaddressed. As part of the IASC collective efforts, FAO, WHO, UNDP, and OCHA worked together on a ‘theory of change’ and possible governance </w:t>
            </w:r>
            <w:r w:rsidRPr="00D02505">
              <w:rPr>
                <w:color w:val="000000" w:themeColor="text1"/>
                <w:sz w:val="20"/>
                <w:szCs w:val="20"/>
                <w:lang w:val="en-GB"/>
              </w:rPr>
              <w:t>model</w:t>
            </w:r>
            <w:r>
              <w:rPr>
                <w:color w:val="000000" w:themeColor="text1"/>
                <w:sz w:val="20"/>
                <w:szCs w:val="20"/>
                <w:lang w:val="en-GB"/>
              </w:rPr>
              <w:t>s</w:t>
            </w:r>
            <w:r>
              <w:rPr>
                <w:color w:val="000000" w:themeColor="text1"/>
                <w:sz w:val="20"/>
                <w:szCs w:val="20"/>
              </w:rPr>
              <w:t xml:space="preserve"> options, which will be further shared, fine-tuned, and tested</w:t>
            </w:r>
            <w:r w:rsidRPr="00790B37">
              <w:rPr>
                <w:color w:val="000000" w:themeColor="text1"/>
                <w:sz w:val="20"/>
                <w:szCs w:val="20"/>
              </w:rPr>
              <w:t>.</w:t>
            </w:r>
            <w:r>
              <w:rPr>
                <w:color w:val="000000" w:themeColor="text1"/>
                <w:sz w:val="20"/>
                <w:szCs w:val="20"/>
              </w:rPr>
              <w:t xml:space="preserve"> Such a global facility would be complementary to other funding channels and focused on boosting or accelerating emergency preparedness in high risk areas. </w:t>
            </w:r>
            <w:r w:rsidRPr="00790B37">
              <w:rPr>
                <w:color w:val="000000" w:themeColor="text1"/>
                <w:sz w:val="20"/>
                <w:szCs w:val="20"/>
              </w:rPr>
              <w:t xml:space="preserve"> OCHA and DOCO have also begun a discussion on how better to align planning instruments and funding mechanisms between humanitarian and development communities.</w:t>
            </w:r>
          </w:p>
        </w:tc>
        <w:tc>
          <w:tcPr>
            <w:tcW w:w="1170" w:type="dxa"/>
          </w:tcPr>
          <w:p w:rsidR="00790B37" w:rsidRPr="00790B37" w:rsidRDefault="00A327AD" w:rsidP="00A327AD">
            <w:pPr>
              <w:rPr>
                <w:color w:val="000000" w:themeColor="text1"/>
                <w:sz w:val="20"/>
                <w:szCs w:val="20"/>
              </w:rPr>
            </w:pPr>
            <w:r>
              <w:rPr>
                <w:color w:val="000000" w:themeColor="text1"/>
                <w:sz w:val="20"/>
                <w:szCs w:val="20"/>
              </w:rPr>
              <w:t>Work and d</w:t>
            </w:r>
            <w:r w:rsidR="00790B37" w:rsidRPr="00790B37">
              <w:rPr>
                <w:color w:val="000000" w:themeColor="text1"/>
                <w:sz w:val="20"/>
                <w:szCs w:val="20"/>
              </w:rPr>
              <w:t>iscussions underway</w:t>
            </w:r>
          </w:p>
        </w:tc>
        <w:tc>
          <w:tcPr>
            <w:tcW w:w="4256" w:type="dxa"/>
          </w:tcPr>
          <w:p w:rsidR="00790B37" w:rsidRPr="00790B37" w:rsidRDefault="0091769F" w:rsidP="008F796D">
            <w:pPr>
              <w:rPr>
                <w:color w:val="000000" w:themeColor="text1"/>
              </w:rPr>
            </w:pPr>
            <w:r>
              <w:rPr>
                <w:color w:val="000000" w:themeColor="text1"/>
                <w:sz w:val="20"/>
                <w:szCs w:val="20"/>
              </w:rPr>
              <w:t>A consolidated draft for the theory of change and possible governance models options is currently being reviewed by FAO, WHO, UNDP and OCHA</w:t>
            </w:r>
          </w:p>
        </w:tc>
      </w:tr>
    </w:tbl>
    <w:p w:rsidR="001544EF" w:rsidRPr="001544EF" w:rsidRDefault="001544EF" w:rsidP="001544EF"/>
    <w:p w:rsidR="00790B37" w:rsidRPr="00790B37" w:rsidRDefault="00790B37" w:rsidP="00790B37">
      <w:pPr>
        <w:pStyle w:val="Heading2"/>
        <w:keepLines/>
        <w:numPr>
          <w:ilvl w:val="0"/>
          <w:numId w:val="4"/>
        </w:numPr>
        <w:spacing w:before="200" w:after="0" w:line="276" w:lineRule="auto"/>
        <w:rPr>
          <w:rFonts w:ascii="Times New Roman" w:hAnsi="Times New Roman"/>
          <w:color w:val="000000" w:themeColor="text1"/>
        </w:rPr>
      </w:pPr>
      <w:r w:rsidRPr="00790B37">
        <w:rPr>
          <w:rFonts w:ascii="Times New Roman" w:hAnsi="Times New Roman"/>
          <w:color w:val="000000" w:themeColor="text1"/>
        </w:rPr>
        <w:t>Reports</w:t>
      </w:r>
      <w:r w:rsidR="00C77F20">
        <w:rPr>
          <w:rFonts w:ascii="Times New Roman" w:hAnsi="Times New Roman"/>
          <w:color w:val="000000" w:themeColor="text1"/>
        </w:rPr>
        <w:t xml:space="preserve"> and Research</w:t>
      </w:r>
    </w:p>
    <w:tbl>
      <w:tblPr>
        <w:tblStyle w:val="TableGrid"/>
        <w:tblW w:w="14148" w:type="dxa"/>
        <w:tblLayout w:type="fixed"/>
        <w:tblLook w:val="04A0" w:firstRow="1" w:lastRow="0" w:firstColumn="1" w:lastColumn="0" w:noHBand="0" w:noVBand="1"/>
      </w:tblPr>
      <w:tblGrid>
        <w:gridCol w:w="1638"/>
        <w:gridCol w:w="2430"/>
        <w:gridCol w:w="4770"/>
        <w:gridCol w:w="1170"/>
        <w:gridCol w:w="4140"/>
      </w:tblGrid>
      <w:tr w:rsidR="00790B37" w:rsidRPr="00790B37" w:rsidTr="00C77F20">
        <w:trPr>
          <w:tblHeader/>
        </w:trPr>
        <w:tc>
          <w:tcPr>
            <w:tcW w:w="1638" w:type="dxa"/>
          </w:tcPr>
          <w:p w:rsidR="00790B37" w:rsidRPr="00790B37" w:rsidRDefault="00790B37" w:rsidP="008F796D">
            <w:pPr>
              <w:rPr>
                <w:color w:val="000000" w:themeColor="text1"/>
                <w:sz w:val="20"/>
                <w:szCs w:val="20"/>
              </w:rPr>
            </w:pPr>
            <w:r w:rsidRPr="00790B37">
              <w:rPr>
                <w:color w:val="000000" w:themeColor="text1"/>
                <w:sz w:val="20"/>
                <w:szCs w:val="20"/>
              </w:rPr>
              <w:t>Name</w:t>
            </w:r>
          </w:p>
        </w:tc>
        <w:tc>
          <w:tcPr>
            <w:tcW w:w="2430" w:type="dxa"/>
          </w:tcPr>
          <w:p w:rsidR="00790B37" w:rsidRPr="00790B37" w:rsidRDefault="00790B37" w:rsidP="008F796D">
            <w:pPr>
              <w:rPr>
                <w:color w:val="000000" w:themeColor="text1"/>
                <w:sz w:val="20"/>
                <w:szCs w:val="20"/>
              </w:rPr>
            </w:pPr>
            <w:r w:rsidRPr="00790B37">
              <w:rPr>
                <w:color w:val="000000" w:themeColor="text1"/>
                <w:sz w:val="20"/>
                <w:szCs w:val="20"/>
              </w:rPr>
              <w:t>Forum/Organizations</w:t>
            </w:r>
          </w:p>
        </w:tc>
        <w:tc>
          <w:tcPr>
            <w:tcW w:w="4770" w:type="dxa"/>
          </w:tcPr>
          <w:p w:rsidR="00790B37" w:rsidRPr="00790B37" w:rsidRDefault="00790B37" w:rsidP="008F796D">
            <w:pPr>
              <w:rPr>
                <w:color w:val="000000" w:themeColor="text1"/>
                <w:sz w:val="20"/>
                <w:szCs w:val="20"/>
              </w:rPr>
            </w:pPr>
            <w:r w:rsidRPr="00790B37">
              <w:rPr>
                <w:color w:val="000000" w:themeColor="text1"/>
                <w:sz w:val="20"/>
                <w:szCs w:val="20"/>
              </w:rPr>
              <w:t>Description</w:t>
            </w:r>
          </w:p>
        </w:tc>
        <w:tc>
          <w:tcPr>
            <w:tcW w:w="1170" w:type="dxa"/>
          </w:tcPr>
          <w:p w:rsidR="00790B37" w:rsidRPr="00790B37" w:rsidRDefault="00790B37" w:rsidP="008F796D">
            <w:pPr>
              <w:rPr>
                <w:color w:val="000000" w:themeColor="text1"/>
                <w:sz w:val="20"/>
                <w:szCs w:val="20"/>
              </w:rPr>
            </w:pPr>
            <w:r w:rsidRPr="00790B37">
              <w:rPr>
                <w:color w:val="000000" w:themeColor="text1"/>
                <w:sz w:val="20"/>
                <w:szCs w:val="20"/>
              </w:rPr>
              <w:t>Timeframe</w:t>
            </w:r>
          </w:p>
        </w:tc>
        <w:tc>
          <w:tcPr>
            <w:tcW w:w="4140" w:type="dxa"/>
          </w:tcPr>
          <w:p w:rsidR="00790B37" w:rsidRPr="00790B37" w:rsidRDefault="00790B37" w:rsidP="008F796D">
            <w:pPr>
              <w:rPr>
                <w:color w:val="000000" w:themeColor="text1"/>
                <w:sz w:val="20"/>
                <w:szCs w:val="20"/>
              </w:rPr>
            </w:pPr>
            <w:r w:rsidRPr="00790B37">
              <w:rPr>
                <w:color w:val="000000" w:themeColor="text1"/>
                <w:sz w:val="20"/>
                <w:szCs w:val="20"/>
              </w:rPr>
              <w:t>Further information</w:t>
            </w:r>
          </w:p>
        </w:tc>
      </w:tr>
      <w:tr w:rsidR="00790B37" w:rsidRPr="00790B37" w:rsidTr="00C77F20">
        <w:tc>
          <w:tcPr>
            <w:tcW w:w="1638" w:type="dxa"/>
          </w:tcPr>
          <w:p w:rsidR="00790B37" w:rsidRPr="00790B37" w:rsidRDefault="00790B37" w:rsidP="008F796D">
            <w:pPr>
              <w:rPr>
                <w:color w:val="000000" w:themeColor="text1"/>
                <w:sz w:val="20"/>
                <w:szCs w:val="20"/>
              </w:rPr>
            </w:pPr>
            <w:r w:rsidRPr="00790B37">
              <w:rPr>
                <w:color w:val="000000" w:themeColor="text1"/>
                <w:sz w:val="20"/>
                <w:szCs w:val="20"/>
              </w:rPr>
              <w:t>“Saving Lives Today and Tomorrow”</w:t>
            </w:r>
          </w:p>
        </w:tc>
        <w:tc>
          <w:tcPr>
            <w:tcW w:w="2430" w:type="dxa"/>
          </w:tcPr>
          <w:p w:rsidR="00790B37" w:rsidRPr="00790B37" w:rsidRDefault="00790B37" w:rsidP="008F796D">
            <w:pPr>
              <w:rPr>
                <w:color w:val="000000" w:themeColor="text1"/>
                <w:sz w:val="20"/>
                <w:szCs w:val="20"/>
              </w:rPr>
            </w:pPr>
            <w:r w:rsidRPr="00790B37">
              <w:rPr>
                <w:color w:val="000000" w:themeColor="text1"/>
                <w:sz w:val="20"/>
                <w:szCs w:val="20"/>
              </w:rPr>
              <w:t>DARA, OCHA</w:t>
            </w:r>
          </w:p>
        </w:tc>
        <w:tc>
          <w:tcPr>
            <w:tcW w:w="4770" w:type="dxa"/>
          </w:tcPr>
          <w:p w:rsidR="00790B37" w:rsidRPr="00790B37" w:rsidRDefault="00790B37" w:rsidP="008F796D">
            <w:pPr>
              <w:rPr>
                <w:color w:val="000000" w:themeColor="text1"/>
                <w:sz w:val="20"/>
                <w:szCs w:val="20"/>
              </w:rPr>
            </w:pPr>
            <w:r w:rsidRPr="00790B37">
              <w:rPr>
                <w:color w:val="000000" w:themeColor="text1"/>
                <w:sz w:val="20"/>
                <w:szCs w:val="20"/>
              </w:rPr>
              <w:t>The number of people affected by humanitarian crises has almost doubled over the past decade and complex global challenges are increasing risks for vulnerable people. In response, a more anticipatory and preventative approach to humanitarian crises is needed, including risk analysis and management. This will require commitments from Governments, development organizations and others. National and local capacity is critical for risk management.</w:t>
            </w:r>
          </w:p>
          <w:p w:rsidR="00790B37" w:rsidRPr="00790B37" w:rsidRDefault="00790B37" w:rsidP="0025505F">
            <w:pPr>
              <w:rPr>
                <w:color w:val="000000" w:themeColor="text1"/>
                <w:sz w:val="20"/>
                <w:szCs w:val="20"/>
              </w:rPr>
            </w:pPr>
            <w:r w:rsidRPr="00790B37">
              <w:rPr>
                <w:color w:val="000000" w:themeColor="text1"/>
                <w:sz w:val="20"/>
                <w:szCs w:val="20"/>
              </w:rPr>
              <w:t xml:space="preserve">Following the publication of the report, OCHA has </w:t>
            </w:r>
            <w:r w:rsidRPr="00790B37">
              <w:rPr>
                <w:color w:val="000000" w:themeColor="text1"/>
                <w:sz w:val="20"/>
                <w:szCs w:val="20"/>
              </w:rPr>
              <w:lastRenderedPageBreak/>
              <w:t>convened several internal meetings to discuss how the report’s recommendations can be implemented.</w:t>
            </w:r>
            <w:r w:rsidR="0025505F">
              <w:rPr>
                <w:color w:val="000000" w:themeColor="text1"/>
                <w:sz w:val="20"/>
                <w:szCs w:val="20"/>
              </w:rPr>
              <w:t xml:space="preserve"> One of the strongest recommendations of the report relates to the need for multi-year planning which has to be coupled with multi-year financing. Multi-year humanitarian planning, when aligned with development frameworks such as the UNDAF can provide the opportunity better to allocate response between humanitarian and development actors to build resilience, and can help humanitarian organizations to tap into development funding.</w:t>
            </w:r>
          </w:p>
        </w:tc>
        <w:tc>
          <w:tcPr>
            <w:tcW w:w="1170" w:type="dxa"/>
          </w:tcPr>
          <w:p w:rsidR="00790B37" w:rsidRPr="00790B37" w:rsidRDefault="00790B37" w:rsidP="008F796D">
            <w:pPr>
              <w:rPr>
                <w:color w:val="000000" w:themeColor="text1"/>
                <w:sz w:val="20"/>
                <w:szCs w:val="20"/>
              </w:rPr>
            </w:pPr>
            <w:r w:rsidRPr="00790B37">
              <w:rPr>
                <w:color w:val="000000" w:themeColor="text1"/>
                <w:sz w:val="20"/>
                <w:szCs w:val="20"/>
              </w:rPr>
              <w:lastRenderedPageBreak/>
              <w:t>Report published in March 2014</w:t>
            </w:r>
          </w:p>
        </w:tc>
        <w:tc>
          <w:tcPr>
            <w:tcW w:w="4140" w:type="dxa"/>
          </w:tcPr>
          <w:p w:rsidR="00790B37" w:rsidRPr="00790B37" w:rsidRDefault="00016B09" w:rsidP="008F796D">
            <w:pPr>
              <w:rPr>
                <w:color w:val="000000" w:themeColor="text1"/>
                <w:sz w:val="20"/>
                <w:szCs w:val="20"/>
              </w:rPr>
            </w:pPr>
            <w:hyperlink r:id="rId19" w:history="1">
              <w:r w:rsidR="00790B37" w:rsidRPr="00790B37">
                <w:rPr>
                  <w:rStyle w:val="Hyperlink"/>
                  <w:color w:val="000000" w:themeColor="text1"/>
                  <w:sz w:val="20"/>
                  <w:szCs w:val="20"/>
                </w:rPr>
                <w:t>www.unocha.org/saving-lives</w:t>
              </w:r>
            </w:hyperlink>
            <w:r w:rsidR="00790B37" w:rsidRPr="00790B37">
              <w:rPr>
                <w:color w:val="000000" w:themeColor="text1"/>
                <w:sz w:val="20"/>
                <w:szCs w:val="20"/>
              </w:rPr>
              <w:t xml:space="preserve"> </w:t>
            </w:r>
          </w:p>
        </w:tc>
      </w:tr>
      <w:tr w:rsidR="00C77F20" w:rsidRPr="00790B37" w:rsidTr="00C77F20">
        <w:tc>
          <w:tcPr>
            <w:tcW w:w="1638" w:type="dxa"/>
          </w:tcPr>
          <w:p w:rsidR="00C77F20" w:rsidRDefault="00C77F20" w:rsidP="00561240">
            <w:pPr>
              <w:rPr>
                <w:sz w:val="20"/>
                <w:szCs w:val="20"/>
              </w:rPr>
            </w:pPr>
            <w:r>
              <w:rPr>
                <w:sz w:val="20"/>
                <w:szCs w:val="20"/>
              </w:rPr>
              <w:lastRenderedPageBreak/>
              <w:t>“World H</w:t>
            </w:r>
            <w:r w:rsidR="007440E7">
              <w:rPr>
                <w:sz w:val="20"/>
                <w:szCs w:val="20"/>
              </w:rPr>
              <w:t>umanitarian Data and Trends 2014</w:t>
            </w:r>
            <w:r>
              <w:rPr>
                <w:sz w:val="20"/>
                <w:szCs w:val="20"/>
              </w:rPr>
              <w:t>”</w:t>
            </w:r>
          </w:p>
        </w:tc>
        <w:tc>
          <w:tcPr>
            <w:tcW w:w="2430" w:type="dxa"/>
          </w:tcPr>
          <w:p w:rsidR="00C77F20" w:rsidRDefault="00C77F20" w:rsidP="00561240">
            <w:pPr>
              <w:rPr>
                <w:sz w:val="20"/>
                <w:szCs w:val="20"/>
              </w:rPr>
            </w:pPr>
            <w:r>
              <w:rPr>
                <w:sz w:val="20"/>
                <w:szCs w:val="20"/>
              </w:rPr>
              <w:t>OCHA</w:t>
            </w:r>
          </w:p>
        </w:tc>
        <w:tc>
          <w:tcPr>
            <w:tcW w:w="4770" w:type="dxa"/>
          </w:tcPr>
          <w:p w:rsidR="00C77F20" w:rsidRDefault="00C77F20" w:rsidP="00C77F20">
            <w:pPr>
              <w:rPr>
                <w:sz w:val="20"/>
                <w:szCs w:val="20"/>
              </w:rPr>
            </w:pPr>
            <w:r>
              <w:rPr>
                <w:sz w:val="20"/>
                <w:szCs w:val="20"/>
              </w:rPr>
              <w:t>The annual report compiles salient humanitar</w:t>
            </w:r>
            <w:r w:rsidR="007440E7">
              <w:rPr>
                <w:sz w:val="20"/>
                <w:szCs w:val="20"/>
              </w:rPr>
              <w:t>ian data over the course of 2014</w:t>
            </w:r>
            <w:r>
              <w:rPr>
                <w:sz w:val="20"/>
                <w:szCs w:val="20"/>
              </w:rPr>
              <w:t>, and some trend analysis over a longer time period. The financial data, sourced from FTS as well as external sources such as Global Humanitarian Assistance, is useful background for the exercise of looking at the future trends.</w:t>
            </w:r>
          </w:p>
        </w:tc>
        <w:tc>
          <w:tcPr>
            <w:tcW w:w="1170" w:type="dxa"/>
          </w:tcPr>
          <w:p w:rsidR="00C77F20" w:rsidRDefault="00C77F20" w:rsidP="00350A1E">
            <w:pPr>
              <w:rPr>
                <w:sz w:val="20"/>
                <w:szCs w:val="20"/>
              </w:rPr>
            </w:pPr>
            <w:r>
              <w:rPr>
                <w:sz w:val="20"/>
                <w:szCs w:val="20"/>
              </w:rPr>
              <w:t>December 201</w:t>
            </w:r>
            <w:r w:rsidR="00350A1E">
              <w:rPr>
                <w:sz w:val="20"/>
                <w:szCs w:val="20"/>
              </w:rPr>
              <w:t>4</w:t>
            </w:r>
          </w:p>
        </w:tc>
        <w:tc>
          <w:tcPr>
            <w:tcW w:w="4140" w:type="dxa"/>
          </w:tcPr>
          <w:p w:rsidR="00C77F20" w:rsidRDefault="00350A1E" w:rsidP="00561240">
            <w:r w:rsidRPr="00350A1E">
              <w:rPr>
                <w:rStyle w:val="Hyperlink"/>
                <w:color w:val="000000" w:themeColor="text1"/>
                <w:sz w:val="20"/>
                <w:szCs w:val="20"/>
              </w:rPr>
              <w:t>http://www.unocha.org/data-and-trends-2014/</w:t>
            </w:r>
            <w:r>
              <w:rPr>
                <w:rStyle w:val="Hyperlink"/>
                <w:color w:val="000000" w:themeColor="text1"/>
                <w:sz w:val="20"/>
                <w:szCs w:val="20"/>
              </w:rPr>
              <w:t xml:space="preserve"> </w:t>
            </w:r>
          </w:p>
        </w:tc>
      </w:tr>
      <w:tr w:rsidR="00C77F20" w:rsidRPr="00790B37" w:rsidTr="00C77F20">
        <w:tc>
          <w:tcPr>
            <w:tcW w:w="1638" w:type="dxa"/>
          </w:tcPr>
          <w:p w:rsidR="00C77F20" w:rsidRPr="00790B37" w:rsidRDefault="00C77F20" w:rsidP="008F796D">
            <w:pPr>
              <w:rPr>
                <w:color w:val="000000" w:themeColor="text1"/>
                <w:sz w:val="20"/>
                <w:szCs w:val="20"/>
              </w:rPr>
            </w:pPr>
            <w:r w:rsidRPr="00790B37">
              <w:rPr>
                <w:color w:val="000000" w:themeColor="text1"/>
                <w:sz w:val="20"/>
                <w:szCs w:val="20"/>
              </w:rPr>
              <w:t>“Country-Based Pooled Funding Mechanisms: Mapping and Comparative Analysis”</w:t>
            </w:r>
          </w:p>
        </w:tc>
        <w:tc>
          <w:tcPr>
            <w:tcW w:w="2430" w:type="dxa"/>
          </w:tcPr>
          <w:p w:rsidR="00C77F20" w:rsidRPr="00790B37" w:rsidRDefault="00C77F20" w:rsidP="008F796D">
            <w:pPr>
              <w:rPr>
                <w:color w:val="000000" w:themeColor="text1"/>
                <w:sz w:val="20"/>
                <w:szCs w:val="20"/>
              </w:rPr>
            </w:pPr>
            <w:r w:rsidRPr="00790B37">
              <w:rPr>
                <w:color w:val="000000" w:themeColor="text1"/>
                <w:sz w:val="20"/>
                <w:szCs w:val="20"/>
              </w:rPr>
              <w:t>Glyn Taylor, OCHA/FCS</w:t>
            </w:r>
          </w:p>
        </w:tc>
        <w:tc>
          <w:tcPr>
            <w:tcW w:w="4770" w:type="dxa"/>
          </w:tcPr>
          <w:p w:rsidR="00C77F20" w:rsidRPr="00790B37" w:rsidRDefault="00C77F20" w:rsidP="008F796D">
            <w:pPr>
              <w:rPr>
                <w:color w:val="000000" w:themeColor="text1"/>
                <w:sz w:val="20"/>
                <w:szCs w:val="20"/>
              </w:rPr>
            </w:pPr>
            <w:r w:rsidRPr="00790B37">
              <w:rPr>
                <w:color w:val="000000" w:themeColor="text1"/>
                <w:sz w:val="20"/>
                <w:szCs w:val="20"/>
              </w:rPr>
              <w:t>CBPFs operate in contexts where the humanitarian system plays a wide variety of roles, ranging from strictly life-saving response to disaster preparedness and resilience building. The report explores whether CBPFs should be focused on life-saving assistance, or if they should take a broader approach to humanitarian response, across the breadth of OCHA’s mandate. The main recommendations are: (</w:t>
            </w:r>
            <w:proofErr w:type="spellStart"/>
            <w:r w:rsidRPr="00790B37">
              <w:rPr>
                <w:color w:val="000000" w:themeColor="text1"/>
                <w:sz w:val="20"/>
                <w:szCs w:val="20"/>
              </w:rPr>
              <w:t>i</w:t>
            </w:r>
            <w:proofErr w:type="spellEnd"/>
            <w:r w:rsidRPr="00790B37">
              <w:rPr>
                <w:color w:val="000000" w:themeColor="text1"/>
                <w:sz w:val="20"/>
                <w:szCs w:val="20"/>
              </w:rPr>
              <w:t xml:space="preserve">) given the similarities between the two types of OCHA-managed CPBFs (i.e. ERFs and CHFs), OCHA could harmonize their functioning and focus, in line with the Strategic Response Plans (SRPs); (ii) </w:t>
            </w:r>
            <w:r w:rsidR="00340079" w:rsidRPr="00340079">
              <w:rPr>
                <w:color w:val="000000" w:themeColor="text1"/>
                <w:sz w:val="20"/>
                <w:szCs w:val="20"/>
              </w:rPr>
              <w:t>OCHA should have an internal debate on the best way to ensure increased flexibility in the activation and de-activation of CBPFs, including exploring the option to set up a global ERF facility, to ensure that funds can be quickly activated in cases of emergency</w:t>
            </w:r>
            <w:r w:rsidR="00340079">
              <w:rPr>
                <w:color w:val="000000" w:themeColor="text1"/>
                <w:sz w:val="20"/>
                <w:szCs w:val="20"/>
              </w:rPr>
              <w:t xml:space="preserve"> where a CBPF does not exist</w:t>
            </w:r>
            <w:r w:rsidR="00340079" w:rsidRPr="00340079">
              <w:rPr>
                <w:color w:val="000000" w:themeColor="text1"/>
                <w:sz w:val="20"/>
                <w:szCs w:val="20"/>
              </w:rPr>
              <w:t>, and de-activated when they lose relevance and critical mass</w:t>
            </w:r>
            <w:r w:rsidR="00340079">
              <w:rPr>
                <w:color w:val="000000" w:themeColor="text1"/>
                <w:sz w:val="20"/>
                <w:szCs w:val="20"/>
              </w:rPr>
              <w:t xml:space="preserve">. </w:t>
            </w:r>
            <w:r w:rsidRPr="00790B37">
              <w:rPr>
                <w:color w:val="000000" w:themeColor="text1"/>
                <w:sz w:val="20"/>
                <w:szCs w:val="20"/>
              </w:rPr>
              <w:t xml:space="preserve">By rolling out the forthcoming policy and global guidelines for CBPFs (end of 2014), OCHA aims to consolidate corporate support to CBPFs and achieve greater clarity of purpose and efficiency for these funds </w:t>
            </w:r>
            <w:r w:rsidRPr="00790B37">
              <w:rPr>
                <w:color w:val="000000" w:themeColor="text1"/>
                <w:sz w:val="20"/>
                <w:szCs w:val="20"/>
              </w:rPr>
              <w:lastRenderedPageBreak/>
              <w:t>in the years ahead. OCHA is already developing the concept of a global funding mechanism for NGOs (see Global Facility in Section 2 above).</w:t>
            </w:r>
          </w:p>
        </w:tc>
        <w:tc>
          <w:tcPr>
            <w:tcW w:w="1170" w:type="dxa"/>
          </w:tcPr>
          <w:p w:rsidR="00C77F20" w:rsidRPr="00790B37" w:rsidRDefault="00C77F20" w:rsidP="008F796D">
            <w:pPr>
              <w:rPr>
                <w:color w:val="000000" w:themeColor="text1"/>
                <w:sz w:val="20"/>
                <w:szCs w:val="20"/>
              </w:rPr>
            </w:pPr>
            <w:r w:rsidRPr="00790B37">
              <w:rPr>
                <w:color w:val="000000" w:themeColor="text1"/>
                <w:sz w:val="20"/>
                <w:szCs w:val="20"/>
              </w:rPr>
              <w:lastRenderedPageBreak/>
              <w:t>Final report submitted to OCHA in June 2014</w:t>
            </w:r>
          </w:p>
        </w:tc>
        <w:tc>
          <w:tcPr>
            <w:tcW w:w="4140" w:type="dxa"/>
          </w:tcPr>
          <w:p w:rsidR="00C77F20" w:rsidRPr="00790B37" w:rsidRDefault="00C77F20" w:rsidP="008F796D">
            <w:pPr>
              <w:rPr>
                <w:color w:val="000000" w:themeColor="text1"/>
                <w:sz w:val="20"/>
                <w:szCs w:val="20"/>
              </w:rPr>
            </w:pPr>
            <w:r w:rsidRPr="00790B37">
              <w:rPr>
                <w:color w:val="000000" w:themeColor="text1"/>
                <w:sz w:val="20"/>
                <w:szCs w:val="20"/>
              </w:rPr>
              <w:t>“Country-Based Pooled Funding Mechanisms: Mapping and Comparative Analysis”, Glyn Taylor, Humanitarian Outcomes, June 2014.</w:t>
            </w:r>
          </w:p>
          <w:p w:rsidR="00C77F20" w:rsidRPr="00790B37" w:rsidRDefault="00C77F20" w:rsidP="008F796D">
            <w:pPr>
              <w:rPr>
                <w:color w:val="000000" w:themeColor="text1"/>
                <w:sz w:val="20"/>
                <w:szCs w:val="20"/>
              </w:rPr>
            </w:pPr>
          </w:p>
        </w:tc>
      </w:tr>
      <w:tr w:rsidR="00C77F20" w:rsidRPr="00790B37" w:rsidTr="00C77F20">
        <w:tc>
          <w:tcPr>
            <w:tcW w:w="1638" w:type="dxa"/>
          </w:tcPr>
          <w:p w:rsidR="00C77F20" w:rsidRDefault="00C77F20" w:rsidP="00561240">
            <w:pPr>
              <w:rPr>
                <w:sz w:val="20"/>
                <w:szCs w:val="20"/>
              </w:rPr>
            </w:pPr>
            <w:r>
              <w:rPr>
                <w:sz w:val="20"/>
                <w:szCs w:val="20"/>
              </w:rPr>
              <w:lastRenderedPageBreak/>
              <w:t>“</w:t>
            </w:r>
            <w:r w:rsidRPr="00FA1FE2">
              <w:rPr>
                <w:sz w:val="20"/>
                <w:szCs w:val="20"/>
              </w:rPr>
              <w:t>Dare to prepare: taking risk seriously</w:t>
            </w:r>
            <w:r>
              <w:rPr>
                <w:sz w:val="20"/>
                <w:szCs w:val="20"/>
              </w:rPr>
              <w:t>”</w:t>
            </w:r>
          </w:p>
        </w:tc>
        <w:tc>
          <w:tcPr>
            <w:tcW w:w="2430" w:type="dxa"/>
          </w:tcPr>
          <w:p w:rsidR="00C77F20" w:rsidRDefault="00C77F20" w:rsidP="00561240">
            <w:pPr>
              <w:rPr>
                <w:sz w:val="20"/>
                <w:szCs w:val="20"/>
              </w:rPr>
            </w:pPr>
            <w:r>
              <w:rPr>
                <w:sz w:val="20"/>
                <w:szCs w:val="20"/>
              </w:rPr>
              <w:t>ODI and IASC</w:t>
            </w:r>
          </w:p>
        </w:tc>
        <w:tc>
          <w:tcPr>
            <w:tcW w:w="4770" w:type="dxa"/>
          </w:tcPr>
          <w:p w:rsidR="00C77F20" w:rsidRDefault="00C77F20" w:rsidP="00C77F20">
            <w:pPr>
              <w:rPr>
                <w:sz w:val="20"/>
                <w:szCs w:val="20"/>
              </w:rPr>
            </w:pPr>
            <w:r>
              <w:rPr>
                <w:sz w:val="20"/>
                <w:szCs w:val="20"/>
              </w:rPr>
              <w:t>The report was commissioned by the IASC Task Team on Preparedness and Resilience and investigates the benefits of increasing emphasis on preparedness activities. It also notes the severe lack of dedicated funding towards preparedness activities that often fall in between development and humanitarian funding streams.</w:t>
            </w:r>
          </w:p>
        </w:tc>
        <w:tc>
          <w:tcPr>
            <w:tcW w:w="1170" w:type="dxa"/>
          </w:tcPr>
          <w:p w:rsidR="00C77F20" w:rsidRDefault="00C77F20" w:rsidP="00561240">
            <w:pPr>
              <w:rPr>
                <w:sz w:val="20"/>
                <w:szCs w:val="20"/>
              </w:rPr>
            </w:pPr>
            <w:r>
              <w:rPr>
                <w:sz w:val="20"/>
                <w:szCs w:val="20"/>
              </w:rPr>
              <w:t>December 2013</w:t>
            </w:r>
          </w:p>
        </w:tc>
        <w:tc>
          <w:tcPr>
            <w:tcW w:w="4140" w:type="dxa"/>
          </w:tcPr>
          <w:p w:rsidR="00C77F20" w:rsidRDefault="00016B09" w:rsidP="00561240">
            <w:hyperlink r:id="rId20" w:history="1">
              <w:r w:rsidR="00C77F20" w:rsidRPr="00C77F20">
                <w:rPr>
                  <w:rStyle w:val="Hyperlink"/>
                  <w:color w:val="000000" w:themeColor="text1"/>
                  <w:sz w:val="20"/>
                  <w:szCs w:val="20"/>
                </w:rPr>
                <w:t>http://www.odi.org/publications/7955-dare-prepare-taking-risk-seriously</w:t>
              </w:r>
            </w:hyperlink>
          </w:p>
        </w:tc>
      </w:tr>
      <w:tr w:rsidR="00C77F20" w:rsidRPr="00790B37" w:rsidTr="00C77F20">
        <w:tc>
          <w:tcPr>
            <w:tcW w:w="1638" w:type="dxa"/>
          </w:tcPr>
          <w:p w:rsidR="00C77F20" w:rsidRPr="00790B37" w:rsidRDefault="00C77F20" w:rsidP="008F796D">
            <w:pPr>
              <w:rPr>
                <w:color w:val="000000" w:themeColor="text1"/>
                <w:sz w:val="20"/>
                <w:szCs w:val="20"/>
              </w:rPr>
            </w:pPr>
            <w:r w:rsidRPr="00790B37">
              <w:rPr>
                <w:color w:val="000000" w:themeColor="text1"/>
                <w:sz w:val="20"/>
                <w:szCs w:val="20"/>
              </w:rPr>
              <w:t>“Financing Recovery for Resilience”</w:t>
            </w:r>
          </w:p>
        </w:tc>
        <w:tc>
          <w:tcPr>
            <w:tcW w:w="2430" w:type="dxa"/>
          </w:tcPr>
          <w:p w:rsidR="00C77F20" w:rsidRPr="00790B37" w:rsidRDefault="00C77F20" w:rsidP="008F796D">
            <w:pPr>
              <w:rPr>
                <w:color w:val="000000" w:themeColor="text1"/>
                <w:sz w:val="20"/>
                <w:szCs w:val="20"/>
              </w:rPr>
            </w:pPr>
            <w:r w:rsidRPr="00790B37">
              <w:rPr>
                <w:color w:val="000000" w:themeColor="text1"/>
                <w:sz w:val="20"/>
                <w:szCs w:val="20"/>
              </w:rPr>
              <w:t>MPTF Office</w:t>
            </w:r>
          </w:p>
        </w:tc>
        <w:tc>
          <w:tcPr>
            <w:tcW w:w="4770" w:type="dxa"/>
          </w:tcPr>
          <w:p w:rsidR="00C77F20" w:rsidRPr="00790B37" w:rsidRDefault="00C77F20" w:rsidP="008F796D">
            <w:pPr>
              <w:rPr>
                <w:color w:val="000000" w:themeColor="text1"/>
                <w:sz w:val="20"/>
                <w:szCs w:val="20"/>
              </w:rPr>
            </w:pPr>
            <w:r w:rsidRPr="00790B37">
              <w:rPr>
                <w:color w:val="000000" w:themeColor="text1"/>
                <w:sz w:val="20"/>
                <w:szCs w:val="20"/>
              </w:rPr>
              <w:t>Based on a mapping and analysis of humanitarian, development, and climate adaptation pooled financing mechanisms at the global and country levels, the report finds that funds for recovery in fragile and conflict-affected countries are limited in their coverage, size, and coherence. The report recommends better to leverage pooled funs to manage risks, to consolidate the large number of small recovery funds, and to promote a common theory of change across recovery efforts.</w:t>
            </w:r>
          </w:p>
        </w:tc>
        <w:tc>
          <w:tcPr>
            <w:tcW w:w="1170" w:type="dxa"/>
          </w:tcPr>
          <w:p w:rsidR="00C77F20" w:rsidRPr="00790B37" w:rsidRDefault="00C77F20" w:rsidP="008F796D">
            <w:pPr>
              <w:rPr>
                <w:color w:val="000000" w:themeColor="text1"/>
                <w:sz w:val="20"/>
                <w:szCs w:val="20"/>
              </w:rPr>
            </w:pPr>
            <w:r w:rsidRPr="00790B37">
              <w:rPr>
                <w:color w:val="000000" w:themeColor="text1"/>
                <w:sz w:val="20"/>
                <w:szCs w:val="20"/>
              </w:rPr>
              <w:t>Report published in June 2014</w:t>
            </w:r>
          </w:p>
          <w:p w:rsidR="00C77F20" w:rsidRPr="00790B37" w:rsidRDefault="00C77F20" w:rsidP="008F796D">
            <w:pPr>
              <w:rPr>
                <w:color w:val="000000" w:themeColor="text1"/>
                <w:sz w:val="20"/>
                <w:szCs w:val="20"/>
              </w:rPr>
            </w:pPr>
          </w:p>
        </w:tc>
        <w:tc>
          <w:tcPr>
            <w:tcW w:w="4140" w:type="dxa"/>
          </w:tcPr>
          <w:p w:rsidR="00C77F20" w:rsidRPr="00790B37" w:rsidRDefault="00016B09" w:rsidP="008F796D">
            <w:pPr>
              <w:rPr>
                <w:color w:val="000000" w:themeColor="text1"/>
                <w:sz w:val="20"/>
                <w:szCs w:val="20"/>
              </w:rPr>
            </w:pPr>
            <w:hyperlink r:id="rId21" w:history="1">
              <w:r w:rsidR="00C77F20" w:rsidRPr="00790B37">
                <w:rPr>
                  <w:rStyle w:val="Hyperlink"/>
                  <w:color w:val="000000" w:themeColor="text1"/>
                  <w:sz w:val="20"/>
                  <w:szCs w:val="20"/>
                </w:rPr>
                <w:t>mptf.undp.org</w:t>
              </w:r>
            </w:hyperlink>
          </w:p>
        </w:tc>
      </w:tr>
      <w:tr w:rsidR="00350A1E" w:rsidRPr="00790B37" w:rsidTr="00C77F20">
        <w:tc>
          <w:tcPr>
            <w:tcW w:w="1638" w:type="dxa"/>
          </w:tcPr>
          <w:p w:rsidR="00350A1E" w:rsidRPr="00790B37" w:rsidRDefault="00350A1E" w:rsidP="008F796D">
            <w:pPr>
              <w:rPr>
                <w:color w:val="000000" w:themeColor="text1"/>
                <w:sz w:val="20"/>
                <w:szCs w:val="20"/>
              </w:rPr>
            </w:pPr>
            <w:r>
              <w:rPr>
                <w:color w:val="000000" w:themeColor="text1"/>
                <w:sz w:val="20"/>
                <w:szCs w:val="20"/>
              </w:rPr>
              <w:t>“Coherence in Conflict: Bringing humanitarian and development aid streams together”</w:t>
            </w:r>
          </w:p>
        </w:tc>
        <w:tc>
          <w:tcPr>
            <w:tcW w:w="2430" w:type="dxa"/>
          </w:tcPr>
          <w:p w:rsidR="00350A1E" w:rsidRPr="00790B37" w:rsidRDefault="00350A1E" w:rsidP="008F796D">
            <w:pPr>
              <w:rPr>
                <w:color w:val="000000" w:themeColor="text1"/>
                <w:sz w:val="20"/>
                <w:szCs w:val="20"/>
              </w:rPr>
            </w:pPr>
            <w:r>
              <w:rPr>
                <w:color w:val="000000" w:themeColor="text1"/>
                <w:sz w:val="20"/>
                <w:szCs w:val="20"/>
              </w:rPr>
              <w:t>Denmark</w:t>
            </w:r>
          </w:p>
        </w:tc>
        <w:tc>
          <w:tcPr>
            <w:tcW w:w="4770" w:type="dxa"/>
          </w:tcPr>
          <w:p w:rsidR="00350A1E" w:rsidRPr="00790B37" w:rsidRDefault="00350A1E" w:rsidP="008F796D">
            <w:pPr>
              <w:rPr>
                <w:color w:val="000000" w:themeColor="text1"/>
                <w:sz w:val="20"/>
                <w:szCs w:val="20"/>
              </w:rPr>
            </w:pPr>
            <w:r>
              <w:rPr>
                <w:color w:val="000000" w:themeColor="text1"/>
                <w:sz w:val="20"/>
                <w:szCs w:val="20"/>
              </w:rPr>
              <w:t xml:space="preserve">The study, currently underway, will examine the complementarity of humanitarian and development </w:t>
            </w:r>
            <w:proofErr w:type="spellStart"/>
            <w:r>
              <w:rPr>
                <w:color w:val="000000" w:themeColor="text1"/>
                <w:sz w:val="20"/>
                <w:szCs w:val="20"/>
              </w:rPr>
              <w:t>programmes</w:t>
            </w:r>
            <w:proofErr w:type="spellEnd"/>
            <w:r>
              <w:rPr>
                <w:color w:val="000000" w:themeColor="text1"/>
                <w:sz w:val="20"/>
                <w:szCs w:val="20"/>
              </w:rPr>
              <w:t xml:space="preserve"> in protracted and recurrent crises, by examining programming choices, identifying opportunities for complementarity and synergies, and making recommendations for policies and actions to promote more efficient programming</w:t>
            </w:r>
          </w:p>
        </w:tc>
        <w:tc>
          <w:tcPr>
            <w:tcW w:w="1170" w:type="dxa"/>
          </w:tcPr>
          <w:p w:rsidR="00350A1E" w:rsidRPr="00790B37" w:rsidRDefault="00350A1E" w:rsidP="008F796D">
            <w:pPr>
              <w:rPr>
                <w:color w:val="000000" w:themeColor="text1"/>
                <w:sz w:val="20"/>
                <w:szCs w:val="20"/>
              </w:rPr>
            </w:pPr>
            <w:r>
              <w:rPr>
                <w:color w:val="000000" w:themeColor="text1"/>
                <w:sz w:val="20"/>
                <w:szCs w:val="20"/>
              </w:rPr>
              <w:t>Early 2015</w:t>
            </w:r>
          </w:p>
        </w:tc>
        <w:tc>
          <w:tcPr>
            <w:tcW w:w="4140" w:type="dxa"/>
          </w:tcPr>
          <w:p w:rsidR="00350A1E" w:rsidRDefault="00350A1E" w:rsidP="008F796D">
            <w:r w:rsidRPr="00746BF1">
              <w:rPr>
                <w:color w:val="000000" w:themeColor="text1"/>
                <w:sz w:val="20"/>
                <w:szCs w:val="20"/>
              </w:rPr>
              <w:t>Terms of references</w:t>
            </w:r>
          </w:p>
        </w:tc>
      </w:tr>
      <w:tr w:rsidR="002D3A02" w:rsidRPr="00790B37" w:rsidTr="002D3A02">
        <w:trPr>
          <w:cantSplit/>
        </w:trPr>
        <w:tc>
          <w:tcPr>
            <w:tcW w:w="1638" w:type="dxa"/>
          </w:tcPr>
          <w:p w:rsidR="002D3A02" w:rsidRPr="00CA72B2" w:rsidRDefault="002D3A02" w:rsidP="00522E99">
            <w:pPr>
              <w:rPr>
                <w:color w:val="000000" w:themeColor="text1"/>
                <w:sz w:val="20"/>
                <w:szCs w:val="20"/>
              </w:rPr>
            </w:pPr>
            <w:r>
              <w:rPr>
                <w:color w:val="000000" w:themeColor="text1"/>
                <w:sz w:val="20"/>
                <w:szCs w:val="20"/>
              </w:rPr>
              <w:lastRenderedPageBreak/>
              <w:t>“</w:t>
            </w:r>
            <w:r w:rsidRPr="00CA72B2">
              <w:rPr>
                <w:color w:val="000000" w:themeColor="text1"/>
                <w:sz w:val="20"/>
                <w:szCs w:val="20"/>
              </w:rPr>
              <w:t>Financing Integrated Peace Consolidation Efforts</w:t>
            </w:r>
            <w:r>
              <w:rPr>
                <w:color w:val="000000" w:themeColor="text1"/>
                <w:sz w:val="20"/>
                <w:szCs w:val="20"/>
              </w:rPr>
              <w:t>:</w:t>
            </w:r>
          </w:p>
          <w:p w:rsidR="002D3A02" w:rsidRPr="00CA72B2" w:rsidRDefault="002D3A02" w:rsidP="00522E99">
            <w:pPr>
              <w:rPr>
                <w:color w:val="000000" w:themeColor="text1"/>
                <w:sz w:val="20"/>
                <w:szCs w:val="20"/>
              </w:rPr>
            </w:pPr>
            <w:r w:rsidRPr="00CA72B2">
              <w:rPr>
                <w:color w:val="000000" w:themeColor="text1"/>
                <w:sz w:val="20"/>
                <w:szCs w:val="20"/>
              </w:rPr>
              <w:t>The role of financing instruments in enhancing UN integration and promoting peace consolidation in mission settings</w:t>
            </w:r>
            <w:r>
              <w:rPr>
                <w:color w:val="000000" w:themeColor="text1"/>
                <w:sz w:val="20"/>
                <w:szCs w:val="20"/>
              </w:rPr>
              <w:t>”</w:t>
            </w:r>
          </w:p>
        </w:tc>
        <w:tc>
          <w:tcPr>
            <w:tcW w:w="2430" w:type="dxa"/>
          </w:tcPr>
          <w:p w:rsidR="002D3A02" w:rsidRPr="00790B37" w:rsidRDefault="002D3A02" w:rsidP="00522E99">
            <w:pPr>
              <w:rPr>
                <w:color w:val="000000" w:themeColor="text1"/>
                <w:sz w:val="20"/>
                <w:szCs w:val="20"/>
              </w:rPr>
            </w:pPr>
            <w:r>
              <w:rPr>
                <w:color w:val="000000" w:themeColor="text1"/>
                <w:sz w:val="20"/>
                <w:szCs w:val="20"/>
              </w:rPr>
              <w:t>Integration Steering Group (ISG) and MPTF Office</w:t>
            </w:r>
          </w:p>
        </w:tc>
        <w:tc>
          <w:tcPr>
            <w:tcW w:w="4770" w:type="dxa"/>
          </w:tcPr>
          <w:p w:rsidR="002D3A02" w:rsidRPr="00790B37" w:rsidRDefault="002D3A02" w:rsidP="002D3A02">
            <w:pPr>
              <w:rPr>
                <w:color w:val="000000" w:themeColor="text1"/>
                <w:sz w:val="20"/>
                <w:szCs w:val="20"/>
              </w:rPr>
            </w:pPr>
            <w:r w:rsidRPr="001518CA">
              <w:rPr>
                <w:color w:val="000000" w:themeColor="text1"/>
                <w:sz w:val="20"/>
                <w:szCs w:val="20"/>
              </w:rPr>
              <w:t>The objective of the study is to assess opportunities and challenges in using pooled financing instruments to improve stabilization and peace consolidation efforts, particularly by promoting integration between UN missions and UNCTs, and with a focus on contexts of mission start-ups</w:t>
            </w:r>
            <w:r>
              <w:rPr>
                <w:color w:val="000000" w:themeColor="text1"/>
                <w:sz w:val="20"/>
                <w:szCs w:val="20"/>
              </w:rPr>
              <w:t xml:space="preserve"> and transition or</w:t>
            </w:r>
            <w:r w:rsidRPr="001518CA">
              <w:rPr>
                <w:color w:val="000000" w:themeColor="text1"/>
                <w:sz w:val="20"/>
                <w:szCs w:val="20"/>
              </w:rPr>
              <w:t xml:space="preserve"> draw</w:t>
            </w:r>
            <w:r>
              <w:rPr>
                <w:color w:val="000000" w:themeColor="text1"/>
                <w:sz w:val="20"/>
                <w:szCs w:val="20"/>
              </w:rPr>
              <w:t>-</w:t>
            </w:r>
            <w:r w:rsidRPr="001518CA">
              <w:rPr>
                <w:color w:val="000000" w:themeColor="text1"/>
                <w:sz w:val="20"/>
                <w:szCs w:val="20"/>
              </w:rPr>
              <w:t>down.</w:t>
            </w:r>
            <w:r>
              <w:rPr>
                <w:color w:val="000000" w:themeColor="text1"/>
                <w:sz w:val="20"/>
                <w:szCs w:val="20"/>
              </w:rPr>
              <w:t xml:space="preserve"> </w:t>
            </w:r>
            <w:r w:rsidRPr="00BF7D57">
              <w:rPr>
                <w:color w:val="000000" w:themeColor="text1"/>
                <w:sz w:val="20"/>
                <w:szCs w:val="20"/>
              </w:rPr>
              <w:t xml:space="preserve">The study complements the report </w:t>
            </w:r>
            <w:r w:rsidRPr="00BF7D57">
              <w:rPr>
                <w:i/>
                <w:color w:val="000000" w:themeColor="text1"/>
                <w:sz w:val="20"/>
                <w:szCs w:val="20"/>
              </w:rPr>
              <w:t>Financing Recovery for Resilience</w:t>
            </w:r>
            <w:r>
              <w:rPr>
                <w:color w:val="000000" w:themeColor="text1"/>
                <w:sz w:val="20"/>
                <w:szCs w:val="20"/>
              </w:rPr>
              <w:t>, which looks</w:t>
            </w:r>
            <w:r w:rsidRPr="00BF7D57">
              <w:rPr>
                <w:color w:val="000000" w:themeColor="text1"/>
                <w:sz w:val="20"/>
                <w:szCs w:val="20"/>
              </w:rPr>
              <w:t xml:space="preserve"> at leveraging pooled funds to improve recovery by strengthening synergies between humanitarian, development and climate finance.</w:t>
            </w:r>
            <w:r>
              <w:rPr>
                <w:color w:val="000000" w:themeColor="text1"/>
                <w:sz w:val="20"/>
                <w:szCs w:val="20"/>
              </w:rPr>
              <w:t xml:space="preserve"> While funding for stabilization would mostly come from development sources, OCHA’s initial feedback to the report (internal draft) highlighted: (</w:t>
            </w:r>
            <w:proofErr w:type="spellStart"/>
            <w:r>
              <w:rPr>
                <w:color w:val="000000" w:themeColor="text1"/>
                <w:sz w:val="20"/>
                <w:szCs w:val="20"/>
              </w:rPr>
              <w:t>i</w:t>
            </w:r>
            <w:proofErr w:type="spellEnd"/>
            <w:r>
              <w:rPr>
                <w:color w:val="000000" w:themeColor="text1"/>
                <w:sz w:val="20"/>
                <w:szCs w:val="20"/>
              </w:rPr>
              <w:t>) the potential risk that such a mechanism could be detrimental to humanitarian funding at a time when humanitarian needs are skyrocketing ($17 billion this year); (ii) the importance of integrating a myriad of funds operating in mission settings under the oversight of DPKO and the UNCT, with mostly negligible amounts and high transaction costs; and (iii) the need to develop an accountability framework to manage risks, where OCHA could offer advice based on its experience with managing CBPFs.</w:t>
            </w:r>
          </w:p>
        </w:tc>
        <w:tc>
          <w:tcPr>
            <w:tcW w:w="1170" w:type="dxa"/>
          </w:tcPr>
          <w:p w:rsidR="002D3A02" w:rsidRPr="00790B37" w:rsidRDefault="002D3A02" w:rsidP="00522E99">
            <w:pPr>
              <w:rPr>
                <w:color w:val="000000" w:themeColor="text1"/>
                <w:sz w:val="20"/>
                <w:szCs w:val="20"/>
              </w:rPr>
            </w:pPr>
            <w:r>
              <w:rPr>
                <w:color w:val="000000" w:themeColor="text1"/>
                <w:sz w:val="20"/>
                <w:szCs w:val="20"/>
              </w:rPr>
              <w:t>Draft internal report, October 2014</w:t>
            </w:r>
          </w:p>
        </w:tc>
        <w:tc>
          <w:tcPr>
            <w:tcW w:w="4140" w:type="dxa"/>
          </w:tcPr>
          <w:p w:rsidR="002D3A02" w:rsidRPr="00A401CB" w:rsidRDefault="002D3A02" w:rsidP="00522E99">
            <w:pPr>
              <w:rPr>
                <w:sz w:val="20"/>
                <w:szCs w:val="20"/>
              </w:rPr>
            </w:pPr>
            <w:r w:rsidRPr="00A401CB">
              <w:rPr>
                <w:sz w:val="20"/>
                <w:szCs w:val="20"/>
                <w:lang w:val="en-GB"/>
              </w:rPr>
              <w:t>Division of Policy, Evaluation and Training - DPKO/DFS</w:t>
            </w:r>
          </w:p>
        </w:tc>
      </w:tr>
      <w:tr w:rsidR="002D3A02" w:rsidRPr="00790B37" w:rsidTr="00C77F20">
        <w:tc>
          <w:tcPr>
            <w:tcW w:w="1638" w:type="dxa"/>
          </w:tcPr>
          <w:p w:rsidR="002D3A02" w:rsidRPr="00790B37" w:rsidRDefault="002D3A02" w:rsidP="008F796D">
            <w:pPr>
              <w:rPr>
                <w:color w:val="000000" w:themeColor="text1"/>
                <w:sz w:val="20"/>
                <w:szCs w:val="20"/>
              </w:rPr>
            </w:pPr>
            <w:r w:rsidRPr="00790B37">
              <w:rPr>
                <w:color w:val="000000" w:themeColor="text1"/>
                <w:sz w:val="20"/>
                <w:szCs w:val="20"/>
              </w:rPr>
              <w:t>“Private funding for humanitarian assistance: Filling the gap?” and “Humanitarian Assistance from Non-State Actors: What is it worth?”</w:t>
            </w:r>
          </w:p>
        </w:tc>
        <w:tc>
          <w:tcPr>
            <w:tcW w:w="2430" w:type="dxa"/>
          </w:tcPr>
          <w:p w:rsidR="002D3A02" w:rsidRPr="00790B37" w:rsidRDefault="002D3A02" w:rsidP="008F796D">
            <w:pPr>
              <w:rPr>
                <w:color w:val="000000" w:themeColor="text1"/>
                <w:sz w:val="20"/>
                <w:szCs w:val="20"/>
              </w:rPr>
            </w:pPr>
            <w:r w:rsidRPr="00790B37">
              <w:rPr>
                <w:color w:val="000000" w:themeColor="text1"/>
                <w:sz w:val="20"/>
                <w:szCs w:val="20"/>
              </w:rPr>
              <w:t>Global Humanitarian Assistance/Development Initiatives and Overseas Development Institute</w:t>
            </w:r>
          </w:p>
        </w:tc>
        <w:tc>
          <w:tcPr>
            <w:tcW w:w="4770" w:type="dxa"/>
          </w:tcPr>
          <w:p w:rsidR="002D3A02" w:rsidRPr="00790B37" w:rsidRDefault="002D3A02" w:rsidP="008F796D">
            <w:pPr>
              <w:rPr>
                <w:color w:val="000000" w:themeColor="text1"/>
                <w:sz w:val="20"/>
                <w:szCs w:val="20"/>
              </w:rPr>
            </w:pPr>
            <w:r w:rsidRPr="00790B37">
              <w:rPr>
                <w:color w:val="000000" w:themeColor="text1"/>
                <w:sz w:val="20"/>
                <w:szCs w:val="20"/>
              </w:rPr>
              <w:t xml:space="preserve">Private funding as a share of the total humanitarian response grew from 16% in 2006 to 29% in 2011. In its reports, GHA predicts an uncertain future for private giving, as fundraising markets in developed countries may be near exhaustion. Private funds may be especially difficult to </w:t>
            </w:r>
            <w:proofErr w:type="gramStart"/>
            <w:r w:rsidRPr="00790B37">
              <w:rPr>
                <w:color w:val="000000" w:themeColor="text1"/>
                <w:sz w:val="20"/>
                <w:szCs w:val="20"/>
              </w:rPr>
              <w:t>raise</w:t>
            </w:r>
            <w:proofErr w:type="gramEnd"/>
            <w:r w:rsidRPr="00790B37">
              <w:rPr>
                <w:color w:val="000000" w:themeColor="text1"/>
                <w:sz w:val="20"/>
                <w:szCs w:val="20"/>
              </w:rPr>
              <w:t xml:space="preserve"> for prolonged crises. GHA argues that there is no systematic reporting of private funds.</w:t>
            </w:r>
          </w:p>
        </w:tc>
        <w:tc>
          <w:tcPr>
            <w:tcW w:w="1170" w:type="dxa"/>
          </w:tcPr>
          <w:p w:rsidR="002D3A02" w:rsidRPr="00790B37" w:rsidRDefault="002D3A02" w:rsidP="008F796D">
            <w:pPr>
              <w:rPr>
                <w:color w:val="000000" w:themeColor="text1"/>
                <w:sz w:val="20"/>
                <w:szCs w:val="20"/>
              </w:rPr>
            </w:pPr>
            <w:r w:rsidRPr="00790B37">
              <w:rPr>
                <w:color w:val="000000" w:themeColor="text1"/>
                <w:sz w:val="20"/>
                <w:szCs w:val="20"/>
              </w:rPr>
              <w:t>Reports published August 2013 and April 2014</w:t>
            </w:r>
          </w:p>
        </w:tc>
        <w:tc>
          <w:tcPr>
            <w:tcW w:w="4140" w:type="dxa"/>
          </w:tcPr>
          <w:p w:rsidR="002D3A02" w:rsidRPr="00790B37" w:rsidRDefault="00016B09" w:rsidP="008F796D">
            <w:pPr>
              <w:rPr>
                <w:color w:val="000000" w:themeColor="text1"/>
                <w:sz w:val="20"/>
                <w:szCs w:val="20"/>
              </w:rPr>
            </w:pPr>
            <w:hyperlink r:id="rId22" w:history="1">
              <w:r w:rsidR="002D3A02" w:rsidRPr="00790B37">
                <w:rPr>
                  <w:rStyle w:val="Hyperlink"/>
                  <w:color w:val="000000" w:themeColor="text1"/>
                  <w:sz w:val="20"/>
                  <w:szCs w:val="20"/>
                </w:rPr>
                <w:t>www.globalhumanitarianassistance.org/wp-content/uploads/2013/08/private-funding-2013-online1.pdf</w:t>
              </w:r>
            </w:hyperlink>
            <w:r w:rsidR="002D3A02" w:rsidRPr="00790B37">
              <w:rPr>
                <w:color w:val="000000" w:themeColor="text1"/>
                <w:sz w:val="20"/>
                <w:szCs w:val="20"/>
              </w:rPr>
              <w:t xml:space="preserve"> </w:t>
            </w:r>
          </w:p>
        </w:tc>
      </w:tr>
      <w:tr w:rsidR="00AE1F3D" w:rsidRPr="00790B37" w:rsidTr="00C77F20">
        <w:tc>
          <w:tcPr>
            <w:tcW w:w="1638" w:type="dxa"/>
          </w:tcPr>
          <w:p w:rsidR="00AE1F3D" w:rsidRPr="00790B37" w:rsidRDefault="00AE1F3D" w:rsidP="008F796D">
            <w:pPr>
              <w:rPr>
                <w:color w:val="000000" w:themeColor="text1"/>
                <w:sz w:val="20"/>
                <w:szCs w:val="20"/>
              </w:rPr>
            </w:pPr>
            <w:r>
              <w:rPr>
                <w:color w:val="000000" w:themeColor="text1"/>
                <w:sz w:val="20"/>
                <w:szCs w:val="20"/>
              </w:rPr>
              <w:t>“Imagining More Effective Humanitarian Aid: A Donor Perspective”</w:t>
            </w:r>
          </w:p>
        </w:tc>
        <w:tc>
          <w:tcPr>
            <w:tcW w:w="2430" w:type="dxa"/>
          </w:tcPr>
          <w:p w:rsidR="00AE1F3D" w:rsidRPr="00790B37" w:rsidRDefault="00AE1F3D" w:rsidP="008F796D">
            <w:pPr>
              <w:rPr>
                <w:color w:val="000000" w:themeColor="text1"/>
                <w:sz w:val="20"/>
                <w:szCs w:val="20"/>
              </w:rPr>
            </w:pPr>
            <w:r>
              <w:rPr>
                <w:color w:val="000000" w:themeColor="text1"/>
                <w:sz w:val="20"/>
                <w:szCs w:val="20"/>
              </w:rPr>
              <w:t>OECD</w:t>
            </w:r>
          </w:p>
        </w:tc>
        <w:tc>
          <w:tcPr>
            <w:tcW w:w="4770" w:type="dxa"/>
          </w:tcPr>
          <w:p w:rsidR="00AE1F3D" w:rsidRPr="00790B37" w:rsidRDefault="00AE1F3D" w:rsidP="008F796D">
            <w:pPr>
              <w:rPr>
                <w:color w:val="000000" w:themeColor="text1"/>
                <w:sz w:val="20"/>
                <w:szCs w:val="20"/>
              </w:rPr>
            </w:pPr>
            <w:r>
              <w:rPr>
                <w:color w:val="000000" w:themeColor="text1"/>
                <w:sz w:val="20"/>
                <w:szCs w:val="20"/>
              </w:rPr>
              <w:t xml:space="preserve">The report discusses </w:t>
            </w:r>
            <w:r w:rsidRPr="00AE1F3D">
              <w:rPr>
                <w:color w:val="000000" w:themeColor="text1"/>
                <w:sz w:val="20"/>
                <w:szCs w:val="20"/>
              </w:rPr>
              <w:t>common framework of humanitarian effectiveness would mean that each actor would be held accountable for their contribution to the same characteristics of effectiveness – based on what they can control, what they can influence, and where they advocate – no matter who was assessing them.</w:t>
            </w:r>
          </w:p>
        </w:tc>
        <w:tc>
          <w:tcPr>
            <w:tcW w:w="1170" w:type="dxa"/>
          </w:tcPr>
          <w:p w:rsidR="00AE1F3D" w:rsidRPr="00790B37" w:rsidRDefault="00AE1F3D" w:rsidP="008F796D">
            <w:pPr>
              <w:rPr>
                <w:color w:val="000000" w:themeColor="text1"/>
                <w:sz w:val="20"/>
                <w:szCs w:val="20"/>
              </w:rPr>
            </w:pPr>
            <w:r>
              <w:rPr>
                <w:color w:val="000000" w:themeColor="text1"/>
                <w:sz w:val="20"/>
                <w:szCs w:val="20"/>
              </w:rPr>
              <w:t>Report published October 2014</w:t>
            </w:r>
          </w:p>
        </w:tc>
        <w:tc>
          <w:tcPr>
            <w:tcW w:w="4140" w:type="dxa"/>
          </w:tcPr>
          <w:p w:rsidR="00AE1F3D" w:rsidRDefault="00AE1F3D" w:rsidP="008F796D">
            <w:r w:rsidRPr="003304C2">
              <w:rPr>
                <w:rStyle w:val="Hyperlink"/>
                <w:color w:val="000000" w:themeColor="text1"/>
                <w:sz w:val="20"/>
                <w:szCs w:val="20"/>
              </w:rPr>
              <w:t>http://www.oecd.org/dac/imagining-humanitarian-aid.htm</w:t>
            </w:r>
          </w:p>
        </w:tc>
      </w:tr>
      <w:tr w:rsidR="00AE1F3D" w:rsidRPr="00790B37" w:rsidTr="001544EF">
        <w:trPr>
          <w:cantSplit/>
        </w:trPr>
        <w:tc>
          <w:tcPr>
            <w:tcW w:w="1638" w:type="dxa"/>
          </w:tcPr>
          <w:p w:rsidR="00AE1F3D" w:rsidRDefault="00AE1F3D" w:rsidP="00561240">
            <w:pPr>
              <w:rPr>
                <w:sz w:val="20"/>
                <w:szCs w:val="20"/>
              </w:rPr>
            </w:pPr>
            <w:r>
              <w:rPr>
                <w:sz w:val="20"/>
                <w:szCs w:val="20"/>
              </w:rPr>
              <w:lastRenderedPageBreak/>
              <w:t>“A Calculated Risk: How Donors Should Engage with Risk Financing and Transfer Mechanisms”</w:t>
            </w:r>
          </w:p>
        </w:tc>
        <w:tc>
          <w:tcPr>
            <w:tcW w:w="2430" w:type="dxa"/>
          </w:tcPr>
          <w:p w:rsidR="00AE1F3D" w:rsidRDefault="00AE1F3D" w:rsidP="00561240">
            <w:pPr>
              <w:rPr>
                <w:sz w:val="20"/>
                <w:szCs w:val="20"/>
              </w:rPr>
            </w:pPr>
            <w:r>
              <w:rPr>
                <w:sz w:val="20"/>
                <w:szCs w:val="20"/>
              </w:rPr>
              <w:t>OECD</w:t>
            </w:r>
          </w:p>
        </w:tc>
        <w:tc>
          <w:tcPr>
            <w:tcW w:w="4770" w:type="dxa"/>
          </w:tcPr>
          <w:p w:rsidR="00AE1F3D" w:rsidRPr="00AE1F3D" w:rsidRDefault="00AE1F3D" w:rsidP="00AE1F3D">
            <w:pPr>
              <w:rPr>
                <w:sz w:val="20"/>
                <w:szCs w:val="20"/>
              </w:rPr>
            </w:pPr>
            <w:r w:rsidRPr="00AE1F3D">
              <w:rPr>
                <w:sz w:val="20"/>
                <w:szCs w:val="20"/>
              </w:rPr>
              <w:t>This report describes key features of risk financing and risk transfer, examines some of the</w:t>
            </w:r>
          </w:p>
          <w:p w:rsidR="00AE1F3D" w:rsidRPr="00AE1F3D" w:rsidRDefault="00AE1F3D" w:rsidP="00AE1F3D">
            <w:pPr>
              <w:rPr>
                <w:sz w:val="20"/>
                <w:szCs w:val="20"/>
              </w:rPr>
            </w:pPr>
            <w:r w:rsidRPr="00AE1F3D">
              <w:rPr>
                <w:sz w:val="20"/>
                <w:szCs w:val="20"/>
              </w:rPr>
              <w:t>current challenges at the contextual and programmatic levels as well as institutional</w:t>
            </w:r>
          </w:p>
          <w:p w:rsidR="00AE1F3D" w:rsidRPr="00AE1F3D" w:rsidRDefault="00AE1F3D" w:rsidP="00AE1F3D">
            <w:pPr>
              <w:rPr>
                <w:sz w:val="20"/>
                <w:szCs w:val="20"/>
              </w:rPr>
            </w:pPr>
            <w:r w:rsidRPr="00AE1F3D">
              <w:rPr>
                <w:sz w:val="20"/>
                <w:szCs w:val="20"/>
              </w:rPr>
              <w:t>challenges donors might face in engaging in risk financing and recommends a set of</w:t>
            </w:r>
          </w:p>
          <w:p w:rsidR="00AE1F3D" w:rsidRDefault="00AE1F3D" w:rsidP="00AE1F3D">
            <w:pPr>
              <w:rPr>
                <w:sz w:val="20"/>
                <w:szCs w:val="20"/>
              </w:rPr>
            </w:pPr>
            <w:proofErr w:type="gramStart"/>
            <w:r w:rsidRPr="00AE1F3D">
              <w:rPr>
                <w:sz w:val="20"/>
                <w:szCs w:val="20"/>
              </w:rPr>
              <w:t>principles</w:t>
            </w:r>
            <w:proofErr w:type="gramEnd"/>
            <w:r w:rsidRPr="00AE1F3D">
              <w:rPr>
                <w:sz w:val="20"/>
                <w:szCs w:val="20"/>
              </w:rPr>
              <w:t xml:space="preserve"> and policy approaches to guide future donor support and engagement.</w:t>
            </w:r>
          </w:p>
        </w:tc>
        <w:tc>
          <w:tcPr>
            <w:tcW w:w="1170" w:type="dxa"/>
          </w:tcPr>
          <w:p w:rsidR="00AE1F3D" w:rsidRDefault="00AE1F3D" w:rsidP="00561240">
            <w:pPr>
              <w:rPr>
                <w:sz w:val="20"/>
                <w:szCs w:val="20"/>
              </w:rPr>
            </w:pPr>
            <w:r>
              <w:rPr>
                <w:sz w:val="20"/>
                <w:szCs w:val="20"/>
              </w:rPr>
              <w:t>Report published July 2014</w:t>
            </w:r>
          </w:p>
        </w:tc>
        <w:tc>
          <w:tcPr>
            <w:tcW w:w="4140" w:type="dxa"/>
          </w:tcPr>
          <w:p w:rsidR="00AE1F3D" w:rsidRPr="0048249C" w:rsidRDefault="00AE1F3D" w:rsidP="00561240">
            <w:pPr>
              <w:rPr>
                <w:sz w:val="20"/>
                <w:szCs w:val="20"/>
              </w:rPr>
            </w:pPr>
            <w:r w:rsidRPr="00AE1F3D">
              <w:rPr>
                <w:sz w:val="20"/>
                <w:szCs w:val="20"/>
              </w:rPr>
              <w:t>http://www.oecd.org/dac/donorsriskfinancingandrisktransfers.htm</w:t>
            </w:r>
          </w:p>
        </w:tc>
      </w:tr>
      <w:tr w:rsidR="0025505F" w:rsidRPr="00790B37" w:rsidTr="001544EF">
        <w:trPr>
          <w:cantSplit/>
        </w:trPr>
        <w:tc>
          <w:tcPr>
            <w:tcW w:w="1638" w:type="dxa"/>
          </w:tcPr>
          <w:p w:rsidR="0025505F" w:rsidRDefault="0025505F" w:rsidP="00561240">
            <w:pPr>
              <w:rPr>
                <w:sz w:val="20"/>
                <w:szCs w:val="20"/>
              </w:rPr>
            </w:pPr>
            <w:r>
              <w:rPr>
                <w:sz w:val="20"/>
                <w:szCs w:val="20"/>
              </w:rPr>
              <w:t>Occasional Policy Paper on humanitarian financing (defining “need” and exploring the resource gap)</w:t>
            </w:r>
          </w:p>
        </w:tc>
        <w:tc>
          <w:tcPr>
            <w:tcW w:w="2430" w:type="dxa"/>
          </w:tcPr>
          <w:p w:rsidR="0025505F" w:rsidRDefault="0025505F" w:rsidP="00561240">
            <w:pPr>
              <w:rPr>
                <w:sz w:val="20"/>
                <w:szCs w:val="20"/>
              </w:rPr>
            </w:pPr>
            <w:r>
              <w:rPr>
                <w:sz w:val="20"/>
                <w:szCs w:val="20"/>
              </w:rPr>
              <w:t>OCHA/PDSB</w:t>
            </w:r>
          </w:p>
        </w:tc>
        <w:tc>
          <w:tcPr>
            <w:tcW w:w="4770" w:type="dxa"/>
          </w:tcPr>
          <w:p w:rsidR="0025505F" w:rsidRDefault="0025505F" w:rsidP="0025505F">
            <w:pPr>
              <w:rPr>
                <w:sz w:val="20"/>
                <w:szCs w:val="20"/>
              </w:rPr>
            </w:pPr>
            <w:r>
              <w:rPr>
                <w:sz w:val="20"/>
                <w:szCs w:val="20"/>
              </w:rPr>
              <w:t>This report, expected to be completed prior to ECOSOC, will examine the definition of humanitarian need, if our current system of assigning a money value to projects is accurate for measuring impact, and the rising cost of humanitarian aid. The report aims to complement Global Humanitarian Assistance report and the IASC Humanitarian Financing Task Team’s upcoming report on the future of humanitarian financing.</w:t>
            </w:r>
          </w:p>
        </w:tc>
        <w:tc>
          <w:tcPr>
            <w:tcW w:w="1170" w:type="dxa"/>
          </w:tcPr>
          <w:p w:rsidR="0025505F" w:rsidRDefault="0025505F" w:rsidP="00561240">
            <w:pPr>
              <w:rPr>
                <w:sz w:val="20"/>
                <w:szCs w:val="20"/>
              </w:rPr>
            </w:pPr>
            <w:r>
              <w:rPr>
                <w:sz w:val="20"/>
                <w:szCs w:val="20"/>
              </w:rPr>
              <w:t>Q2 2015</w:t>
            </w:r>
          </w:p>
        </w:tc>
        <w:tc>
          <w:tcPr>
            <w:tcW w:w="4140" w:type="dxa"/>
          </w:tcPr>
          <w:p w:rsidR="0025505F" w:rsidRPr="0048249C" w:rsidRDefault="0025505F" w:rsidP="00561240">
            <w:pPr>
              <w:rPr>
                <w:sz w:val="20"/>
                <w:szCs w:val="20"/>
              </w:rPr>
            </w:pPr>
          </w:p>
        </w:tc>
      </w:tr>
      <w:tr w:rsidR="0025505F" w:rsidRPr="00790B37" w:rsidTr="001544EF">
        <w:trPr>
          <w:cantSplit/>
        </w:trPr>
        <w:tc>
          <w:tcPr>
            <w:tcW w:w="1638" w:type="dxa"/>
          </w:tcPr>
          <w:p w:rsidR="0025505F" w:rsidRPr="0048249C" w:rsidRDefault="0025505F" w:rsidP="00561240">
            <w:pPr>
              <w:rPr>
                <w:sz w:val="20"/>
                <w:szCs w:val="20"/>
              </w:rPr>
            </w:pPr>
            <w:r>
              <w:rPr>
                <w:sz w:val="20"/>
                <w:szCs w:val="20"/>
              </w:rPr>
              <w:t>Exploring the possibility of innovation / research and development funding stream</w:t>
            </w:r>
          </w:p>
        </w:tc>
        <w:tc>
          <w:tcPr>
            <w:tcW w:w="2430" w:type="dxa"/>
          </w:tcPr>
          <w:p w:rsidR="0025505F" w:rsidRPr="0048249C" w:rsidRDefault="0025505F" w:rsidP="00561240">
            <w:pPr>
              <w:rPr>
                <w:sz w:val="20"/>
                <w:szCs w:val="20"/>
              </w:rPr>
            </w:pPr>
            <w:r>
              <w:rPr>
                <w:sz w:val="20"/>
                <w:szCs w:val="20"/>
              </w:rPr>
              <w:t>OCHA</w:t>
            </w:r>
          </w:p>
        </w:tc>
        <w:tc>
          <w:tcPr>
            <w:tcW w:w="4770" w:type="dxa"/>
          </w:tcPr>
          <w:p w:rsidR="0025505F" w:rsidRDefault="0025505F" w:rsidP="00561240">
            <w:pPr>
              <w:rPr>
                <w:sz w:val="20"/>
                <w:szCs w:val="20"/>
              </w:rPr>
            </w:pPr>
            <w:r>
              <w:rPr>
                <w:sz w:val="20"/>
                <w:szCs w:val="20"/>
              </w:rPr>
              <w:t xml:space="preserve">The current financing structure is restricted to response activities and as such does not provide incentives to develop new tools and approaches. </w:t>
            </w:r>
            <w:r w:rsidRPr="00042401">
              <w:rPr>
                <w:sz w:val="20"/>
                <w:szCs w:val="20"/>
              </w:rPr>
              <w:t>Several recent studies have identified a need to rethink the way that innovation in the humanitarian sector is financed and supported, to ensure that long-term investments in capacity building and adaptation are not neglected even during periods of high-demand for humanitarian services.</w:t>
            </w:r>
          </w:p>
          <w:p w:rsidR="0025505F" w:rsidRPr="00042401" w:rsidRDefault="0025505F" w:rsidP="00561240">
            <w:pPr>
              <w:rPr>
                <w:sz w:val="20"/>
                <w:szCs w:val="20"/>
              </w:rPr>
            </w:pPr>
            <w:r w:rsidRPr="00042401">
              <w:rPr>
                <w:sz w:val="20"/>
                <w:szCs w:val="20"/>
              </w:rPr>
              <w:t xml:space="preserve"> </w:t>
            </w:r>
          </w:p>
          <w:p w:rsidR="0025505F" w:rsidRPr="0048249C" w:rsidRDefault="0025505F" w:rsidP="001544EF">
            <w:pPr>
              <w:rPr>
                <w:sz w:val="20"/>
                <w:szCs w:val="20"/>
              </w:rPr>
            </w:pPr>
            <w:r w:rsidRPr="00042401">
              <w:rPr>
                <w:sz w:val="20"/>
                <w:szCs w:val="20"/>
              </w:rPr>
              <w:t xml:space="preserve">Over the next year, PDSB plans to explore the case for </w:t>
            </w:r>
            <w:r>
              <w:rPr>
                <w:sz w:val="20"/>
                <w:szCs w:val="20"/>
              </w:rPr>
              <w:t xml:space="preserve">research and development (R&amp;D) </w:t>
            </w:r>
            <w:r w:rsidRPr="00042401">
              <w:rPr>
                <w:sz w:val="20"/>
                <w:szCs w:val="20"/>
              </w:rPr>
              <w:t>on humanitarian tools, services and approaches, asking whether or not a greater investment in R&amp;D will help to accelerate the development and spread of new solutions to priority humanitarian challenges. The aim will be to develop concrete ideas for how to better finance and support humanitarian organizations and disaster responders to stay abreast of the most advanced technologies and approaches, fostering innovation and scaling</w:t>
            </w:r>
            <w:r>
              <w:rPr>
                <w:sz w:val="20"/>
                <w:szCs w:val="20"/>
              </w:rPr>
              <w:t>.</w:t>
            </w:r>
          </w:p>
        </w:tc>
        <w:tc>
          <w:tcPr>
            <w:tcW w:w="1170" w:type="dxa"/>
          </w:tcPr>
          <w:p w:rsidR="0025505F" w:rsidRPr="0048249C" w:rsidRDefault="0025505F" w:rsidP="00561240">
            <w:pPr>
              <w:rPr>
                <w:sz w:val="20"/>
                <w:szCs w:val="20"/>
              </w:rPr>
            </w:pPr>
            <w:r>
              <w:rPr>
                <w:sz w:val="20"/>
                <w:szCs w:val="20"/>
              </w:rPr>
              <w:t>Q3 2015</w:t>
            </w:r>
          </w:p>
        </w:tc>
        <w:tc>
          <w:tcPr>
            <w:tcW w:w="4140" w:type="dxa"/>
          </w:tcPr>
          <w:p w:rsidR="0025505F" w:rsidRPr="0048249C" w:rsidRDefault="0025505F" w:rsidP="00561240">
            <w:pPr>
              <w:rPr>
                <w:sz w:val="20"/>
                <w:szCs w:val="20"/>
              </w:rPr>
            </w:pPr>
          </w:p>
        </w:tc>
      </w:tr>
    </w:tbl>
    <w:p w:rsidR="00790B37" w:rsidRDefault="00790B37" w:rsidP="00790B37">
      <w:pPr>
        <w:rPr>
          <w:color w:val="000000" w:themeColor="text1"/>
        </w:rPr>
      </w:pPr>
    </w:p>
    <w:p w:rsidR="00790B37" w:rsidRPr="00790B37" w:rsidRDefault="00790B37" w:rsidP="00825614">
      <w:pPr>
        <w:rPr>
          <w:b/>
          <w:caps/>
          <w:color w:val="000000" w:themeColor="text1"/>
        </w:rPr>
      </w:pPr>
      <w:bookmarkStart w:id="0" w:name="_GoBack"/>
      <w:bookmarkEnd w:id="0"/>
    </w:p>
    <w:sectPr w:rsidR="00790B37" w:rsidRPr="00790B37" w:rsidSect="00790B37">
      <w:footerReference w:type="default" r:id="rId23"/>
      <w:pgSz w:w="15840" w:h="12240" w:orient="landscape"/>
      <w:pgMar w:top="1440" w:right="1152"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B09" w:rsidRDefault="00016B09" w:rsidP="00790B37">
      <w:r>
        <w:separator/>
      </w:r>
    </w:p>
  </w:endnote>
  <w:endnote w:type="continuationSeparator" w:id="0">
    <w:p w:rsidR="00016B09" w:rsidRDefault="00016B09" w:rsidP="0079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40329"/>
      <w:docPartObj>
        <w:docPartGallery w:val="Page Numbers (Bottom of Page)"/>
        <w:docPartUnique/>
      </w:docPartObj>
    </w:sdtPr>
    <w:sdtEndPr>
      <w:rPr>
        <w:noProof/>
      </w:rPr>
    </w:sdtEndPr>
    <w:sdtContent>
      <w:p w:rsidR="00790B37" w:rsidRDefault="00790B37">
        <w:pPr>
          <w:pStyle w:val="Footer"/>
          <w:jc w:val="center"/>
        </w:pPr>
        <w:r>
          <w:fldChar w:fldCharType="begin"/>
        </w:r>
        <w:r>
          <w:instrText xml:space="preserve"> PAGE   \* MERGEFORMAT </w:instrText>
        </w:r>
        <w:r>
          <w:fldChar w:fldCharType="separate"/>
        </w:r>
        <w:r w:rsidR="00825614">
          <w:rPr>
            <w:noProof/>
          </w:rPr>
          <w:t>10</w:t>
        </w:r>
        <w:r>
          <w:rPr>
            <w:noProof/>
          </w:rPr>
          <w:fldChar w:fldCharType="end"/>
        </w:r>
      </w:p>
    </w:sdtContent>
  </w:sdt>
  <w:p w:rsidR="00790B37" w:rsidRDefault="00790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B09" w:rsidRDefault="00016B09" w:rsidP="00790B37">
      <w:r>
        <w:separator/>
      </w:r>
    </w:p>
  </w:footnote>
  <w:footnote w:type="continuationSeparator" w:id="0">
    <w:p w:rsidR="00016B09" w:rsidRDefault="00016B09" w:rsidP="00790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4BA4"/>
    <w:multiLevelType w:val="hybridMultilevel"/>
    <w:tmpl w:val="877AE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544631"/>
    <w:multiLevelType w:val="hybridMultilevel"/>
    <w:tmpl w:val="EEF2770A"/>
    <w:lvl w:ilvl="0" w:tplc="33DE1DA6">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BB3D2A"/>
    <w:multiLevelType w:val="hybridMultilevel"/>
    <w:tmpl w:val="5BB0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85732DE"/>
    <w:multiLevelType w:val="hybridMultilevel"/>
    <w:tmpl w:val="877AE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4B7991"/>
    <w:multiLevelType w:val="hybridMultilevel"/>
    <w:tmpl w:val="191831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36B5737"/>
    <w:multiLevelType w:val="hybridMultilevel"/>
    <w:tmpl w:val="9CD40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FF"/>
    <w:rsid w:val="00002A8F"/>
    <w:rsid w:val="0001199A"/>
    <w:rsid w:val="00016B09"/>
    <w:rsid w:val="00060FFF"/>
    <w:rsid w:val="00065C7F"/>
    <w:rsid w:val="000739CD"/>
    <w:rsid w:val="000B7EE7"/>
    <w:rsid w:val="000D59F9"/>
    <w:rsid w:val="000F1E1B"/>
    <w:rsid w:val="00123088"/>
    <w:rsid w:val="00124DCC"/>
    <w:rsid w:val="001544EF"/>
    <w:rsid w:val="00162BFF"/>
    <w:rsid w:val="001A4C27"/>
    <w:rsid w:val="001E73B3"/>
    <w:rsid w:val="00223651"/>
    <w:rsid w:val="00225920"/>
    <w:rsid w:val="00235DF0"/>
    <w:rsid w:val="0025505F"/>
    <w:rsid w:val="0027373F"/>
    <w:rsid w:val="00287379"/>
    <w:rsid w:val="002928EF"/>
    <w:rsid w:val="00295D25"/>
    <w:rsid w:val="002D3A02"/>
    <w:rsid w:val="00316546"/>
    <w:rsid w:val="0032482E"/>
    <w:rsid w:val="00325DFE"/>
    <w:rsid w:val="00326733"/>
    <w:rsid w:val="003304C2"/>
    <w:rsid w:val="00340079"/>
    <w:rsid w:val="00340D2E"/>
    <w:rsid w:val="00350A1E"/>
    <w:rsid w:val="0037188C"/>
    <w:rsid w:val="0038358F"/>
    <w:rsid w:val="00385772"/>
    <w:rsid w:val="00385BFB"/>
    <w:rsid w:val="003E6704"/>
    <w:rsid w:val="003F712D"/>
    <w:rsid w:val="004065AB"/>
    <w:rsid w:val="00407D78"/>
    <w:rsid w:val="00423AB2"/>
    <w:rsid w:val="00446994"/>
    <w:rsid w:val="004568B1"/>
    <w:rsid w:val="00475542"/>
    <w:rsid w:val="004817D8"/>
    <w:rsid w:val="00494A97"/>
    <w:rsid w:val="004B3311"/>
    <w:rsid w:val="004B7CEF"/>
    <w:rsid w:val="00500F90"/>
    <w:rsid w:val="005036A2"/>
    <w:rsid w:val="0050676B"/>
    <w:rsid w:val="00511611"/>
    <w:rsid w:val="005125B4"/>
    <w:rsid w:val="0054399C"/>
    <w:rsid w:val="00545CA9"/>
    <w:rsid w:val="00550E43"/>
    <w:rsid w:val="00553658"/>
    <w:rsid w:val="00557C11"/>
    <w:rsid w:val="00562A89"/>
    <w:rsid w:val="0057703B"/>
    <w:rsid w:val="00586502"/>
    <w:rsid w:val="005B5A75"/>
    <w:rsid w:val="005C6351"/>
    <w:rsid w:val="005E0AE5"/>
    <w:rsid w:val="00605E2C"/>
    <w:rsid w:val="00606C97"/>
    <w:rsid w:val="00615FCC"/>
    <w:rsid w:val="00627EEE"/>
    <w:rsid w:val="006511A8"/>
    <w:rsid w:val="006574FF"/>
    <w:rsid w:val="00675BED"/>
    <w:rsid w:val="00676999"/>
    <w:rsid w:val="006D1567"/>
    <w:rsid w:val="006D384C"/>
    <w:rsid w:val="006D51A4"/>
    <w:rsid w:val="0070538E"/>
    <w:rsid w:val="00725340"/>
    <w:rsid w:val="007440E7"/>
    <w:rsid w:val="00746BF1"/>
    <w:rsid w:val="007663F4"/>
    <w:rsid w:val="00790B37"/>
    <w:rsid w:val="00796AF1"/>
    <w:rsid w:val="007B6625"/>
    <w:rsid w:val="007F4C12"/>
    <w:rsid w:val="00825614"/>
    <w:rsid w:val="0085347A"/>
    <w:rsid w:val="00857351"/>
    <w:rsid w:val="008755B5"/>
    <w:rsid w:val="008C5063"/>
    <w:rsid w:val="008F1277"/>
    <w:rsid w:val="0091769F"/>
    <w:rsid w:val="009313A4"/>
    <w:rsid w:val="00940B16"/>
    <w:rsid w:val="009505A7"/>
    <w:rsid w:val="00954D4C"/>
    <w:rsid w:val="0096555D"/>
    <w:rsid w:val="009851FF"/>
    <w:rsid w:val="009B41F7"/>
    <w:rsid w:val="009C70C7"/>
    <w:rsid w:val="009D5384"/>
    <w:rsid w:val="009D663E"/>
    <w:rsid w:val="009D7F99"/>
    <w:rsid w:val="009F6DB7"/>
    <w:rsid w:val="00A00952"/>
    <w:rsid w:val="00A21ABE"/>
    <w:rsid w:val="00A327AD"/>
    <w:rsid w:val="00A360C4"/>
    <w:rsid w:val="00A531E0"/>
    <w:rsid w:val="00A75EAF"/>
    <w:rsid w:val="00A870D2"/>
    <w:rsid w:val="00AA7270"/>
    <w:rsid w:val="00AD24AB"/>
    <w:rsid w:val="00AE1514"/>
    <w:rsid w:val="00AE1ABA"/>
    <w:rsid w:val="00AE1F3D"/>
    <w:rsid w:val="00AF4C7D"/>
    <w:rsid w:val="00B03ED1"/>
    <w:rsid w:val="00B07917"/>
    <w:rsid w:val="00B3454F"/>
    <w:rsid w:val="00B43076"/>
    <w:rsid w:val="00B62C00"/>
    <w:rsid w:val="00B74E17"/>
    <w:rsid w:val="00B86807"/>
    <w:rsid w:val="00BA1B4C"/>
    <w:rsid w:val="00BA3EA4"/>
    <w:rsid w:val="00BB37D6"/>
    <w:rsid w:val="00BC5761"/>
    <w:rsid w:val="00C31DAF"/>
    <w:rsid w:val="00C34E85"/>
    <w:rsid w:val="00C35B12"/>
    <w:rsid w:val="00C4326B"/>
    <w:rsid w:val="00C77F20"/>
    <w:rsid w:val="00C952C2"/>
    <w:rsid w:val="00CC34E5"/>
    <w:rsid w:val="00CC40BE"/>
    <w:rsid w:val="00CC6C22"/>
    <w:rsid w:val="00CC7B48"/>
    <w:rsid w:val="00CD6FA6"/>
    <w:rsid w:val="00D16777"/>
    <w:rsid w:val="00D24026"/>
    <w:rsid w:val="00D41880"/>
    <w:rsid w:val="00D42552"/>
    <w:rsid w:val="00D446C0"/>
    <w:rsid w:val="00D54751"/>
    <w:rsid w:val="00D650B5"/>
    <w:rsid w:val="00D87181"/>
    <w:rsid w:val="00D931B9"/>
    <w:rsid w:val="00DB5EEF"/>
    <w:rsid w:val="00DC782E"/>
    <w:rsid w:val="00DD4793"/>
    <w:rsid w:val="00DF70DC"/>
    <w:rsid w:val="00E14644"/>
    <w:rsid w:val="00E54FF3"/>
    <w:rsid w:val="00E84BF8"/>
    <w:rsid w:val="00E94F46"/>
    <w:rsid w:val="00EE3AC4"/>
    <w:rsid w:val="00EF05C3"/>
    <w:rsid w:val="00F227AF"/>
    <w:rsid w:val="00F422B0"/>
    <w:rsid w:val="00F43E57"/>
    <w:rsid w:val="00F457CA"/>
    <w:rsid w:val="00F575AB"/>
    <w:rsid w:val="00F57FCA"/>
    <w:rsid w:val="00F77DC9"/>
    <w:rsid w:val="00F90B36"/>
    <w:rsid w:val="00FA3121"/>
    <w:rsid w:val="00FA76F9"/>
    <w:rsid w:val="00FE3E0C"/>
    <w:rsid w:val="00FE54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rsid w:val="00124DC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74FF"/>
    <w:pPr>
      <w:spacing w:before="100" w:beforeAutospacing="1" w:after="100" w:afterAutospacing="1"/>
    </w:pPr>
  </w:style>
  <w:style w:type="paragraph" w:styleId="BalloonText">
    <w:name w:val="Balloon Text"/>
    <w:basedOn w:val="Normal"/>
    <w:semiHidden/>
    <w:rsid w:val="009B41F7"/>
    <w:rPr>
      <w:rFonts w:ascii="Tahoma" w:hAnsi="Tahoma" w:cs="Tahoma"/>
      <w:sz w:val="16"/>
      <w:szCs w:val="16"/>
    </w:rPr>
  </w:style>
  <w:style w:type="character" w:styleId="CommentReference">
    <w:name w:val="annotation reference"/>
    <w:semiHidden/>
    <w:rsid w:val="0001199A"/>
    <w:rPr>
      <w:sz w:val="16"/>
      <w:szCs w:val="16"/>
    </w:rPr>
  </w:style>
  <w:style w:type="paragraph" w:styleId="CommentText">
    <w:name w:val="annotation text"/>
    <w:basedOn w:val="Normal"/>
    <w:semiHidden/>
    <w:rsid w:val="0001199A"/>
    <w:rPr>
      <w:sz w:val="20"/>
      <w:szCs w:val="20"/>
    </w:rPr>
  </w:style>
  <w:style w:type="paragraph" w:styleId="CommentSubject">
    <w:name w:val="annotation subject"/>
    <w:basedOn w:val="CommentText"/>
    <w:next w:val="CommentText"/>
    <w:semiHidden/>
    <w:rsid w:val="0001199A"/>
    <w:rPr>
      <w:b/>
      <w:bCs/>
    </w:rPr>
  </w:style>
  <w:style w:type="paragraph" w:styleId="ListParagraph">
    <w:name w:val="List Paragraph"/>
    <w:basedOn w:val="Normal"/>
    <w:uiPriority w:val="34"/>
    <w:qFormat/>
    <w:rsid w:val="00A75EAF"/>
    <w:pPr>
      <w:ind w:left="720"/>
    </w:pPr>
  </w:style>
  <w:style w:type="character" w:customStyle="1" w:styleId="Heading2Char">
    <w:name w:val="Heading 2 Char"/>
    <w:link w:val="Heading2"/>
    <w:semiHidden/>
    <w:rsid w:val="00124DCC"/>
    <w:rPr>
      <w:rFonts w:ascii="Cambria" w:eastAsia="Times New Roman" w:hAnsi="Cambria" w:cs="Times New Roman"/>
      <w:b/>
      <w:bCs/>
      <w:i/>
      <w:iCs/>
      <w:sz w:val="28"/>
      <w:szCs w:val="28"/>
      <w:lang w:val="en-US" w:eastAsia="en-US"/>
    </w:rPr>
  </w:style>
  <w:style w:type="table" w:styleId="LightShading-Accent1">
    <w:name w:val="Light Shading Accent 1"/>
    <w:basedOn w:val="TableNormal"/>
    <w:uiPriority w:val="60"/>
    <w:rsid w:val="00790B37"/>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790B37"/>
    <w:rPr>
      <w:color w:val="0000FF" w:themeColor="hyperlink"/>
      <w:u w:val="single"/>
    </w:rPr>
  </w:style>
  <w:style w:type="table" w:styleId="TableGrid">
    <w:name w:val="Table Grid"/>
    <w:basedOn w:val="TableNormal"/>
    <w:rsid w:val="0079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90B37"/>
    <w:pPr>
      <w:tabs>
        <w:tab w:val="center" w:pos="4513"/>
        <w:tab w:val="right" w:pos="9026"/>
      </w:tabs>
    </w:pPr>
  </w:style>
  <w:style w:type="character" w:customStyle="1" w:styleId="HeaderChar">
    <w:name w:val="Header Char"/>
    <w:basedOn w:val="DefaultParagraphFont"/>
    <w:link w:val="Header"/>
    <w:rsid w:val="00790B37"/>
    <w:rPr>
      <w:sz w:val="24"/>
      <w:szCs w:val="24"/>
      <w:lang w:val="en-US" w:eastAsia="en-US"/>
    </w:rPr>
  </w:style>
  <w:style w:type="paragraph" w:styleId="Footer">
    <w:name w:val="footer"/>
    <w:basedOn w:val="Normal"/>
    <w:link w:val="FooterChar"/>
    <w:uiPriority w:val="99"/>
    <w:rsid w:val="00790B37"/>
    <w:pPr>
      <w:tabs>
        <w:tab w:val="center" w:pos="4513"/>
        <w:tab w:val="right" w:pos="9026"/>
      </w:tabs>
    </w:pPr>
  </w:style>
  <w:style w:type="character" w:customStyle="1" w:styleId="FooterChar">
    <w:name w:val="Footer Char"/>
    <w:basedOn w:val="DefaultParagraphFont"/>
    <w:link w:val="Footer"/>
    <w:uiPriority w:val="99"/>
    <w:rsid w:val="00790B3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rsid w:val="00124DC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74FF"/>
    <w:pPr>
      <w:spacing w:before="100" w:beforeAutospacing="1" w:after="100" w:afterAutospacing="1"/>
    </w:pPr>
  </w:style>
  <w:style w:type="paragraph" w:styleId="BalloonText">
    <w:name w:val="Balloon Text"/>
    <w:basedOn w:val="Normal"/>
    <w:semiHidden/>
    <w:rsid w:val="009B41F7"/>
    <w:rPr>
      <w:rFonts w:ascii="Tahoma" w:hAnsi="Tahoma" w:cs="Tahoma"/>
      <w:sz w:val="16"/>
      <w:szCs w:val="16"/>
    </w:rPr>
  </w:style>
  <w:style w:type="character" w:styleId="CommentReference">
    <w:name w:val="annotation reference"/>
    <w:semiHidden/>
    <w:rsid w:val="0001199A"/>
    <w:rPr>
      <w:sz w:val="16"/>
      <w:szCs w:val="16"/>
    </w:rPr>
  </w:style>
  <w:style w:type="paragraph" w:styleId="CommentText">
    <w:name w:val="annotation text"/>
    <w:basedOn w:val="Normal"/>
    <w:semiHidden/>
    <w:rsid w:val="0001199A"/>
    <w:rPr>
      <w:sz w:val="20"/>
      <w:szCs w:val="20"/>
    </w:rPr>
  </w:style>
  <w:style w:type="paragraph" w:styleId="CommentSubject">
    <w:name w:val="annotation subject"/>
    <w:basedOn w:val="CommentText"/>
    <w:next w:val="CommentText"/>
    <w:semiHidden/>
    <w:rsid w:val="0001199A"/>
    <w:rPr>
      <w:b/>
      <w:bCs/>
    </w:rPr>
  </w:style>
  <w:style w:type="paragraph" w:styleId="ListParagraph">
    <w:name w:val="List Paragraph"/>
    <w:basedOn w:val="Normal"/>
    <w:uiPriority w:val="34"/>
    <w:qFormat/>
    <w:rsid w:val="00A75EAF"/>
    <w:pPr>
      <w:ind w:left="720"/>
    </w:pPr>
  </w:style>
  <w:style w:type="character" w:customStyle="1" w:styleId="Heading2Char">
    <w:name w:val="Heading 2 Char"/>
    <w:link w:val="Heading2"/>
    <w:semiHidden/>
    <w:rsid w:val="00124DCC"/>
    <w:rPr>
      <w:rFonts w:ascii="Cambria" w:eastAsia="Times New Roman" w:hAnsi="Cambria" w:cs="Times New Roman"/>
      <w:b/>
      <w:bCs/>
      <w:i/>
      <w:iCs/>
      <w:sz w:val="28"/>
      <w:szCs w:val="28"/>
      <w:lang w:val="en-US" w:eastAsia="en-US"/>
    </w:rPr>
  </w:style>
  <w:style w:type="table" w:styleId="LightShading-Accent1">
    <w:name w:val="Light Shading Accent 1"/>
    <w:basedOn w:val="TableNormal"/>
    <w:uiPriority w:val="60"/>
    <w:rsid w:val="00790B37"/>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790B37"/>
    <w:rPr>
      <w:color w:val="0000FF" w:themeColor="hyperlink"/>
      <w:u w:val="single"/>
    </w:rPr>
  </w:style>
  <w:style w:type="table" w:styleId="TableGrid">
    <w:name w:val="Table Grid"/>
    <w:basedOn w:val="TableNormal"/>
    <w:rsid w:val="0079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90B37"/>
    <w:pPr>
      <w:tabs>
        <w:tab w:val="center" w:pos="4513"/>
        <w:tab w:val="right" w:pos="9026"/>
      </w:tabs>
    </w:pPr>
  </w:style>
  <w:style w:type="character" w:customStyle="1" w:styleId="HeaderChar">
    <w:name w:val="Header Char"/>
    <w:basedOn w:val="DefaultParagraphFont"/>
    <w:link w:val="Header"/>
    <w:rsid w:val="00790B37"/>
    <w:rPr>
      <w:sz w:val="24"/>
      <w:szCs w:val="24"/>
      <w:lang w:val="en-US" w:eastAsia="en-US"/>
    </w:rPr>
  </w:style>
  <w:style w:type="paragraph" w:styleId="Footer">
    <w:name w:val="footer"/>
    <w:basedOn w:val="Normal"/>
    <w:link w:val="FooterChar"/>
    <w:uiPriority w:val="99"/>
    <w:rsid w:val="00790B37"/>
    <w:pPr>
      <w:tabs>
        <w:tab w:val="center" w:pos="4513"/>
        <w:tab w:val="right" w:pos="9026"/>
      </w:tabs>
    </w:pPr>
  </w:style>
  <w:style w:type="character" w:customStyle="1" w:styleId="FooterChar">
    <w:name w:val="Footer Char"/>
    <w:basedOn w:val="DefaultParagraphFont"/>
    <w:link w:val="Footer"/>
    <w:uiPriority w:val="99"/>
    <w:rsid w:val="00790B3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463">
      <w:bodyDiv w:val="1"/>
      <w:marLeft w:val="0"/>
      <w:marRight w:val="0"/>
      <w:marTop w:val="0"/>
      <w:marBottom w:val="0"/>
      <w:divBdr>
        <w:top w:val="none" w:sz="0" w:space="0" w:color="auto"/>
        <w:left w:val="none" w:sz="0" w:space="0" w:color="auto"/>
        <w:bottom w:val="none" w:sz="0" w:space="0" w:color="auto"/>
        <w:right w:val="none" w:sz="0" w:space="0" w:color="auto"/>
      </w:divBdr>
      <w:divsChild>
        <w:div w:id="1433892956">
          <w:marLeft w:val="0"/>
          <w:marRight w:val="0"/>
          <w:marTop w:val="0"/>
          <w:marBottom w:val="0"/>
          <w:divBdr>
            <w:top w:val="none" w:sz="0" w:space="0" w:color="auto"/>
            <w:left w:val="none" w:sz="0" w:space="0" w:color="auto"/>
            <w:bottom w:val="none" w:sz="0" w:space="0" w:color="auto"/>
            <w:right w:val="none" w:sz="0" w:space="0" w:color="auto"/>
          </w:divBdr>
          <w:divsChild>
            <w:div w:id="146015801">
              <w:marLeft w:val="0"/>
              <w:marRight w:val="0"/>
              <w:marTop w:val="0"/>
              <w:marBottom w:val="0"/>
              <w:divBdr>
                <w:top w:val="none" w:sz="0" w:space="0" w:color="auto"/>
                <w:left w:val="none" w:sz="0" w:space="0" w:color="auto"/>
                <w:bottom w:val="none" w:sz="0" w:space="0" w:color="auto"/>
                <w:right w:val="none" w:sz="0" w:space="0" w:color="auto"/>
              </w:divBdr>
              <w:divsChild>
                <w:div w:id="383141259">
                  <w:marLeft w:val="0"/>
                  <w:marRight w:val="0"/>
                  <w:marTop w:val="0"/>
                  <w:marBottom w:val="0"/>
                  <w:divBdr>
                    <w:top w:val="none" w:sz="0" w:space="0" w:color="auto"/>
                    <w:left w:val="none" w:sz="0" w:space="0" w:color="auto"/>
                    <w:bottom w:val="none" w:sz="0" w:space="0" w:color="auto"/>
                    <w:right w:val="none" w:sz="0" w:space="0" w:color="auto"/>
                  </w:divBdr>
                  <w:divsChild>
                    <w:div w:id="550507121">
                      <w:marLeft w:val="0"/>
                      <w:marRight w:val="0"/>
                      <w:marTop w:val="0"/>
                      <w:marBottom w:val="0"/>
                      <w:divBdr>
                        <w:top w:val="none" w:sz="0" w:space="0" w:color="auto"/>
                        <w:left w:val="none" w:sz="0" w:space="0" w:color="auto"/>
                        <w:bottom w:val="none" w:sz="0" w:space="0" w:color="auto"/>
                        <w:right w:val="none" w:sz="0" w:space="0" w:color="auto"/>
                      </w:divBdr>
                      <w:divsChild>
                        <w:div w:id="181016815">
                          <w:marLeft w:val="0"/>
                          <w:marRight w:val="0"/>
                          <w:marTop w:val="0"/>
                          <w:marBottom w:val="0"/>
                          <w:divBdr>
                            <w:top w:val="none" w:sz="0" w:space="0" w:color="auto"/>
                            <w:left w:val="none" w:sz="0" w:space="0" w:color="auto"/>
                            <w:bottom w:val="none" w:sz="0" w:space="0" w:color="auto"/>
                            <w:right w:val="none" w:sz="0" w:space="0" w:color="auto"/>
                          </w:divBdr>
                          <w:divsChild>
                            <w:div w:id="1145585342">
                              <w:marLeft w:val="0"/>
                              <w:marRight w:val="0"/>
                              <w:marTop w:val="0"/>
                              <w:marBottom w:val="0"/>
                              <w:divBdr>
                                <w:top w:val="none" w:sz="0" w:space="0" w:color="auto"/>
                                <w:left w:val="none" w:sz="0" w:space="0" w:color="auto"/>
                                <w:bottom w:val="none" w:sz="0" w:space="0" w:color="auto"/>
                                <w:right w:val="none" w:sz="0" w:space="0" w:color="auto"/>
                              </w:divBdr>
                              <w:divsChild>
                                <w:div w:id="170533312">
                                  <w:marLeft w:val="0"/>
                                  <w:marRight w:val="0"/>
                                  <w:marTop w:val="0"/>
                                  <w:marBottom w:val="0"/>
                                  <w:divBdr>
                                    <w:top w:val="none" w:sz="0" w:space="0" w:color="auto"/>
                                    <w:left w:val="none" w:sz="0" w:space="0" w:color="auto"/>
                                    <w:bottom w:val="none" w:sz="0" w:space="0" w:color="auto"/>
                                    <w:right w:val="none" w:sz="0" w:space="0" w:color="auto"/>
                                  </w:divBdr>
                                  <w:divsChild>
                                    <w:div w:id="2085950999">
                                      <w:marLeft w:val="0"/>
                                      <w:marRight w:val="0"/>
                                      <w:marTop w:val="0"/>
                                      <w:marBottom w:val="0"/>
                                      <w:divBdr>
                                        <w:top w:val="none" w:sz="0" w:space="0" w:color="auto"/>
                                        <w:left w:val="none" w:sz="0" w:space="0" w:color="auto"/>
                                        <w:bottom w:val="none" w:sz="0" w:space="0" w:color="auto"/>
                                        <w:right w:val="none" w:sz="0" w:space="0" w:color="auto"/>
                                      </w:divBdr>
                                      <w:divsChild>
                                        <w:div w:id="563178190">
                                          <w:marLeft w:val="0"/>
                                          <w:marRight w:val="0"/>
                                          <w:marTop w:val="0"/>
                                          <w:marBottom w:val="0"/>
                                          <w:divBdr>
                                            <w:top w:val="none" w:sz="0" w:space="0" w:color="auto"/>
                                            <w:left w:val="none" w:sz="0" w:space="0" w:color="auto"/>
                                            <w:bottom w:val="none" w:sz="0" w:space="0" w:color="auto"/>
                                            <w:right w:val="none" w:sz="0" w:space="0" w:color="auto"/>
                                          </w:divBdr>
                                          <w:divsChild>
                                            <w:div w:id="1068918168">
                                              <w:marLeft w:val="0"/>
                                              <w:marRight w:val="0"/>
                                              <w:marTop w:val="0"/>
                                              <w:marBottom w:val="0"/>
                                              <w:divBdr>
                                                <w:top w:val="none" w:sz="0" w:space="0" w:color="auto"/>
                                                <w:left w:val="none" w:sz="0" w:space="0" w:color="auto"/>
                                                <w:bottom w:val="none" w:sz="0" w:space="0" w:color="auto"/>
                                                <w:right w:val="none" w:sz="0" w:space="0" w:color="auto"/>
                                              </w:divBdr>
                                              <w:divsChild>
                                                <w:div w:id="842475287">
                                                  <w:marLeft w:val="0"/>
                                                  <w:marRight w:val="0"/>
                                                  <w:marTop w:val="0"/>
                                                  <w:marBottom w:val="0"/>
                                                  <w:divBdr>
                                                    <w:top w:val="none" w:sz="0" w:space="0" w:color="auto"/>
                                                    <w:left w:val="none" w:sz="0" w:space="0" w:color="auto"/>
                                                    <w:bottom w:val="none" w:sz="0" w:space="0" w:color="auto"/>
                                                    <w:right w:val="none" w:sz="0" w:space="0" w:color="auto"/>
                                                  </w:divBdr>
                                                  <w:divsChild>
                                                    <w:div w:id="1765879142">
                                                      <w:marLeft w:val="0"/>
                                                      <w:marRight w:val="0"/>
                                                      <w:marTop w:val="0"/>
                                                      <w:marBottom w:val="0"/>
                                                      <w:divBdr>
                                                        <w:top w:val="none" w:sz="0" w:space="0" w:color="auto"/>
                                                        <w:left w:val="none" w:sz="0" w:space="0" w:color="auto"/>
                                                        <w:bottom w:val="none" w:sz="0" w:space="0" w:color="auto"/>
                                                        <w:right w:val="none" w:sz="0" w:space="0" w:color="auto"/>
                                                      </w:divBdr>
                                                      <w:divsChild>
                                                        <w:div w:id="580987603">
                                                          <w:marLeft w:val="0"/>
                                                          <w:marRight w:val="0"/>
                                                          <w:marTop w:val="0"/>
                                                          <w:marBottom w:val="0"/>
                                                          <w:divBdr>
                                                            <w:top w:val="none" w:sz="0" w:space="0" w:color="auto"/>
                                                            <w:left w:val="none" w:sz="0" w:space="0" w:color="auto"/>
                                                            <w:bottom w:val="none" w:sz="0" w:space="0" w:color="auto"/>
                                                            <w:right w:val="none" w:sz="0" w:space="0" w:color="auto"/>
                                                          </w:divBdr>
                                                          <w:divsChild>
                                                            <w:div w:id="1501966487">
                                                              <w:marLeft w:val="0"/>
                                                              <w:marRight w:val="0"/>
                                                              <w:marTop w:val="0"/>
                                                              <w:marBottom w:val="0"/>
                                                              <w:divBdr>
                                                                <w:top w:val="none" w:sz="0" w:space="0" w:color="auto"/>
                                                                <w:left w:val="none" w:sz="0" w:space="0" w:color="auto"/>
                                                                <w:bottom w:val="none" w:sz="0" w:space="0" w:color="auto"/>
                                                                <w:right w:val="none" w:sz="0" w:space="0" w:color="auto"/>
                                                              </w:divBdr>
                                                              <w:divsChild>
                                                                <w:div w:id="770011353">
                                                                  <w:marLeft w:val="0"/>
                                                                  <w:marRight w:val="0"/>
                                                                  <w:marTop w:val="0"/>
                                                                  <w:marBottom w:val="0"/>
                                                                  <w:divBdr>
                                                                    <w:top w:val="none" w:sz="0" w:space="0" w:color="auto"/>
                                                                    <w:left w:val="none" w:sz="0" w:space="0" w:color="auto"/>
                                                                    <w:bottom w:val="none" w:sz="0" w:space="0" w:color="auto"/>
                                                                    <w:right w:val="none" w:sz="0" w:space="0" w:color="auto"/>
                                                                  </w:divBdr>
                                                                  <w:divsChild>
                                                                    <w:div w:id="1754474763">
                                                                      <w:marLeft w:val="0"/>
                                                                      <w:marRight w:val="0"/>
                                                                      <w:marTop w:val="0"/>
                                                                      <w:marBottom w:val="0"/>
                                                                      <w:divBdr>
                                                                        <w:top w:val="none" w:sz="0" w:space="0" w:color="auto"/>
                                                                        <w:left w:val="none" w:sz="0" w:space="0" w:color="auto"/>
                                                                        <w:bottom w:val="none" w:sz="0" w:space="0" w:color="auto"/>
                                                                        <w:right w:val="none" w:sz="0" w:space="0" w:color="auto"/>
                                                                      </w:divBdr>
                                                                      <w:divsChild>
                                                                        <w:div w:id="1018847995">
                                                                          <w:marLeft w:val="0"/>
                                                                          <w:marRight w:val="0"/>
                                                                          <w:marTop w:val="0"/>
                                                                          <w:marBottom w:val="0"/>
                                                                          <w:divBdr>
                                                                            <w:top w:val="none" w:sz="0" w:space="0" w:color="auto"/>
                                                                            <w:left w:val="none" w:sz="0" w:space="0" w:color="auto"/>
                                                                            <w:bottom w:val="none" w:sz="0" w:space="0" w:color="auto"/>
                                                                            <w:right w:val="none" w:sz="0" w:space="0" w:color="auto"/>
                                                                          </w:divBdr>
                                                                          <w:divsChild>
                                                                            <w:div w:id="334841572">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242362">
      <w:bodyDiv w:val="1"/>
      <w:marLeft w:val="0"/>
      <w:marRight w:val="0"/>
      <w:marTop w:val="0"/>
      <w:marBottom w:val="0"/>
      <w:divBdr>
        <w:top w:val="none" w:sz="0" w:space="0" w:color="auto"/>
        <w:left w:val="none" w:sz="0" w:space="0" w:color="auto"/>
        <w:bottom w:val="none" w:sz="0" w:space="0" w:color="auto"/>
        <w:right w:val="none" w:sz="0" w:space="0" w:color="auto"/>
      </w:divBdr>
    </w:div>
    <w:div w:id="973221054">
      <w:bodyDiv w:val="1"/>
      <w:marLeft w:val="0"/>
      <w:marRight w:val="0"/>
      <w:marTop w:val="0"/>
      <w:marBottom w:val="0"/>
      <w:divBdr>
        <w:top w:val="none" w:sz="0" w:space="0" w:color="auto"/>
        <w:left w:val="none" w:sz="0" w:space="0" w:color="auto"/>
        <w:bottom w:val="none" w:sz="0" w:space="0" w:color="auto"/>
        <w:right w:val="none" w:sz="0" w:space="0" w:color="auto"/>
      </w:divBdr>
    </w:div>
    <w:div w:id="105343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futurehf" TargetMode="External"/><Relationship Id="rId18" Type="http://schemas.openxmlformats.org/officeDocument/2006/relationships/hyperlink" Target="http://www.start-network.org/how/start-fund/" TargetMode="External"/><Relationship Id="rId3" Type="http://schemas.openxmlformats.org/officeDocument/2006/relationships/styles" Target="styles.xml"/><Relationship Id="rId21" Type="http://schemas.openxmlformats.org/officeDocument/2006/relationships/hyperlink" Target="http://mptf.undp.org/" TargetMode="External"/><Relationship Id="rId7" Type="http://schemas.openxmlformats.org/officeDocument/2006/relationships/footnotes" Target="footnotes.xml"/><Relationship Id="rId12" Type="http://schemas.openxmlformats.org/officeDocument/2006/relationships/hyperlink" Target="https://twitter.com/FutureHF" TargetMode="External"/><Relationship Id="rId17" Type="http://schemas.openxmlformats.org/officeDocument/2006/relationships/hyperlink" Target="http://www.dfa.gov.ph/index.php/2013-06-27-21-50-36/dfa-releases/4303-disaster-response-dialogue-global-conference-opens-in-manil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frc.org/what-we-do/disaster-law/disaster-law-events/disaster-response-dialogue-conference/" TargetMode="External"/><Relationship Id="rId20" Type="http://schemas.openxmlformats.org/officeDocument/2006/relationships/hyperlink" Target="http://www.odi.org/publications/7955-dare-prepare-taking-risk-serious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uturehumanitarianfinancing.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rdinitiative.org/v2/" TargetMode="External"/><Relationship Id="rId23" Type="http://schemas.openxmlformats.org/officeDocument/2006/relationships/footer" Target="footer1.xml"/><Relationship Id="rId10" Type="http://schemas.openxmlformats.org/officeDocument/2006/relationships/hyperlink" Target="http://www.worldhumanitariansummit.org/node/449459" TargetMode="External"/><Relationship Id="rId19" Type="http://schemas.openxmlformats.org/officeDocument/2006/relationships/hyperlink" Target="http://www.unocha.org/saving-lives" TargetMode="External"/><Relationship Id="rId4" Type="http://schemas.microsoft.com/office/2007/relationships/stylesWithEffects" Target="stylesWithEffects.xml"/><Relationship Id="rId9" Type="http://schemas.openxmlformats.org/officeDocument/2006/relationships/hyperlink" Target="http://www.worldhumanitariansummit.org/node/449453" TargetMode="External"/><Relationship Id="rId14" Type="http://schemas.openxmlformats.org/officeDocument/2006/relationships/hyperlink" Target="http://www.surveymonkey.com/s/6GM3CZH" TargetMode="External"/><Relationship Id="rId22" Type="http://schemas.openxmlformats.org/officeDocument/2006/relationships/hyperlink" Target="http://www.globalhumanitarianassistance.org/wp-content/uploads/2013/08/private-funding-2013-onlin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932BD-63A1-49D6-BB6D-F318129B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3613</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Note to the Secretary-General</vt:lpstr>
    </vt:vector>
  </TitlesOfParts>
  <Company>United Nations</Company>
  <LinksUpToDate>false</LinksUpToDate>
  <CharactersWithSpaces>24165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the Secretary-General</dc:title>
  <dc:creator>OCHA.Staff</dc:creator>
  <cp:lastModifiedBy>Nicolas Rost</cp:lastModifiedBy>
  <cp:revision>3</cp:revision>
  <cp:lastPrinted>2014-11-05T18:23:00Z</cp:lastPrinted>
  <dcterms:created xsi:type="dcterms:W3CDTF">2015-02-18T21:26:00Z</dcterms:created>
  <dcterms:modified xsi:type="dcterms:W3CDTF">2015-02-18T21:26:00Z</dcterms:modified>
</cp:coreProperties>
</file>