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C" w:rsidRPr="006E7067" w:rsidRDefault="008233CC" w:rsidP="00CE1C01">
      <w:pPr>
        <w:pStyle w:val="Body"/>
        <w:spacing w:line="240" w:lineRule="auto"/>
        <w:rPr>
          <w:sz w:val="24"/>
          <w:szCs w:val="24"/>
          <w:lang w:val="en-GB"/>
        </w:rPr>
      </w:pPr>
      <w:bookmarkStart w:id="0" w:name="_GoBack"/>
      <w:bookmarkEnd w:id="0"/>
    </w:p>
    <w:p w:rsidR="008233CC" w:rsidRPr="006E7067" w:rsidRDefault="008233CC" w:rsidP="00CE1C01">
      <w:pPr>
        <w:pStyle w:val="Body"/>
        <w:spacing w:line="240" w:lineRule="auto"/>
        <w:jc w:val="center"/>
        <w:rPr>
          <w:rFonts w:asciiTheme="majorHAnsi" w:hAnsiTheme="majorHAnsi" w:cs="Times New Roman"/>
          <w:smallCaps/>
          <w:sz w:val="24"/>
          <w:szCs w:val="24"/>
          <w:lang w:val="en-GB"/>
        </w:rPr>
      </w:pPr>
      <w:r w:rsidRPr="006E7067">
        <w:rPr>
          <w:rFonts w:asciiTheme="majorHAnsi" w:hAnsiTheme="majorHAnsi" w:cs="Times New Roman"/>
          <w:smallCaps/>
          <w:sz w:val="24"/>
          <w:szCs w:val="24"/>
          <w:lang w:val="en-GB"/>
        </w:rPr>
        <w:t xml:space="preserve">Inter-Agency Standing Committee </w:t>
      </w:r>
    </w:p>
    <w:p w:rsidR="008233CC" w:rsidRPr="006E7067" w:rsidRDefault="006B13E9" w:rsidP="00CE1C01">
      <w:pPr>
        <w:pStyle w:val="Body"/>
        <w:spacing w:line="240" w:lineRule="auto"/>
        <w:jc w:val="center"/>
        <w:rPr>
          <w:rFonts w:asciiTheme="majorHAnsi" w:hAnsiTheme="majorHAnsi" w:cs="Times New Roman"/>
          <w:smallCaps/>
          <w:sz w:val="24"/>
          <w:szCs w:val="24"/>
          <w:lang w:val="en-GB"/>
        </w:rPr>
      </w:pPr>
      <w:r w:rsidRPr="006E7067">
        <w:rPr>
          <w:rFonts w:asciiTheme="majorHAnsi" w:hAnsiTheme="majorHAnsi" w:cs="Times New Roman"/>
          <w:smallCaps/>
          <w:sz w:val="24"/>
          <w:szCs w:val="24"/>
          <w:lang w:val="en-GB"/>
        </w:rPr>
        <w:t xml:space="preserve">Ad Hoc </w:t>
      </w:r>
      <w:r w:rsidR="008233CC" w:rsidRPr="006E7067">
        <w:rPr>
          <w:rFonts w:asciiTheme="majorHAnsi" w:hAnsiTheme="majorHAnsi" w:cs="Times New Roman"/>
          <w:smallCaps/>
          <w:sz w:val="24"/>
          <w:szCs w:val="24"/>
          <w:lang w:val="en-GB"/>
        </w:rPr>
        <w:t>IASC Working Group Meeting</w:t>
      </w:r>
    </w:p>
    <w:p w:rsidR="008233CC" w:rsidRPr="006E7067" w:rsidRDefault="008124A6" w:rsidP="00CE1C01">
      <w:pPr>
        <w:pStyle w:val="Body"/>
        <w:spacing w:before="240" w:after="200" w:line="240" w:lineRule="auto"/>
        <w:jc w:val="center"/>
        <w:rPr>
          <w:rFonts w:asciiTheme="majorHAnsi" w:eastAsia="Trebuchet MS Bold" w:hAnsiTheme="majorHAnsi" w:cs="Times New Roman"/>
          <w:color w:val="1F497D"/>
          <w:sz w:val="24"/>
          <w:szCs w:val="24"/>
          <w:u w:color="1F497D"/>
          <w:lang w:val="en-GB"/>
        </w:rPr>
      </w:pPr>
      <w:r>
        <w:rPr>
          <w:rFonts w:asciiTheme="majorHAnsi" w:hAnsiTheme="majorHAnsi" w:cs="Times New Roman"/>
          <w:color w:val="1F497D"/>
          <w:sz w:val="24"/>
          <w:szCs w:val="24"/>
          <w:u w:color="1F497D"/>
          <w:lang w:val="en-GB"/>
        </w:rPr>
        <w:t>Final</w:t>
      </w:r>
      <w:r w:rsidR="003F6A7B" w:rsidRPr="006E7067">
        <w:rPr>
          <w:rFonts w:asciiTheme="majorHAnsi" w:hAnsiTheme="majorHAnsi" w:cs="Times New Roman"/>
          <w:color w:val="1F497D"/>
          <w:sz w:val="24"/>
          <w:szCs w:val="24"/>
          <w:u w:color="1F497D"/>
          <w:lang w:val="en-GB"/>
        </w:rPr>
        <w:t xml:space="preserve"> </w:t>
      </w:r>
      <w:r w:rsidR="008233CC" w:rsidRPr="006E7067">
        <w:rPr>
          <w:rFonts w:asciiTheme="majorHAnsi" w:hAnsiTheme="majorHAnsi" w:cs="Times New Roman"/>
          <w:color w:val="1F497D"/>
          <w:sz w:val="24"/>
          <w:szCs w:val="24"/>
          <w:u w:color="1F497D"/>
          <w:lang w:val="en-GB"/>
        </w:rPr>
        <w:t>Summary Record</w:t>
      </w:r>
    </w:p>
    <w:p w:rsidR="008233CC" w:rsidRPr="006E7067" w:rsidRDefault="00F211DD" w:rsidP="00CE1C01">
      <w:pPr>
        <w:pStyle w:val="Body"/>
        <w:spacing w:line="240" w:lineRule="auto"/>
        <w:jc w:val="center"/>
        <w:rPr>
          <w:rFonts w:asciiTheme="majorHAnsi" w:hAnsiTheme="majorHAnsi" w:cs="Times New Roman"/>
          <w:sz w:val="24"/>
          <w:szCs w:val="24"/>
          <w:lang w:val="en-GB"/>
        </w:rPr>
      </w:pPr>
      <w:r w:rsidRPr="006E7067">
        <w:rPr>
          <w:rFonts w:asciiTheme="majorHAnsi" w:hAnsiTheme="majorHAnsi" w:cs="Times New Roman"/>
          <w:sz w:val="24"/>
          <w:szCs w:val="24"/>
          <w:lang w:val="en-GB"/>
        </w:rPr>
        <w:t>26 June 2015</w:t>
      </w:r>
    </w:p>
    <w:p w:rsidR="008233CC" w:rsidRPr="006E7067" w:rsidRDefault="006B13E9" w:rsidP="00CE1C01">
      <w:pPr>
        <w:pStyle w:val="Body"/>
        <w:spacing w:line="240" w:lineRule="auto"/>
        <w:jc w:val="center"/>
        <w:rPr>
          <w:rFonts w:asciiTheme="majorHAnsi" w:hAnsiTheme="majorHAnsi" w:cs="Times New Roman"/>
          <w:sz w:val="24"/>
          <w:szCs w:val="24"/>
          <w:lang w:val="en-GB"/>
        </w:rPr>
      </w:pPr>
      <w:r w:rsidRPr="006E7067">
        <w:rPr>
          <w:rFonts w:asciiTheme="majorHAnsi" w:hAnsiTheme="majorHAnsi" w:cs="Times New Roman"/>
          <w:sz w:val="24"/>
          <w:szCs w:val="24"/>
          <w:lang w:val="en-GB"/>
        </w:rPr>
        <w:t>Audio/Video</w:t>
      </w:r>
      <w:r w:rsidR="006D6646" w:rsidRPr="006E7067">
        <w:rPr>
          <w:rFonts w:asciiTheme="majorHAnsi" w:hAnsiTheme="majorHAnsi" w:cs="Times New Roman"/>
          <w:sz w:val="24"/>
          <w:szCs w:val="24"/>
          <w:lang w:val="en-GB"/>
        </w:rPr>
        <w:t xml:space="preserve"> </w:t>
      </w:r>
      <w:r w:rsidRPr="006E7067">
        <w:rPr>
          <w:rFonts w:asciiTheme="majorHAnsi" w:hAnsiTheme="majorHAnsi" w:cs="Times New Roman"/>
          <w:sz w:val="24"/>
          <w:szCs w:val="24"/>
          <w:lang w:val="en-GB"/>
        </w:rPr>
        <w:t>conference</w:t>
      </w:r>
    </w:p>
    <w:p w:rsidR="008233CC" w:rsidRPr="006E7067" w:rsidRDefault="008233CC" w:rsidP="00CE1C01">
      <w:pPr>
        <w:pStyle w:val="Body"/>
        <w:spacing w:line="240" w:lineRule="auto"/>
        <w:rPr>
          <w:rFonts w:asciiTheme="majorHAnsi" w:hAnsiTheme="majorHAnsi" w:cs="Times New Roman"/>
          <w:sz w:val="24"/>
          <w:szCs w:val="24"/>
          <w:lang w:val="en-GB"/>
        </w:rPr>
      </w:pPr>
    </w:p>
    <w:p w:rsidR="008233CC" w:rsidRPr="006E7067" w:rsidRDefault="008233CC" w:rsidP="00CE1C01">
      <w:pPr>
        <w:pStyle w:val="Body"/>
        <w:spacing w:line="240" w:lineRule="auto"/>
        <w:rPr>
          <w:rFonts w:asciiTheme="majorHAnsi" w:hAnsiTheme="majorHAnsi" w:cs="Times New Roman"/>
          <w:sz w:val="24"/>
          <w:szCs w:val="24"/>
          <w:lang w:val="en-GB"/>
        </w:rPr>
      </w:pPr>
    </w:p>
    <w:p w:rsidR="008233CC" w:rsidRPr="006E7067" w:rsidRDefault="008233CC" w:rsidP="00225F80">
      <w:pPr>
        <w:pStyle w:val="Heading"/>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Opening</w:t>
      </w:r>
    </w:p>
    <w:p w:rsidR="008233CC" w:rsidRPr="006E7067" w:rsidRDefault="008233CC" w:rsidP="00225F80">
      <w:pPr>
        <w:pStyle w:val="Body"/>
        <w:spacing w:line="240" w:lineRule="auto"/>
        <w:jc w:val="both"/>
        <w:rPr>
          <w:rFonts w:asciiTheme="majorHAnsi" w:hAnsiTheme="majorHAnsi" w:cs="Times New Roman"/>
          <w:sz w:val="24"/>
          <w:szCs w:val="24"/>
          <w:lang w:val="en-GB"/>
        </w:rPr>
      </w:pPr>
      <w:r w:rsidRPr="006E7067">
        <w:rPr>
          <w:rFonts w:asciiTheme="majorHAnsi" w:hAnsiTheme="majorHAnsi" w:cs="Times New Roman"/>
          <w:sz w:val="24"/>
          <w:szCs w:val="24"/>
          <w:lang w:val="en-GB"/>
        </w:rPr>
        <w:t>The Chair of the IASC WG, Kyung-</w:t>
      </w:r>
      <w:proofErr w:type="spellStart"/>
      <w:r w:rsidRPr="006E7067">
        <w:rPr>
          <w:rFonts w:asciiTheme="majorHAnsi" w:hAnsiTheme="majorHAnsi" w:cs="Times New Roman"/>
          <w:sz w:val="24"/>
          <w:szCs w:val="24"/>
          <w:lang w:val="en-GB"/>
        </w:rPr>
        <w:t>wha</w:t>
      </w:r>
      <w:proofErr w:type="spellEnd"/>
      <w:r w:rsidRPr="006E7067">
        <w:rPr>
          <w:rFonts w:asciiTheme="majorHAnsi" w:hAnsiTheme="majorHAnsi" w:cs="Times New Roman"/>
          <w:sz w:val="24"/>
          <w:szCs w:val="24"/>
          <w:lang w:val="en-GB"/>
        </w:rPr>
        <w:t xml:space="preserve"> Kang, </w:t>
      </w:r>
      <w:r w:rsidR="001E6BB7" w:rsidRPr="006E7067">
        <w:rPr>
          <w:rFonts w:asciiTheme="majorHAnsi" w:hAnsiTheme="majorHAnsi" w:cs="Times New Roman"/>
          <w:sz w:val="24"/>
          <w:szCs w:val="24"/>
          <w:lang w:val="en-GB"/>
        </w:rPr>
        <w:t>DERC</w:t>
      </w:r>
      <w:r w:rsidR="00E9604F" w:rsidRPr="006E7067">
        <w:rPr>
          <w:rFonts w:asciiTheme="majorHAnsi" w:hAnsiTheme="majorHAnsi" w:cs="Times New Roman"/>
          <w:sz w:val="24"/>
          <w:szCs w:val="24"/>
          <w:lang w:val="en-GB"/>
        </w:rPr>
        <w:t>/ASG OCHA</w:t>
      </w:r>
      <w:r w:rsidRPr="006E7067">
        <w:rPr>
          <w:rFonts w:asciiTheme="majorHAnsi" w:hAnsiTheme="majorHAnsi" w:cs="Times New Roman"/>
          <w:sz w:val="24"/>
          <w:szCs w:val="24"/>
          <w:lang w:val="en-GB"/>
        </w:rPr>
        <w:t xml:space="preserve">, welcomed participants </w:t>
      </w:r>
      <w:r w:rsidR="00C9298F" w:rsidRPr="006E7067">
        <w:rPr>
          <w:rFonts w:asciiTheme="majorHAnsi" w:hAnsiTheme="majorHAnsi" w:cs="Times New Roman"/>
          <w:sz w:val="24"/>
          <w:szCs w:val="24"/>
          <w:lang w:val="en-GB"/>
        </w:rPr>
        <w:t xml:space="preserve">to the Ad Hoc IASC WG </w:t>
      </w:r>
      <w:r w:rsidRPr="006E7067">
        <w:rPr>
          <w:rFonts w:asciiTheme="majorHAnsi" w:hAnsiTheme="majorHAnsi" w:cs="Times New Roman"/>
          <w:sz w:val="24"/>
          <w:szCs w:val="24"/>
          <w:lang w:val="en-GB"/>
        </w:rPr>
        <w:t xml:space="preserve">and </w:t>
      </w:r>
      <w:r w:rsidR="00C9298F" w:rsidRPr="006E7067">
        <w:rPr>
          <w:rFonts w:asciiTheme="majorHAnsi" w:hAnsiTheme="majorHAnsi" w:cs="Times New Roman"/>
          <w:sz w:val="24"/>
          <w:szCs w:val="24"/>
          <w:lang w:val="en-GB"/>
        </w:rPr>
        <w:t>introduced the items on the agenda</w:t>
      </w:r>
      <w:r w:rsidRPr="006E7067">
        <w:rPr>
          <w:rFonts w:asciiTheme="majorHAnsi" w:hAnsiTheme="majorHAnsi" w:cs="Times New Roman"/>
          <w:sz w:val="24"/>
          <w:szCs w:val="24"/>
          <w:lang w:val="en-GB"/>
        </w:rPr>
        <w:t xml:space="preserve">. </w:t>
      </w:r>
    </w:p>
    <w:p w:rsidR="00F211DD" w:rsidRPr="006E7067" w:rsidRDefault="00F211DD" w:rsidP="00225F80">
      <w:pPr>
        <w:pStyle w:val="NoSpacing"/>
        <w:jc w:val="both"/>
        <w:rPr>
          <w:rFonts w:asciiTheme="majorHAnsi" w:hAnsiTheme="majorHAnsi" w:cs="Times New Roman"/>
          <w:sz w:val="24"/>
          <w:szCs w:val="24"/>
          <w:lang w:val="en-US"/>
        </w:rPr>
      </w:pPr>
    </w:p>
    <w:p w:rsidR="00F211DD" w:rsidRPr="00A70AE4" w:rsidRDefault="00F211DD" w:rsidP="00225F80">
      <w:pPr>
        <w:pStyle w:val="Heading"/>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Review of the IASC Gender in Humanitarian Action Policy Statement</w:t>
      </w:r>
    </w:p>
    <w:p w:rsidR="00F211DD" w:rsidRPr="006E7067" w:rsidRDefault="00CD4589" w:rsidP="00225F80">
      <w:pPr>
        <w:pStyle w:val="Body"/>
        <w:spacing w:line="240" w:lineRule="auto"/>
        <w:jc w:val="both"/>
        <w:rPr>
          <w:rFonts w:asciiTheme="majorHAnsi" w:hAnsiTheme="majorHAnsi" w:cs="Times New Roman"/>
          <w:sz w:val="24"/>
          <w:szCs w:val="24"/>
        </w:rPr>
      </w:pPr>
      <w:r>
        <w:rPr>
          <w:rFonts w:asciiTheme="majorHAnsi" w:hAnsiTheme="majorHAnsi" w:cs="Times New Roman"/>
          <w:sz w:val="24"/>
          <w:szCs w:val="24"/>
        </w:rPr>
        <w:t>UN Women</w:t>
      </w:r>
      <w:r w:rsidR="00F211DD" w:rsidRPr="006E7067">
        <w:rPr>
          <w:rFonts w:asciiTheme="majorHAnsi" w:hAnsiTheme="majorHAnsi" w:cs="Times New Roman"/>
          <w:sz w:val="24"/>
          <w:szCs w:val="24"/>
        </w:rPr>
        <w:t xml:space="preserve"> presented on the review of the 2008 </w:t>
      </w:r>
      <w:r w:rsidR="00F211DD" w:rsidRPr="006E7067">
        <w:rPr>
          <w:rFonts w:asciiTheme="majorHAnsi" w:hAnsiTheme="majorHAnsi" w:cs="Times New Roman"/>
          <w:i/>
          <w:sz w:val="24"/>
          <w:szCs w:val="24"/>
        </w:rPr>
        <w:t>IASC Gender in Humanitarian Action Policy Statement</w:t>
      </w:r>
      <w:r w:rsidR="00F211DD" w:rsidRPr="006E7067">
        <w:rPr>
          <w:rFonts w:asciiTheme="majorHAnsi" w:hAnsiTheme="majorHAnsi" w:cs="Times New Roman"/>
          <w:sz w:val="24"/>
          <w:szCs w:val="24"/>
        </w:rPr>
        <w:t xml:space="preserve"> highlighting some positive achievements, as for example the establishment of </w:t>
      </w:r>
      <w:proofErr w:type="spellStart"/>
      <w:r w:rsidR="00F211DD" w:rsidRPr="006E7067">
        <w:rPr>
          <w:rFonts w:asciiTheme="majorHAnsi" w:hAnsiTheme="majorHAnsi" w:cs="Times New Roman"/>
          <w:sz w:val="24"/>
          <w:szCs w:val="24"/>
        </w:rPr>
        <w:t>GenCap</w:t>
      </w:r>
      <w:proofErr w:type="spellEnd"/>
      <w:r w:rsidR="00F211DD" w:rsidRPr="006E7067">
        <w:rPr>
          <w:rFonts w:asciiTheme="majorHAnsi" w:hAnsiTheme="majorHAnsi" w:cs="Times New Roman"/>
          <w:sz w:val="24"/>
          <w:szCs w:val="24"/>
        </w:rPr>
        <w:t xml:space="preserve">, the IASC Gender and </w:t>
      </w:r>
      <w:r w:rsidR="00F211DD" w:rsidRPr="006E7067">
        <w:rPr>
          <w:rFonts w:asciiTheme="majorHAnsi" w:hAnsiTheme="majorHAnsi" w:cs="Times New Roman"/>
          <w:sz w:val="24"/>
          <w:szCs w:val="24"/>
          <w:lang w:val="en-GB"/>
        </w:rPr>
        <w:t>Humanitarian</w:t>
      </w:r>
      <w:r w:rsidR="00F211DD" w:rsidRPr="006E7067">
        <w:rPr>
          <w:rFonts w:asciiTheme="majorHAnsi" w:hAnsiTheme="majorHAnsi" w:cs="Times New Roman"/>
          <w:sz w:val="24"/>
          <w:szCs w:val="24"/>
        </w:rPr>
        <w:t xml:space="preserve"> Action Handbook, GBV (Gender Based Violence) Guidelines, eLearning course, establishment and rollout of Gender Marker (GM) which is now mandatory to use in the Humanitarian Program Cycle, GM tip sheets, and IASC Gender Alerts. The review also identified significant shortcomings:</w:t>
      </w:r>
    </w:p>
    <w:p w:rsidR="006D6646" w:rsidRPr="006E7067" w:rsidRDefault="006D6646" w:rsidP="00225F80">
      <w:pPr>
        <w:pStyle w:val="Body"/>
        <w:spacing w:line="240" w:lineRule="auto"/>
        <w:jc w:val="both"/>
        <w:rPr>
          <w:rFonts w:asciiTheme="majorHAnsi" w:hAnsiTheme="majorHAnsi" w:cs="Times New Roman"/>
          <w:sz w:val="24"/>
          <w:szCs w:val="24"/>
        </w:rPr>
      </w:pPr>
    </w:p>
    <w:p w:rsidR="00EE2D66" w:rsidRDefault="00EE2D66" w:rsidP="00225F80">
      <w:pPr>
        <w:pStyle w:val="ListParagraph"/>
        <w:ind w:left="0"/>
        <w:jc w:val="both"/>
        <w:rPr>
          <w:rFonts w:asciiTheme="majorHAnsi" w:eastAsia="Cambria" w:hAnsiTheme="majorHAnsi" w:cs="Times New Roman"/>
        </w:rPr>
      </w:pPr>
      <w:r w:rsidRPr="00EE2D66">
        <w:rPr>
          <w:rFonts w:asciiTheme="majorHAnsi" w:eastAsia="Cambria" w:hAnsiTheme="majorHAnsi" w:cs="Times New Roman"/>
        </w:rPr>
        <w:t>Failure to develop the accountability framework originally prescribed in the policy has led to shortcomings in realizing the commitments to integrate gender equality and women’s empowerment across the work of t</w:t>
      </w:r>
      <w:r w:rsidR="007107D7">
        <w:rPr>
          <w:rFonts w:asciiTheme="majorHAnsi" w:eastAsia="Cambria" w:hAnsiTheme="majorHAnsi" w:cs="Times New Roman"/>
        </w:rPr>
        <w:t>he IASC – this is manifested by</w:t>
      </w:r>
      <w:r w:rsidRPr="00EE2D66">
        <w:rPr>
          <w:rFonts w:asciiTheme="majorHAnsi" w:eastAsia="Cambria" w:hAnsiTheme="majorHAnsi" w:cs="Times New Roman"/>
        </w:rPr>
        <w:t>:</w:t>
      </w:r>
    </w:p>
    <w:p w:rsidR="00F90370" w:rsidRPr="00EE2D66" w:rsidRDefault="00F90370" w:rsidP="00225F80">
      <w:pPr>
        <w:pStyle w:val="ListParagraph"/>
        <w:ind w:left="0"/>
        <w:jc w:val="both"/>
        <w:rPr>
          <w:rFonts w:asciiTheme="majorHAnsi" w:eastAsia="Cambria" w:hAnsiTheme="majorHAnsi" w:cs="Times New Roman"/>
        </w:rPr>
      </w:pPr>
    </w:p>
    <w:p w:rsidR="00F211DD" w:rsidRPr="006E7067" w:rsidRDefault="00F211DD" w:rsidP="00225F80">
      <w:pPr>
        <w:pStyle w:val="NoSpacing"/>
        <w:numPr>
          <w:ilvl w:val="2"/>
          <w:numId w:val="12"/>
        </w:numPr>
        <w:ind w:left="993"/>
        <w:jc w:val="both"/>
        <w:rPr>
          <w:rFonts w:asciiTheme="majorHAnsi" w:eastAsia="Cambria" w:hAnsiTheme="majorHAnsi" w:cs="Times New Roman"/>
          <w:color w:val="000000"/>
          <w:sz w:val="24"/>
          <w:szCs w:val="24"/>
          <w:u w:color="000000"/>
          <w:bdr w:val="nil"/>
          <w:lang w:val="en-US" w:eastAsia="en-GB"/>
        </w:rPr>
      </w:pPr>
      <w:r w:rsidRPr="006E7067">
        <w:rPr>
          <w:rFonts w:asciiTheme="majorHAnsi" w:eastAsia="Cambria" w:hAnsiTheme="majorHAnsi" w:cs="Times New Roman"/>
          <w:color w:val="000000"/>
          <w:sz w:val="24"/>
          <w:szCs w:val="24"/>
          <w:u w:color="000000"/>
          <w:bdr w:val="nil"/>
          <w:lang w:val="en-US" w:eastAsia="en-GB"/>
        </w:rPr>
        <w:t xml:space="preserve">Inconsistencies of </w:t>
      </w:r>
      <w:r w:rsidR="00D2106F">
        <w:rPr>
          <w:rFonts w:asciiTheme="majorHAnsi" w:eastAsia="Cambria" w:hAnsiTheme="majorHAnsi" w:cs="Times New Roman"/>
          <w:color w:val="000000"/>
          <w:sz w:val="24"/>
          <w:szCs w:val="24"/>
          <w:u w:color="000000"/>
          <w:bdr w:val="nil"/>
          <w:lang w:val="en-US" w:eastAsia="en-GB"/>
        </w:rPr>
        <w:t xml:space="preserve">integration of </w:t>
      </w:r>
      <w:r w:rsidRPr="006E7067">
        <w:rPr>
          <w:rFonts w:asciiTheme="majorHAnsi" w:eastAsia="Cambria" w:hAnsiTheme="majorHAnsi" w:cs="Times New Roman"/>
          <w:color w:val="000000"/>
          <w:sz w:val="24"/>
          <w:szCs w:val="24"/>
          <w:u w:color="000000"/>
          <w:bdr w:val="nil"/>
          <w:lang w:val="en-US" w:eastAsia="en-GB"/>
        </w:rPr>
        <w:t xml:space="preserve">gender, age, diversity in the output of the IASC </w:t>
      </w:r>
      <w:r w:rsidR="00D2106F">
        <w:rPr>
          <w:rFonts w:asciiTheme="majorHAnsi" w:eastAsia="Cambria" w:hAnsiTheme="majorHAnsi" w:cs="Times New Roman"/>
          <w:color w:val="000000"/>
          <w:sz w:val="24"/>
          <w:szCs w:val="24"/>
          <w:u w:color="000000"/>
          <w:bdr w:val="nil"/>
          <w:lang w:val="en-US" w:eastAsia="en-GB"/>
        </w:rPr>
        <w:t xml:space="preserve">at different levels </w:t>
      </w:r>
      <w:r w:rsidRPr="006E7067">
        <w:rPr>
          <w:rFonts w:asciiTheme="majorHAnsi" w:eastAsia="Cambria" w:hAnsiTheme="majorHAnsi" w:cs="Times New Roman"/>
          <w:color w:val="000000"/>
          <w:sz w:val="24"/>
          <w:szCs w:val="24"/>
          <w:u w:color="000000"/>
          <w:bdr w:val="nil"/>
          <w:lang w:val="en-US" w:eastAsia="en-GB"/>
        </w:rPr>
        <w:t>and no clear connection with the UN system-wide action plan on gender</w:t>
      </w:r>
      <w:r w:rsidR="006D6646" w:rsidRPr="006E7067">
        <w:rPr>
          <w:rFonts w:asciiTheme="majorHAnsi" w:eastAsia="Cambria" w:hAnsiTheme="majorHAnsi" w:cs="Times New Roman"/>
          <w:color w:val="000000"/>
          <w:sz w:val="24"/>
          <w:szCs w:val="24"/>
          <w:u w:color="000000"/>
          <w:bdr w:val="nil"/>
          <w:lang w:val="en-US" w:eastAsia="en-GB"/>
        </w:rPr>
        <w:t>;</w:t>
      </w:r>
    </w:p>
    <w:p w:rsidR="00F211DD" w:rsidRPr="006E7067" w:rsidRDefault="00F211DD" w:rsidP="00225F80">
      <w:pPr>
        <w:pStyle w:val="NoSpacing"/>
        <w:numPr>
          <w:ilvl w:val="2"/>
          <w:numId w:val="12"/>
        </w:numPr>
        <w:ind w:left="993"/>
        <w:jc w:val="both"/>
        <w:rPr>
          <w:rFonts w:asciiTheme="majorHAnsi" w:eastAsia="Cambria" w:hAnsiTheme="majorHAnsi" w:cs="Times New Roman"/>
          <w:color w:val="000000"/>
          <w:sz w:val="24"/>
          <w:szCs w:val="24"/>
          <w:u w:color="000000"/>
          <w:bdr w:val="nil"/>
          <w:lang w:val="en-US" w:eastAsia="en-GB"/>
        </w:rPr>
      </w:pPr>
      <w:r w:rsidRPr="006E7067">
        <w:rPr>
          <w:rFonts w:asciiTheme="majorHAnsi" w:eastAsia="Cambria" w:hAnsiTheme="majorHAnsi" w:cs="Times New Roman"/>
          <w:color w:val="000000"/>
          <w:sz w:val="24"/>
          <w:szCs w:val="24"/>
          <w:u w:color="000000"/>
          <w:bdr w:val="nil"/>
          <w:lang w:val="en-US" w:eastAsia="en-GB"/>
        </w:rPr>
        <w:t>Gender considerations not having been mainstreamed into the recent reform processes</w:t>
      </w:r>
      <w:r w:rsidR="00DF07D4">
        <w:rPr>
          <w:rFonts w:asciiTheme="majorHAnsi" w:eastAsia="Cambria" w:hAnsiTheme="majorHAnsi" w:cs="Times New Roman"/>
          <w:color w:val="000000"/>
          <w:sz w:val="24"/>
          <w:szCs w:val="24"/>
          <w:u w:color="000000"/>
          <w:bdr w:val="nil"/>
          <w:lang w:val="en-US" w:eastAsia="en-GB"/>
        </w:rPr>
        <w:t>, e.g. in the TA protocols</w:t>
      </w:r>
      <w:r w:rsidR="006D6646" w:rsidRPr="006E7067">
        <w:rPr>
          <w:rFonts w:asciiTheme="majorHAnsi" w:eastAsia="Cambria" w:hAnsiTheme="majorHAnsi" w:cs="Times New Roman"/>
          <w:color w:val="000000"/>
          <w:sz w:val="24"/>
          <w:szCs w:val="24"/>
          <w:u w:color="000000"/>
          <w:bdr w:val="nil"/>
          <w:lang w:val="en-US" w:eastAsia="en-GB"/>
        </w:rPr>
        <w:t>;</w:t>
      </w:r>
      <w:r w:rsidRPr="006E7067">
        <w:rPr>
          <w:rFonts w:asciiTheme="majorHAnsi" w:eastAsia="Cambria" w:hAnsiTheme="majorHAnsi" w:cs="Times New Roman"/>
          <w:color w:val="000000"/>
          <w:sz w:val="24"/>
          <w:szCs w:val="24"/>
          <w:u w:color="000000"/>
          <w:bdr w:val="nil"/>
          <w:lang w:val="en-US" w:eastAsia="en-GB"/>
        </w:rPr>
        <w:t xml:space="preserve"> </w:t>
      </w:r>
    </w:p>
    <w:p w:rsidR="00F211DD" w:rsidRPr="006E7067" w:rsidRDefault="00CD4589" w:rsidP="00225F80">
      <w:pPr>
        <w:pStyle w:val="NoSpacing"/>
        <w:numPr>
          <w:ilvl w:val="2"/>
          <w:numId w:val="12"/>
        </w:numPr>
        <w:ind w:left="993"/>
        <w:jc w:val="both"/>
        <w:rPr>
          <w:rFonts w:asciiTheme="majorHAnsi" w:eastAsia="Cambria" w:hAnsiTheme="majorHAnsi" w:cs="Times New Roman"/>
          <w:color w:val="000000"/>
          <w:sz w:val="24"/>
          <w:szCs w:val="24"/>
          <w:u w:color="000000"/>
          <w:bdr w:val="nil"/>
          <w:lang w:val="en-US" w:eastAsia="en-GB"/>
        </w:rPr>
      </w:pPr>
      <w:r>
        <w:rPr>
          <w:rFonts w:asciiTheme="majorHAnsi" w:eastAsia="Cambria" w:hAnsiTheme="majorHAnsi" w:cs="Times New Roman"/>
          <w:color w:val="000000"/>
          <w:sz w:val="24"/>
          <w:szCs w:val="24"/>
          <w:u w:color="000000"/>
          <w:bdr w:val="nil"/>
          <w:lang w:val="en-US" w:eastAsia="en-GB"/>
        </w:rPr>
        <w:t>Perceived downgrading</w:t>
      </w:r>
      <w:r w:rsidR="00F211DD" w:rsidRPr="006E7067">
        <w:rPr>
          <w:rFonts w:asciiTheme="majorHAnsi" w:eastAsia="Cambria" w:hAnsiTheme="majorHAnsi" w:cs="Times New Roman"/>
          <w:color w:val="000000"/>
          <w:sz w:val="24"/>
          <w:szCs w:val="24"/>
          <w:u w:color="000000"/>
          <w:bdr w:val="nil"/>
          <w:lang w:val="en-US" w:eastAsia="en-GB"/>
        </w:rPr>
        <w:t xml:space="preserve"> of the Gender </w:t>
      </w:r>
      <w:r w:rsidR="00DF07D4">
        <w:rPr>
          <w:rFonts w:asciiTheme="majorHAnsi" w:eastAsia="Cambria" w:hAnsiTheme="majorHAnsi" w:cs="Times New Roman"/>
          <w:color w:val="000000"/>
          <w:sz w:val="24"/>
          <w:szCs w:val="24"/>
          <w:u w:color="000000"/>
          <w:bdr w:val="nil"/>
          <w:lang w:val="en-US" w:eastAsia="en-GB"/>
        </w:rPr>
        <w:t>sub-</w:t>
      </w:r>
      <w:r w:rsidR="00F211DD" w:rsidRPr="006E7067">
        <w:rPr>
          <w:rFonts w:asciiTheme="majorHAnsi" w:eastAsia="Cambria" w:hAnsiTheme="majorHAnsi" w:cs="Times New Roman"/>
          <w:color w:val="000000"/>
          <w:sz w:val="24"/>
          <w:szCs w:val="24"/>
          <w:u w:color="000000"/>
          <w:bdr w:val="nil"/>
          <w:lang w:val="en-US" w:eastAsia="en-GB"/>
        </w:rPr>
        <w:t>Working Group to a Reference Group</w:t>
      </w:r>
      <w:r w:rsidR="006D6646" w:rsidRPr="006E7067">
        <w:rPr>
          <w:rFonts w:asciiTheme="majorHAnsi" w:eastAsia="Cambria" w:hAnsiTheme="majorHAnsi" w:cs="Times New Roman"/>
          <w:color w:val="000000"/>
          <w:sz w:val="24"/>
          <w:szCs w:val="24"/>
          <w:u w:color="000000"/>
          <w:bdr w:val="nil"/>
          <w:lang w:val="en-US" w:eastAsia="en-GB"/>
        </w:rPr>
        <w:t>;</w:t>
      </w:r>
      <w:r w:rsidR="00F211DD" w:rsidRPr="006E7067">
        <w:rPr>
          <w:rFonts w:asciiTheme="majorHAnsi" w:eastAsia="Cambria" w:hAnsiTheme="majorHAnsi" w:cs="Times New Roman"/>
          <w:color w:val="000000"/>
          <w:sz w:val="24"/>
          <w:szCs w:val="24"/>
          <w:u w:color="000000"/>
          <w:bdr w:val="nil"/>
          <w:lang w:val="en-US" w:eastAsia="en-GB"/>
        </w:rPr>
        <w:t xml:space="preserve"> </w:t>
      </w:r>
    </w:p>
    <w:p w:rsidR="00F211DD" w:rsidRPr="006E7067" w:rsidRDefault="00F211DD" w:rsidP="00225F80">
      <w:pPr>
        <w:pStyle w:val="NoSpacing"/>
        <w:numPr>
          <w:ilvl w:val="2"/>
          <w:numId w:val="12"/>
        </w:numPr>
        <w:ind w:left="993"/>
        <w:jc w:val="both"/>
        <w:rPr>
          <w:rFonts w:asciiTheme="majorHAnsi" w:eastAsia="Cambria" w:hAnsiTheme="majorHAnsi" w:cs="Times New Roman"/>
          <w:color w:val="000000"/>
          <w:sz w:val="24"/>
          <w:szCs w:val="24"/>
          <w:u w:color="000000"/>
          <w:bdr w:val="nil"/>
          <w:lang w:val="en-US" w:eastAsia="en-GB"/>
        </w:rPr>
      </w:pPr>
      <w:r w:rsidRPr="006E7067">
        <w:rPr>
          <w:rFonts w:asciiTheme="majorHAnsi" w:eastAsia="Cambria" w:hAnsiTheme="majorHAnsi" w:cs="Times New Roman"/>
          <w:color w:val="000000"/>
          <w:sz w:val="24"/>
          <w:szCs w:val="24"/>
          <w:u w:color="000000"/>
          <w:bdr w:val="nil"/>
          <w:lang w:val="en-US" w:eastAsia="en-GB"/>
        </w:rPr>
        <w:t>GM implementation inconsistent among the clusters and from one country to the next</w:t>
      </w:r>
      <w:r w:rsidR="006D6646" w:rsidRPr="006E7067">
        <w:rPr>
          <w:rFonts w:asciiTheme="majorHAnsi" w:eastAsia="Cambria" w:hAnsiTheme="majorHAnsi" w:cs="Times New Roman"/>
          <w:color w:val="000000"/>
          <w:sz w:val="24"/>
          <w:szCs w:val="24"/>
          <w:u w:color="000000"/>
          <w:bdr w:val="nil"/>
          <w:lang w:val="en-US" w:eastAsia="en-GB"/>
        </w:rPr>
        <w:t>;</w:t>
      </w:r>
    </w:p>
    <w:p w:rsidR="00DF07D4" w:rsidRDefault="00F211DD" w:rsidP="00225F80">
      <w:pPr>
        <w:pStyle w:val="NoSpacing"/>
        <w:numPr>
          <w:ilvl w:val="2"/>
          <w:numId w:val="12"/>
        </w:numPr>
        <w:ind w:left="993"/>
        <w:jc w:val="both"/>
        <w:rPr>
          <w:rFonts w:asciiTheme="majorHAnsi" w:eastAsia="Cambria" w:hAnsiTheme="majorHAnsi" w:cs="Times New Roman"/>
          <w:color w:val="000000"/>
          <w:sz w:val="24"/>
          <w:szCs w:val="24"/>
          <w:u w:color="000000"/>
          <w:bdr w:val="nil"/>
          <w:lang w:val="en-US" w:eastAsia="en-GB"/>
        </w:rPr>
      </w:pPr>
      <w:r w:rsidRPr="006E7067">
        <w:rPr>
          <w:rFonts w:asciiTheme="majorHAnsi" w:eastAsia="Cambria" w:hAnsiTheme="majorHAnsi" w:cs="Times New Roman"/>
          <w:color w:val="000000"/>
          <w:sz w:val="24"/>
          <w:szCs w:val="24"/>
          <w:u w:color="000000"/>
          <w:bdr w:val="nil"/>
          <w:lang w:val="en-US" w:eastAsia="en-GB"/>
        </w:rPr>
        <w:t>Lack of gender analysis and sex and age disaggregated data, e.g. in Humanitarian Needs Overviews</w:t>
      </w:r>
      <w:r w:rsidR="006D6646" w:rsidRPr="006E7067">
        <w:rPr>
          <w:rFonts w:asciiTheme="majorHAnsi" w:eastAsia="Cambria" w:hAnsiTheme="majorHAnsi" w:cs="Times New Roman"/>
          <w:color w:val="000000"/>
          <w:sz w:val="24"/>
          <w:szCs w:val="24"/>
          <w:u w:color="000000"/>
          <w:bdr w:val="nil"/>
          <w:lang w:val="en-US" w:eastAsia="en-GB"/>
        </w:rPr>
        <w:t>.</w:t>
      </w:r>
    </w:p>
    <w:p w:rsidR="00DF07D4" w:rsidRDefault="00DF07D4" w:rsidP="00225F80">
      <w:pPr>
        <w:pStyle w:val="NoSpacing"/>
        <w:ind w:left="633"/>
        <w:jc w:val="both"/>
        <w:rPr>
          <w:rFonts w:asciiTheme="majorHAnsi" w:eastAsia="Cambria" w:hAnsiTheme="majorHAnsi" w:cs="Times New Roman"/>
          <w:color w:val="000000"/>
          <w:sz w:val="24"/>
          <w:szCs w:val="24"/>
          <w:u w:color="000000"/>
          <w:bdr w:val="nil"/>
          <w:lang w:val="en-US" w:eastAsia="en-GB"/>
        </w:rPr>
      </w:pPr>
    </w:p>
    <w:p w:rsidR="00DF07D4" w:rsidRPr="00DF07D4" w:rsidRDefault="00DF07D4" w:rsidP="00225F80">
      <w:pPr>
        <w:pStyle w:val="NoSpacing"/>
        <w:ind w:left="633"/>
        <w:jc w:val="both"/>
        <w:rPr>
          <w:rFonts w:asciiTheme="majorHAnsi" w:eastAsia="Cambria" w:hAnsiTheme="majorHAnsi" w:cs="Times New Roman"/>
          <w:color w:val="000000"/>
          <w:sz w:val="24"/>
          <w:szCs w:val="24"/>
          <w:u w:color="000000"/>
          <w:bdr w:val="nil"/>
          <w:lang w:val="en-US" w:eastAsia="en-GB"/>
        </w:rPr>
      </w:pPr>
      <w:r>
        <w:rPr>
          <w:rFonts w:asciiTheme="majorHAnsi" w:eastAsia="Cambria" w:hAnsiTheme="majorHAnsi" w:cs="Times New Roman"/>
          <w:color w:val="000000"/>
          <w:sz w:val="24"/>
          <w:szCs w:val="24"/>
          <w:u w:color="000000"/>
          <w:bdr w:val="nil"/>
          <w:lang w:val="en-US" w:eastAsia="en-GB"/>
        </w:rPr>
        <w:t xml:space="preserve">The review also recommended for </w:t>
      </w:r>
      <w:r w:rsidRPr="00DF07D4">
        <w:rPr>
          <w:rFonts w:asciiTheme="majorHAnsi" w:eastAsia="Cambria" w:hAnsiTheme="majorHAnsi" w:cs="Times New Roman"/>
          <w:color w:val="000000"/>
          <w:sz w:val="24"/>
          <w:szCs w:val="24"/>
          <w:u w:color="000000"/>
          <w:bdr w:val="nil"/>
          <w:lang w:val="en-US" w:eastAsia="en-GB"/>
        </w:rPr>
        <w:t>UN</w:t>
      </w:r>
      <w:r w:rsidR="00DB7E5C">
        <w:rPr>
          <w:rFonts w:asciiTheme="majorHAnsi" w:eastAsia="Cambria" w:hAnsiTheme="majorHAnsi" w:cs="Times New Roman"/>
          <w:color w:val="000000"/>
          <w:sz w:val="24"/>
          <w:szCs w:val="24"/>
          <w:u w:color="000000"/>
          <w:bdr w:val="nil"/>
          <w:lang w:val="en-US" w:eastAsia="en-GB"/>
        </w:rPr>
        <w:t xml:space="preserve"> </w:t>
      </w:r>
      <w:r w:rsidRPr="00DF07D4">
        <w:rPr>
          <w:rFonts w:asciiTheme="majorHAnsi" w:eastAsia="Cambria" w:hAnsiTheme="majorHAnsi" w:cs="Times New Roman"/>
          <w:color w:val="000000"/>
          <w:sz w:val="24"/>
          <w:szCs w:val="24"/>
          <w:u w:color="000000"/>
          <w:bdr w:val="nil"/>
          <w:lang w:val="en-US" w:eastAsia="en-GB"/>
        </w:rPr>
        <w:t>W</w:t>
      </w:r>
      <w:r w:rsidR="00DB7E5C">
        <w:rPr>
          <w:rFonts w:asciiTheme="majorHAnsi" w:eastAsia="Cambria" w:hAnsiTheme="majorHAnsi" w:cs="Times New Roman"/>
          <w:color w:val="000000"/>
          <w:sz w:val="24"/>
          <w:szCs w:val="24"/>
          <w:u w:color="000000"/>
          <w:bdr w:val="nil"/>
          <w:lang w:val="en-US" w:eastAsia="en-GB"/>
        </w:rPr>
        <w:t>omen</w:t>
      </w:r>
      <w:r w:rsidRPr="00DF07D4">
        <w:rPr>
          <w:rFonts w:asciiTheme="majorHAnsi" w:eastAsia="Cambria" w:hAnsiTheme="majorHAnsi" w:cs="Times New Roman"/>
          <w:color w:val="000000"/>
          <w:sz w:val="24"/>
          <w:szCs w:val="24"/>
          <w:u w:color="000000"/>
          <w:bdr w:val="nil"/>
          <w:lang w:val="en-US" w:eastAsia="en-GB"/>
        </w:rPr>
        <w:t xml:space="preserve"> </w:t>
      </w:r>
      <w:r>
        <w:rPr>
          <w:rFonts w:asciiTheme="majorHAnsi" w:eastAsia="Cambria" w:hAnsiTheme="majorHAnsi" w:cs="Times New Roman"/>
          <w:color w:val="000000"/>
          <w:sz w:val="24"/>
          <w:szCs w:val="24"/>
          <w:u w:color="000000"/>
          <w:bdr w:val="nil"/>
          <w:lang w:val="en-US" w:eastAsia="en-GB"/>
        </w:rPr>
        <w:t xml:space="preserve">to become </w:t>
      </w:r>
      <w:r w:rsidR="00D2106F">
        <w:rPr>
          <w:rFonts w:asciiTheme="majorHAnsi" w:eastAsia="Cambria" w:hAnsiTheme="majorHAnsi" w:cs="Times New Roman"/>
          <w:color w:val="000000"/>
          <w:sz w:val="24"/>
          <w:szCs w:val="24"/>
          <w:u w:color="000000"/>
          <w:bdr w:val="nil"/>
          <w:lang w:val="en-US" w:eastAsia="en-GB"/>
        </w:rPr>
        <w:t xml:space="preserve">a </w:t>
      </w:r>
      <w:r w:rsidRPr="00DF07D4">
        <w:rPr>
          <w:rFonts w:asciiTheme="majorHAnsi" w:eastAsia="Cambria" w:hAnsiTheme="majorHAnsi" w:cs="Times New Roman"/>
          <w:color w:val="000000"/>
          <w:sz w:val="24"/>
          <w:szCs w:val="24"/>
          <w:u w:color="000000"/>
          <w:bdr w:val="nil"/>
          <w:lang w:val="en-US" w:eastAsia="en-GB"/>
        </w:rPr>
        <w:t>full member of IASC.</w:t>
      </w:r>
    </w:p>
    <w:p w:rsidR="006D6646" w:rsidRPr="006E7067" w:rsidRDefault="006D6646" w:rsidP="00225F80">
      <w:pPr>
        <w:pStyle w:val="Body"/>
        <w:spacing w:line="240" w:lineRule="auto"/>
        <w:jc w:val="both"/>
        <w:rPr>
          <w:rFonts w:asciiTheme="majorHAnsi" w:hAnsiTheme="majorHAnsi" w:cs="Times New Roman"/>
          <w:sz w:val="24"/>
          <w:szCs w:val="24"/>
        </w:rPr>
      </w:pPr>
    </w:p>
    <w:p w:rsidR="00103BA8" w:rsidRDefault="00F211DD" w:rsidP="00D2106F">
      <w:pPr>
        <w:pStyle w:val="Body"/>
        <w:spacing w:line="240" w:lineRule="auto"/>
        <w:ind w:left="720"/>
        <w:jc w:val="both"/>
        <w:rPr>
          <w:rFonts w:asciiTheme="majorHAnsi" w:hAnsiTheme="majorHAnsi" w:cs="Times New Roman"/>
          <w:sz w:val="24"/>
          <w:szCs w:val="24"/>
          <w:lang w:val="en-GB"/>
        </w:rPr>
      </w:pPr>
      <w:r w:rsidRPr="006E7067">
        <w:rPr>
          <w:rFonts w:asciiTheme="majorHAnsi" w:hAnsiTheme="majorHAnsi" w:cs="Times New Roman"/>
          <w:sz w:val="24"/>
          <w:szCs w:val="24"/>
        </w:rPr>
        <w:t xml:space="preserve">WG members expressed broad support for the findings of the review, however also requested that the report presents more </w:t>
      </w:r>
      <w:r w:rsidR="001B03ED">
        <w:rPr>
          <w:rFonts w:asciiTheme="majorHAnsi" w:hAnsiTheme="majorHAnsi" w:cs="Times New Roman"/>
          <w:sz w:val="24"/>
          <w:szCs w:val="24"/>
        </w:rPr>
        <w:t xml:space="preserve">field resonance through </w:t>
      </w:r>
      <w:r w:rsidRPr="006E7067">
        <w:rPr>
          <w:rFonts w:asciiTheme="majorHAnsi" w:hAnsiTheme="majorHAnsi" w:cs="Times New Roman"/>
          <w:sz w:val="24"/>
          <w:szCs w:val="24"/>
        </w:rPr>
        <w:t xml:space="preserve">concrete examples, field based analysis (also on impact analysis) and concrete time bound </w:t>
      </w:r>
      <w:r w:rsidR="001B03ED">
        <w:rPr>
          <w:rFonts w:asciiTheme="majorHAnsi" w:hAnsiTheme="majorHAnsi" w:cs="Times New Roman"/>
          <w:sz w:val="24"/>
          <w:szCs w:val="24"/>
        </w:rPr>
        <w:t xml:space="preserve">action oriented </w:t>
      </w:r>
      <w:r w:rsidRPr="006E7067">
        <w:rPr>
          <w:rFonts w:asciiTheme="majorHAnsi" w:hAnsiTheme="majorHAnsi" w:cs="Times New Roman"/>
          <w:sz w:val="24"/>
          <w:szCs w:val="24"/>
        </w:rPr>
        <w:t xml:space="preserve">recommendations. </w:t>
      </w:r>
      <w:r w:rsidR="001B03ED">
        <w:rPr>
          <w:rFonts w:asciiTheme="majorHAnsi" w:hAnsiTheme="majorHAnsi" w:cs="Times New Roman"/>
          <w:sz w:val="24"/>
          <w:szCs w:val="24"/>
        </w:rPr>
        <w:t xml:space="preserve">The </w:t>
      </w:r>
      <w:r w:rsidR="00CD4589" w:rsidRPr="00CD4589">
        <w:rPr>
          <w:rFonts w:asciiTheme="majorHAnsi" w:hAnsiTheme="majorHAnsi" w:cs="Times New Roman"/>
          <w:sz w:val="24"/>
          <w:szCs w:val="24"/>
          <w:lang w:val="en-GB"/>
        </w:rPr>
        <w:t xml:space="preserve">Chair </w:t>
      </w:r>
      <w:r w:rsidR="00DF07D4">
        <w:rPr>
          <w:rFonts w:asciiTheme="majorHAnsi" w:hAnsiTheme="majorHAnsi" w:cs="Times New Roman"/>
          <w:sz w:val="24"/>
          <w:szCs w:val="24"/>
          <w:lang w:val="en-GB"/>
        </w:rPr>
        <w:t>and others remarked that the re</w:t>
      </w:r>
      <w:r w:rsidR="001B03ED">
        <w:rPr>
          <w:rFonts w:asciiTheme="majorHAnsi" w:hAnsiTheme="majorHAnsi" w:cs="Times New Roman"/>
          <w:sz w:val="24"/>
          <w:szCs w:val="24"/>
          <w:lang w:val="en-GB"/>
        </w:rPr>
        <w:t>-</w:t>
      </w:r>
      <w:r w:rsidR="00DF07D4">
        <w:rPr>
          <w:rFonts w:asciiTheme="majorHAnsi" w:hAnsiTheme="majorHAnsi" w:cs="Times New Roman"/>
          <w:sz w:val="24"/>
          <w:szCs w:val="24"/>
          <w:lang w:val="en-GB"/>
        </w:rPr>
        <w:t>designation o</w:t>
      </w:r>
      <w:r w:rsidR="00CD4589" w:rsidRPr="00CD4589">
        <w:rPr>
          <w:rFonts w:asciiTheme="majorHAnsi" w:hAnsiTheme="majorHAnsi" w:cs="Times New Roman"/>
          <w:sz w:val="24"/>
          <w:szCs w:val="24"/>
          <w:lang w:val="en-GB"/>
        </w:rPr>
        <w:t xml:space="preserve">f the Sub-working group </w:t>
      </w:r>
      <w:r w:rsidR="00DF07D4">
        <w:rPr>
          <w:rFonts w:asciiTheme="majorHAnsi" w:hAnsiTheme="majorHAnsi" w:cs="Times New Roman"/>
          <w:sz w:val="24"/>
          <w:szCs w:val="24"/>
          <w:lang w:val="en-GB"/>
        </w:rPr>
        <w:t>to</w:t>
      </w:r>
      <w:r w:rsidR="00CD4589" w:rsidRPr="00CD4589">
        <w:rPr>
          <w:rFonts w:asciiTheme="majorHAnsi" w:hAnsiTheme="majorHAnsi" w:cs="Times New Roman"/>
          <w:sz w:val="24"/>
          <w:szCs w:val="24"/>
          <w:lang w:val="en-GB"/>
        </w:rPr>
        <w:t xml:space="preserve"> a reference group was in no way a "downgrading" of the importance of gender to the IASC but rather an affirmation that the policy and key tools were now in place </w:t>
      </w:r>
      <w:r w:rsidR="00CD4589">
        <w:rPr>
          <w:rFonts w:asciiTheme="majorHAnsi" w:hAnsiTheme="majorHAnsi" w:cs="Times New Roman"/>
          <w:sz w:val="24"/>
          <w:szCs w:val="24"/>
          <w:lang w:val="en-GB"/>
        </w:rPr>
        <w:t xml:space="preserve">and that a </w:t>
      </w:r>
      <w:r w:rsidR="00CD4589" w:rsidRPr="00CD4589">
        <w:rPr>
          <w:rFonts w:asciiTheme="majorHAnsi" w:hAnsiTheme="majorHAnsi" w:cs="Times New Roman"/>
          <w:sz w:val="24"/>
          <w:szCs w:val="24"/>
          <w:lang w:val="en-GB"/>
        </w:rPr>
        <w:t>centre of excellence</w:t>
      </w:r>
      <w:r w:rsidR="00CD4589">
        <w:rPr>
          <w:rFonts w:asciiTheme="majorHAnsi" w:hAnsiTheme="majorHAnsi" w:cs="Times New Roman"/>
          <w:sz w:val="24"/>
          <w:szCs w:val="24"/>
          <w:lang w:val="en-GB"/>
        </w:rPr>
        <w:t xml:space="preserve"> was needed</w:t>
      </w:r>
      <w:r w:rsidR="00CD4589" w:rsidRPr="00CD4589">
        <w:rPr>
          <w:rFonts w:asciiTheme="majorHAnsi" w:hAnsiTheme="majorHAnsi" w:cs="Times New Roman"/>
          <w:sz w:val="24"/>
          <w:szCs w:val="24"/>
          <w:lang w:val="en-GB"/>
        </w:rPr>
        <w:t xml:space="preserve"> to</w:t>
      </w:r>
      <w:r w:rsidR="00DF07D4">
        <w:rPr>
          <w:rFonts w:asciiTheme="majorHAnsi" w:hAnsiTheme="majorHAnsi" w:cs="Times New Roman"/>
          <w:sz w:val="24"/>
          <w:szCs w:val="24"/>
          <w:lang w:val="en-GB"/>
        </w:rPr>
        <w:t xml:space="preserve"> support their implementation. </w:t>
      </w:r>
      <w:r w:rsidR="00103BA8">
        <w:rPr>
          <w:rFonts w:asciiTheme="majorHAnsi" w:hAnsiTheme="majorHAnsi" w:cs="Times New Roman"/>
          <w:sz w:val="24"/>
          <w:szCs w:val="24"/>
          <w:lang w:val="en-GB"/>
        </w:rPr>
        <w:t>UN W</w:t>
      </w:r>
      <w:r w:rsidR="00FB641C">
        <w:rPr>
          <w:rFonts w:asciiTheme="majorHAnsi" w:hAnsiTheme="majorHAnsi" w:cs="Times New Roman"/>
          <w:sz w:val="24"/>
          <w:szCs w:val="24"/>
          <w:lang w:val="en-GB"/>
        </w:rPr>
        <w:t>omen highlighted that the issue</w:t>
      </w:r>
      <w:r w:rsidR="00103BA8">
        <w:rPr>
          <w:rFonts w:asciiTheme="majorHAnsi" w:hAnsiTheme="majorHAnsi" w:cs="Times New Roman"/>
          <w:sz w:val="24"/>
          <w:szCs w:val="24"/>
          <w:lang w:val="en-GB"/>
        </w:rPr>
        <w:t xml:space="preserve"> was not downgrading but that</w:t>
      </w:r>
      <w:r w:rsidR="00A70AE4">
        <w:rPr>
          <w:rFonts w:asciiTheme="majorHAnsi" w:hAnsiTheme="majorHAnsi" w:cs="Times New Roman"/>
          <w:sz w:val="24"/>
          <w:szCs w:val="24"/>
          <w:lang w:val="en-GB"/>
        </w:rPr>
        <w:t xml:space="preserve"> </w:t>
      </w:r>
      <w:r w:rsidR="00103BA8" w:rsidRPr="00103BA8">
        <w:rPr>
          <w:rFonts w:asciiTheme="majorHAnsi" w:hAnsiTheme="majorHAnsi" w:cs="Times New Roman"/>
          <w:sz w:val="24"/>
          <w:szCs w:val="24"/>
          <w:lang w:val="en-GB"/>
        </w:rPr>
        <w:t xml:space="preserve">by making the gender subsidiary body a Reference </w:t>
      </w:r>
      <w:r w:rsidR="00103BA8" w:rsidRPr="00103BA8">
        <w:rPr>
          <w:rFonts w:asciiTheme="majorHAnsi" w:hAnsiTheme="majorHAnsi" w:cs="Times New Roman"/>
          <w:sz w:val="24"/>
          <w:szCs w:val="24"/>
          <w:lang w:val="en-GB"/>
        </w:rPr>
        <w:lastRenderedPageBreak/>
        <w:t xml:space="preserve">Group, it had removed the internal mechanism for managing accountability to the </w:t>
      </w:r>
      <w:r w:rsidR="008D25E0">
        <w:rPr>
          <w:rFonts w:asciiTheme="majorHAnsi" w:hAnsiTheme="majorHAnsi" w:cs="Times New Roman"/>
          <w:sz w:val="24"/>
          <w:szCs w:val="24"/>
          <w:lang w:val="en-GB"/>
        </w:rPr>
        <w:t xml:space="preserve">implementation of the principles in the </w:t>
      </w:r>
      <w:r w:rsidR="00103BA8" w:rsidRPr="00103BA8">
        <w:rPr>
          <w:rFonts w:asciiTheme="majorHAnsi" w:hAnsiTheme="majorHAnsi" w:cs="Times New Roman"/>
          <w:sz w:val="24"/>
          <w:szCs w:val="24"/>
          <w:lang w:val="en-GB"/>
        </w:rPr>
        <w:t xml:space="preserve">policy. </w:t>
      </w:r>
    </w:p>
    <w:p w:rsidR="007659E8" w:rsidRPr="00A70AE4" w:rsidRDefault="007659E8" w:rsidP="00D2106F">
      <w:pPr>
        <w:pStyle w:val="Body"/>
        <w:spacing w:line="240" w:lineRule="auto"/>
        <w:ind w:left="720"/>
        <w:jc w:val="both"/>
        <w:rPr>
          <w:rFonts w:asciiTheme="majorHAnsi" w:hAnsiTheme="majorHAnsi" w:cs="Times New Roman"/>
          <w:sz w:val="24"/>
          <w:szCs w:val="24"/>
          <w:lang w:val="en-GB"/>
        </w:rPr>
      </w:pPr>
    </w:p>
    <w:p w:rsidR="00DF07D4" w:rsidRDefault="00DF07D4" w:rsidP="00225F80">
      <w:pPr>
        <w:pStyle w:val="Body"/>
        <w:spacing w:line="240" w:lineRule="auto"/>
        <w:jc w:val="both"/>
        <w:rPr>
          <w:rFonts w:asciiTheme="majorHAnsi" w:hAnsiTheme="majorHAnsi" w:cs="Times New Roman"/>
          <w:sz w:val="24"/>
          <w:szCs w:val="24"/>
        </w:rPr>
      </w:pPr>
      <w:r>
        <w:rPr>
          <w:rFonts w:asciiTheme="majorHAnsi" w:hAnsiTheme="majorHAnsi" w:cs="Times New Roman"/>
          <w:sz w:val="24"/>
          <w:szCs w:val="24"/>
          <w:lang w:val="en-GB"/>
        </w:rPr>
        <w:t xml:space="preserve">The chair noted that </w:t>
      </w:r>
      <w:r w:rsidR="00CD4589" w:rsidRPr="00CD4589">
        <w:rPr>
          <w:rFonts w:asciiTheme="majorHAnsi" w:hAnsiTheme="majorHAnsi" w:cs="Times New Roman"/>
          <w:sz w:val="24"/>
          <w:szCs w:val="24"/>
          <w:lang w:val="en-GB"/>
        </w:rPr>
        <w:t xml:space="preserve">the GRG had not </w:t>
      </w:r>
      <w:r>
        <w:rPr>
          <w:rFonts w:asciiTheme="majorHAnsi" w:hAnsiTheme="majorHAnsi" w:cs="Times New Roman"/>
          <w:sz w:val="24"/>
          <w:szCs w:val="24"/>
          <w:lang w:val="en-GB"/>
        </w:rPr>
        <w:t xml:space="preserve">been productive in making proposals that </w:t>
      </w:r>
      <w:r w:rsidR="00CD4589" w:rsidRPr="00CD4589">
        <w:rPr>
          <w:rFonts w:asciiTheme="majorHAnsi" w:hAnsiTheme="majorHAnsi" w:cs="Times New Roman"/>
          <w:sz w:val="24"/>
          <w:szCs w:val="24"/>
          <w:lang w:val="en-GB"/>
        </w:rPr>
        <w:t>she as sponsor could take forward</w:t>
      </w:r>
      <w:r>
        <w:rPr>
          <w:rFonts w:asciiTheme="majorHAnsi" w:hAnsiTheme="majorHAnsi" w:cs="Times New Roman"/>
          <w:sz w:val="24"/>
          <w:szCs w:val="24"/>
          <w:lang w:val="en-GB"/>
        </w:rPr>
        <w:t xml:space="preserve"> in the WG, and challenged the group to be more constructive and productive.  </w:t>
      </w:r>
      <w:r w:rsidR="00CD4589">
        <w:rPr>
          <w:rFonts w:asciiTheme="majorHAnsi" w:hAnsiTheme="majorHAnsi" w:cs="Times New Roman"/>
          <w:sz w:val="24"/>
          <w:szCs w:val="24"/>
          <w:lang w:val="en-GB"/>
        </w:rPr>
        <w:t xml:space="preserve"> This was confirmed by other WG members who confirmed the need for </w:t>
      </w:r>
      <w:r w:rsidR="00F211DD" w:rsidRPr="006E7067">
        <w:rPr>
          <w:rFonts w:asciiTheme="majorHAnsi" w:hAnsiTheme="majorHAnsi" w:cs="Times New Roman"/>
          <w:sz w:val="24"/>
          <w:szCs w:val="24"/>
        </w:rPr>
        <w:t>the group’s restructuring and strengthening</w:t>
      </w:r>
      <w:r w:rsidR="00103BA8">
        <w:rPr>
          <w:rFonts w:asciiTheme="majorHAnsi" w:hAnsiTheme="majorHAnsi" w:cs="Times New Roman"/>
          <w:sz w:val="24"/>
          <w:szCs w:val="24"/>
        </w:rPr>
        <w:t xml:space="preserve"> by reviewing its co-chair arrangement</w:t>
      </w:r>
      <w:r w:rsidR="00FB641C">
        <w:rPr>
          <w:rFonts w:asciiTheme="majorHAnsi" w:hAnsiTheme="majorHAnsi" w:cs="Times New Roman"/>
          <w:sz w:val="24"/>
          <w:szCs w:val="24"/>
        </w:rPr>
        <w:t>s and se</w:t>
      </w:r>
      <w:r w:rsidR="00103BA8">
        <w:rPr>
          <w:rFonts w:asciiTheme="majorHAnsi" w:hAnsiTheme="majorHAnsi" w:cs="Times New Roman"/>
          <w:sz w:val="24"/>
          <w:szCs w:val="24"/>
        </w:rPr>
        <w:t>tting out a 2-year working plan, as was welcomed by UN Women.</w:t>
      </w:r>
    </w:p>
    <w:p w:rsidR="00DF07D4" w:rsidRDefault="00DF07D4" w:rsidP="00225F80">
      <w:pPr>
        <w:pStyle w:val="Body"/>
        <w:spacing w:line="240" w:lineRule="auto"/>
        <w:jc w:val="both"/>
        <w:rPr>
          <w:rFonts w:asciiTheme="majorHAnsi" w:hAnsiTheme="majorHAnsi" w:cs="Times New Roman"/>
          <w:sz w:val="24"/>
          <w:szCs w:val="24"/>
        </w:rPr>
      </w:pPr>
    </w:p>
    <w:p w:rsidR="007C5E4C" w:rsidRPr="00F90370" w:rsidRDefault="00F211DD" w:rsidP="00225F80">
      <w:pPr>
        <w:pStyle w:val="Body"/>
        <w:spacing w:line="240" w:lineRule="auto"/>
        <w:jc w:val="both"/>
        <w:rPr>
          <w:rFonts w:asciiTheme="majorHAnsi" w:hAnsiTheme="majorHAnsi" w:cs="Times New Roman"/>
          <w:sz w:val="24"/>
          <w:szCs w:val="24"/>
          <w:lang w:val="en-GB"/>
        </w:rPr>
      </w:pPr>
      <w:r w:rsidRPr="00F90370">
        <w:rPr>
          <w:rFonts w:asciiTheme="majorHAnsi" w:hAnsiTheme="majorHAnsi" w:cs="Times New Roman"/>
          <w:sz w:val="24"/>
          <w:szCs w:val="24"/>
          <w:lang w:val="en-GB"/>
        </w:rPr>
        <w:t>Members stressed that an Accountability Framework should have already been developed and that the GRG should play a leadership role in taking this forward</w:t>
      </w:r>
      <w:r w:rsidR="00CD4589" w:rsidRPr="00F90370">
        <w:rPr>
          <w:rFonts w:asciiTheme="majorHAnsi" w:hAnsiTheme="majorHAnsi" w:cs="Times New Roman"/>
          <w:sz w:val="24"/>
          <w:szCs w:val="24"/>
          <w:lang w:val="en-GB"/>
        </w:rPr>
        <w:t xml:space="preserve"> and</w:t>
      </w:r>
      <w:r w:rsidR="009B5547">
        <w:rPr>
          <w:rFonts w:asciiTheme="majorHAnsi" w:hAnsiTheme="majorHAnsi" w:cs="Times New Roman"/>
          <w:sz w:val="24"/>
          <w:szCs w:val="24"/>
          <w:lang w:val="en-GB"/>
        </w:rPr>
        <w:t xml:space="preserve"> fulfil an oversight role. </w:t>
      </w:r>
      <w:r w:rsidR="009B5547" w:rsidRPr="009B5547">
        <w:rPr>
          <w:rFonts w:asciiTheme="majorHAnsi" w:hAnsiTheme="majorHAnsi" w:cs="Times New Roman"/>
          <w:sz w:val="24"/>
          <w:szCs w:val="24"/>
          <w:lang w:val="en-GB"/>
        </w:rPr>
        <w:t xml:space="preserve">Some members further reiterated that in the thinking about an accountability framework, what already exists should be considered and strengthened. Ensuring that gender marker was linked to the whole program cycle would be a starting point to strengthen accountability for gender.  </w:t>
      </w:r>
      <w:r w:rsidRPr="00F90370">
        <w:rPr>
          <w:rFonts w:asciiTheme="majorHAnsi" w:hAnsiTheme="majorHAnsi" w:cs="Times New Roman"/>
          <w:sz w:val="24"/>
          <w:szCs w:val="24"/>
          <w:lang w:val="en-GB"/>
        </w:rPr>
        <w:t xml:space="preserve">They also requested that the GRG identifies concrete </w:t>
      </w:r>
      <w:r w:rsidR="009B5547">
        <w:rPr>
          <w:rFonts w:asciiTheme="majorHAnsi" w:hAnsiTheme="majorHAnsi" w:cs="Times New Roman"/>
          <w:sz w:val="24"/>
          <w:szCs w:val="24"/>
          <w:lang w:val="en-GB"/>
        </w:rPr>
        <w:t xml:space="preserve">transformational and </w:t>
      </w:r>
      <w:r w:rsidRPr="00F90370">
        <w:rPr>
          <w:rFonts w:asciiTheme="majorHAnsi" w:hAnsiTheme="majorHAnsi" w:cs="Times New Roman"/>
          <w:sz w:val="24"/>
          <w:szCs w:val="24"/>
          <w:lang w:val="en-GB"/>
        </w:rPr>
        <w:t xml:space="preserve">achievable </w:t>
      </w:r>
      <w:r w:rsidR="009B5547">
        <w:rPr>
          <w:rFonts w:asciiTheme="majorHAnsi" w:hAnsiTheme="majorHAnsi" w:cs="Times New Roman"/>
          <w:sz w:val="24"/>
          <w:szCs w:val="24"/>
          <w:lang w:val="en-GB"/>
        </w:rPr>
        <w:t>policy level</w:t>
      </w:r>
      <w:r w:rsidRPr="00F90370">
        <w:rPr>
          <w:rFonts w:asciiTheme="majorHAnsi" w:hAnsiTheme="majorHAnsi" w:cs="Times New Roman"/>
          <w:sz w:val="24"/>
          <w:szCs w:val="24"/>
          <w:lang w:val="en-GB"/>
        </w:rPr>
        <w:t xml:space="preserve"> recommendations</w:t>
      </w:r>
      <w:r w:rsidR="009B5547" w:rsidRPr="009B5547">
        <w:t xml:space="preserve"> </w:t>
      </w:r>
      <w:r w:rsidR="009B5547" w:rsidRPr="009B5547">
        <w:rPr>
          <w:rFonts w:asciiTheme="majorHAnsi" w:hAnsiTheme="majorHAnsi" w:cs="Times New Roman"/>
          <w:sz w:val="24"/>
          <w:szCs w:val="24"/>
          <w:lang w:val="en-GB"/>
        </w:rPr>
        <w:t>on gender equality programming</w:t>
      </w:r>
      <w:r w:rsidRPr="00F90370">
        <w:rPr>
          <w:rFonts w:asciiTheme="majorHAnsi" w:hAnsiTheme="majorHAnsi" w:cs="Times New Roman"/>
          <w:sz w:val="24"/>
          <w:szCs w:val="24"/>
          <w:lang w:val="en-GB"/>
        </w:rPr>
        <w:t xml:space="preserve"> to the World Humanitarian Summit.</w:t>
      </w:r>
      <w:r w:rsidR="007C5E4C" w:rsidRPr="00F90370">
        <w:rPr>
          <w:rFonts w:asciiTheme="majorHAnsi" w:hAnsiTheme="majorHAnsi" w:cs="Times New Roman"/>
          <w:sz w:val="24"/>
          <w:szCs w:val="24"/>
          <w:lang w:val="en-GB"/>
        </w:rPr>
        <w:t xml:space="preserve">  There was overall agreement that IASC membership would not be reviewed at this point in time.</w:t>
      </w:r>
      <w:r w:rsidR="00B353EB">
        <w:rPr>
          <w:rFonts w:asciiTheme="majorHAnsi" w:hAnsiTheme="majorHAnsi" w:cs="Times New Roman"/>
          <w:sz w:val="24"/>
          <w:szCs w:val="24"/>
          <w:lang w:val="en-GB"/>
        </w:rPr>
        <w:t xml:space="preserve"> </w:t>
      </w:r>
      <w:r w:rsidR="00DF07D4" w:rsidRPr="00F90370">
        <w:rPr>
          <w:rFonts w:asciiTheme="majorHAnsi" w:hAnsiTheme="majorHAnsi" w:cs="Times New Roman"/>
          <w:sz w:val="24"/>
          <w:szCs w:val="24"/>
          <w:lang w:val="en-GB"/>
        </w:rPr>
        <w:t>On the issue of UNW membership in IASC, many noted that it would be inappropriate for the WG to reop</w:t>
      </w:r>
      <w:r w:rsidR="00BA5FA4" w:rsidRPr="00F90370">
        <w:rPr>
          <w:rFonts w:asciiTheme="majorHAnsi" w:hAnsiTheme="majorHAnsi" w:cs="Times New Roman"/>
          <w:sz w:val="24"/>
          <w:szCs w:val="24"/>
          <w:lang w:val="en-GB"/>
        </w:rPr>
        <w:t>en this issue when the Principal</w:t>
      </w:r>
      <w:r w:rsidR="00DF07D4" w:rsidRPr="00F90370">
        <w:rPr>
          <w:rFonts w:asciiTheme="majorHAnsi" w:hAnsiTheme="majorHAnsi" w:cs="Times New Roman"/>
          <w:sz w:val="24"/>
          <w:szCs w:val="24"/>
          <w:lang w:val="en-GB"/>
        </w:rPr>
        <w:t xml:space="preserve">s dealt with it and came to a conclusion just half a year ago.   </w:t>
      </w:r>
      <w:r w:rsidR="006042DB">
        <w:rPr>
          <w:rFonts w:asciiTheme="majorHAnsi" w:hAnsiTheme="majorHAnsi" w:cs="Times New Roman"/>
          <w:sz w:val="24"/>
          <w:szCs w:val="24"/>
          <w:lang w:val="en-GB"/>
        </w:rPr>
        <w:t>UN Women confirmed this was a recommendation and not the main purpose of the review.</w:t>
      </w:r>
    </w:p>
    <w:p w:rsidR="00F211DD" w:rsidRDefault="00F211DD" w:rsidP="00225F80">
      <w:pPr>
        <w:pStyle w:val="Body"/>
        <w:spacing w:line="240" w:lineRule="auto"/>
        <w:jc w:val="both"/>
        <w:rPr>
          <w:rFonts w:asciiTheme="majorHAnsi" w:hAnsiTheme="majorHAnsi" w:cs="Times New Roman"/>
        </w:rPr>
      </w:pPr>
    </w:p>
    <w:p w:rsidR="006042DB" w:rsidRDefault="00103BA8" w:rsidP="00225F80">
      <w:pPr>
        <w:pStyle w:val="Body"/>
        <w:spacing w:line="240" w:lineRule="auto"/>
        <w:jc w:val="both"/>
        <w:rPr>
          <w:rFonts w:asciiTheme="majorHAnsi" w:hAnsiTheme="majorHAnsi" w:cs="Times New Roman"/>
        </w:rPr>
      </w:pPr>
      <w:r>
        <w:rPr>
          <w:rFonts w:asciiTheme="majorHAnsi" w:hAnsiTheme="majorHAnsi" w:cs="Times New Roman"/>
        </w:rPr>
        <w:t>UN Women stressed the importance of gender equality to the humanitarian community and we</w:t>
      </w:r>
      <w:r w:rsidR="006042DB">
        <w:rPr>
          <w:rFonts w:asciiTheme="majorHAnsi" w:hAnsiTheme="majorHAnsi" w:cs="Times New Roman"/>
        </w:rPr>
        <w:t xml:space="preserve">lcomed the interest of agencies. </w:t>
      </w:r>
    </w:p>
    <w:p w:rsidR="00F211DD" w:rsidRPr="006E7067" w:rsidRDefault="00F211DD" w:rsidP="00225F80">
      <w:pPr>
        <w:pStyle w:val="Heading11"/>
        <w:jc w:val="both"/>
        <w:rPr>
          <w:rFonts w:asciiTheme="majorHAnsi" w:hAnsiTheme="majorHAnsi" w:cs="Times New Roman"/>
          <w:b/>
          <w:bCs/>
          <w:i/>
          <w:iCs/>
          <w:sz w:val="24"/>
          <w:szCs w:val="24"/>
          <w:lang w:val="en-GB"/>
        </w:rPr>
      </w:pPr>
    </w:p>
    <w:p w:rsidR="00F211DD" w:rsidRPr="006E7067" w:rsidRDefault="00F211DD" w:rsidP="00225F80">
      <w:pPr>
        <w:pStyle w:val="Heading11"/>
        <w:jc w:val="both"/>
        <w:rPr>
          <w:rFonts w:asciiTheme="majorHAnsi" w:hAnsiTheme="majorHAnsi" w:cs="Times New Roman"/>
          <w:b/>
          <w:bCs/>
          <w:i/>
          <w:iCs/>
          <w:sz w:val="24"/>
          <w:szCs w:val="24"/>
          <w:lang w:val="en-GB"/>
        </w:rPr>
      </w:pPr>
      <w:r w:rsidRPr="006E7067">
        <w:rPr>
          <w:rFonts w:asciiTheme="majorHAnsi" w:hAnsiTheme="majorHAnsi" w:cs="Times New Roman"/>
          <w:b/>
          <w:bCs/>
          <w:i/>
          <w:iCs/>
          <w:sz w:val="24"/>
          <w:szCs w:val="24"/>
          <w:lang w:val="en-GB"/>
        </w:rPr>
        <w:t>Action Points:</w:t>
      </w:r>
    </w:p>
    <w:p w:rsidR="00F211DD" w:rsidRPr="007C5E4C" w:rsidRDefault="00F211DD" w:rsidP="00225F80">
      <w:pPr>
        <w:pStyle w:val="ListParagraph"/>
        <w:numPr>
          <w:ilvl w:val="0"/>
          <w:numId w:val="15"/>
        </w:numPr>
        <w:jc w:val="both"/>
        <w:rPr>
          <w:rFonts w:asciiTheme="majorHAnsi" w:hAnsiTheme="majorHAnsi" w:cs="Times New Roman"/>
          <w:i/>
        </w:rPr>
      </w:pPr>
      <w:r w:rsidRPr="007C5E4C">
        <w:rPr>
          <w:rFonts w:asciiTheme="majorHAnsi" w:hAnsiTheme="majorHAnsi" w:cs="Times New Roman"/>
          <w:i/>
        </w:rPr>
        <w:t xml:space="preserve">WG members to send </w:t>
      </w:r>
      <w:r w:rsidR="006042DB">
        <w:rPr>
          <w:rFonts w:asciiTheme="majorHAnsi" w:hAnsiTheme="majorHAnsi" w:cs="Times New Roman"/>
          <w:i/>
        </w:rPr>
        <w:t xml:space="preserve">further </w:t>
      </w:r>
      <w:r w:rsidRPr="007C5E4C">
        <w:rPr>
          <w:rFonts w:asciiTheme="majorHAnsi" w:hAnsiTheme="majorHAnsi" w:cs="Times New Roman"/>
          <w:i/>
        </w:rPr>
        <w:t>comments on policy statement review to UN</w:t>
      </w:r>
      <w:r w:rsidR="00CD4589" w:rsidRPr="007C5E4C">
        <w:rPr>
          <w:rFonts w:asciiTheme="majorHAnsi" w:hAnsiTheme="majorHAnsi" w:cs="Times New Roman"/>
          <w:i/>
        </w:rPr>
        <w:t xml:space="preserve"> Women</w:t>
      </w:r>
      <w:r w:rsidRPr="007C5E4C">
        <w:rPr>
          <w:rFonts w:asciiTheme="majorHAnsi" w:hAnsiTheme="majorHAnsi" w:cs="Times New Roman"/>
          <w:i/>
        </w:rPr>
        <w:t xml:space="preserve"> by mid July 2015.</w:t>
      </w:r>
    </w:p>
    <w:p w:rsidR="00F211DD" w:rsidRPr="007C5E4C" w:rsidRDefault="00F211DD" w:rsidP="00225F80">
      <w:pPr>
        <w:pStyle w:val="ListParagraph"/>
        <w:numPr>
          <w:ilvl w:val="0"/>
          <w:numId w:val="15"/>
        </w:numPr>
        <w:jc w:val="both"/>
        <w:rPr>
          <w:rFonts w:asciiTheme="majorHAnsi" w:hAnsiTheme="majorHAnsi" w:cs="Times New Roman"/>
          <w:i/>
        </w:rPr>
      </w:pPr>
      <w:r w:rsidRPr="007C5E4C">
        <w:rPr>
          <w:rFonts w:asciiTheme="majorHAnsi" w:hAnsiTheme="majorHAnsi" w:cs="Times New Roman"/>
          <w:i/>
        </w:rPr>
        <w:t xml:space="preserve">The </w:t>
      </w:r>
      <w:r w:rsidR="006D6646" w:rsidRPr="007C5E4C">
        <w:rPr>
          <w:rFonts w:asciiTheme="majorHAnsi" w:hAnsiTheme="majorHAnsi" w:cs="Times New Roman"/>
          <w:i/>
        </w:rPr>
        <w:t>GRG</w:t>
      </w:r>
      <w:r w:rsidRPr="007C5E4C">
        <w:rPr>
          <w:rFonts w:asciiTheme="majorHAnsi" w:hAnsiTheme="majorHAnsi" w:cs="Times New Roman"/>
          <w:i/>
        </w:rPr>
        <w:t xml:space="preserve"> to seek to strengthen gender messaging in WHS (in writing end of July 2015 and during consultation</w:t>
      </w:r>
      <w:r w:rsidR="006E7067" w:rsidRPr="007C5E4C">
        <w:rPr>
          <w:rFonts w:asciiTheme="majorHAnsi" w:hAnsiTheme="majorHAnsi" w:cs="Times New Roman"/>
          <w:i/>
        </w:rPr>
        <w:t>s</w:t>
      </w:r>
      <w:r w:rsidRPr="007C5E4C">
        <w:rPr>
          <w:rFonts w:asciiTheme="majorHAnsi" w:hAnsiTheme="majorHAnsi" w:cs="Times New Roman"/>
          <w:i/>
        </w:rPr>
        <w:t xml:space="preserve"> until March 2016).</w:t>
      </w:r>
    </w:p>
    <w:p w:rsidR="00F211DD" w:rsidRPr="007C5E4C" w:rsidRDefault="00F211DD" w:rsidP="00E13A29">
      <w:pPr>
        <w:pStyle w:val="ListParagraph"/>
        <w:numPr>
          <w:ilvl w:val="0"/>
          <w:numId w:val="15"/>
        </w:numPr>
        <w:jc w:val="both"/>
        <w:rPr>
          <w:rFonts w:asciiTheme="majorHAnsi" w:hAnsiTheme="majorHAnsi" w:cs="Times New Roman"/>
          <w:i/>
        </w:rPr>
      </w:pPr>
      <w:r w:rsidRPr="007C5E4C">
        <w:rPr>
          <w:rFonts w:asciiTheme="majorHAnsi" w:hAnsiTheme="majorHAnsi" w:cs="Times New Roman"/>
          <w:i/>
        </w:rPr>
        <w:t>Re</w:t>
      </w:r>
      <w:r w:rsidR="006E7067" w:rsidRPr="007C5E4C">
        <w:rPr>
          <w:rFonts w:asciiTheme="majorHAnsi" w:hAnsiTheme="majorHAnsi" w:cs="Times New Roman"/>
          <w:i/>
        </w:rPr>
        <w:t>structure and strengthen the Gender Reference Group</w:t>
      </w:r>
      <w:r w:rsidR="007C5E4C" w:rsidRPr="007C5E4C">
        <w:rPr>
          <w:rFonts w:asciiTheme="majorHAnsi" w:eastAsiaTheme="minorHAnsi" w:hAnsiTheme="majorHAnsi" w:cs="Times New Roman"/>
          <w:i/>
          <w:color w:val="auto"/>
          <w:sz w:val="22"/>
          <w:szCs w:val="22"/>
          <w:bdr w:val="none" w:sz="0" w:space="0" w:color="auto"/>
          <w:lang w:eastAsia="en-US"/>
        </w:rPr>
        <w:t xml:space="preserve"> </w:t>
      </w:r>
      <w:r w:rsidR="007C5E4C" w:rsidRPr="007C5E4C">
        <w:rPr>
          <w:rFonts w:asciiTheme="majorHAnsi" w:hAnsiTheme="majorHAnsi" w:cs="Times New Roman"/>
          <w:i/>
        </w:rPr>
        <w:t xml:space="preserve">including </w:t>
      </w:r>
      <w:r w:rsidR="00DF07D4">
        <w:rPr>
          <w:rFonts w:asciiTheme="majorHAnsi" w:hAnsiTheme="majorHAnsi" w:cs="Times New Roman"/>
          <w:i/>
        </w:rPr>
        <w:t xml:space="preserve">reducing the number of </w:t>
      </w:r>
      <w:r w:rsidR="007C5E4C" w:rsidRPr="007C5E4C">
        <w:rPr>
          <w:rFonts w:asciiTheme="majorHAnsi" w:hAnsiTheme="majorHAnsi" w:cs="Times New Roman"/>
          <w:i/>
        </w:rPr>
        <w:t>co-chair</w:t>
      </w:r>
      <w:r w:rsidR="00DF07D4">
        <w:rPr>
          <w:rFonts w:asciiTheme="majorHAnsi" w:hAnsiTheme="majorHAnsi" w:cs="Times New Roman"/>
          <w:i/>
        </w:rPr>
        <w:t xml:space="preserve">s </w:t>
      </w:r>
      <w:r w:rsidR="007C5E4C" w:rsidRPr="007C5E4C">
        <w:rPr>
          <w:rFonts w:asciiTheme="majorHAnsi" w:hAnsiTheme="majorHAnsi" w:cs="Times New Roman"/>
          <w:i/>
        </w:rPr>
        <w:t xml:space="preserve">to one UN agency and </w:t>
      </w:r>
      <w:r w:rsidR="00DF07D4">
        <w:rPr>
          <w:rFonts w:asciiTheme="majorHAnsi" w:hAnsiTheme="majorHAnsi" w:cs="Times New Roman"/>
          <w:i/>
        </w:rPr>
        <w:t xml:space="preserve">one </w:t>
      </w:r>
      <w:r w:rsidR="007C5E4C" w:rsidRPr="007C5E4C">
        <w:rPr>
          <w:rFonts w:asciiTheme="majorHAnsi" w:hAnsiTheme="majorHAnsi" w:cs="Times New Roman"/>
          <w:i/>
        </w:rPr>
        <w:t>NGO</w:t>
      </w:r>
      <w:r w:rsidR="00DF07D4">
        <w:rPr>
          <w:rFonts w:asciiTheme="majorHAnsi" w:hAnsiTheme="majorHAnsi" w:cs="Times New Roman"/>
          <w:i/>
        </w:rPr>
        <w:t xml:space="preserve">. </w:t>
      </w:r>
      <w:r w:rsidR="006E7067" w:rsidRPr="007C5E4C">
        <w:rPr>
          <w:rFonts w:asciiTheme="majorHAnsi" w:hAnsiTheme="majorHAnsi" w:cs="Times New Roman"/>
          <w:i/>
        </w:rPr>
        <w:t xml:space="preserve"> </w:t>
      </w:r>
      <w:r w:rsidRPr="007C5E4C">
        <w:rPr>
          <w:rFonts w:asciiTheme="majorHAnsi" w:hAnsiTheme="majorHAnsi" w:cs="Times New Roman"/>
          <w:i/>
        </w:rPr>
        <w:t xml:space="preserve">GRG to develop a two-year work plan for consideration by the WG in October (submission of the proposal to WG by mid-September). The work plan needs to include: 1.) Development of an Accountability Framework taking into consideration other existing accountability frameworks (e.g. AAP) and the capacity to implement, 2.) </w:t>
      </w:r>
      <w:r w:rsidR="006D6646" w:rsidRPr="007C5E4C">
        <w:rPr>
          <w:rFonts w:asciiTheme="majorHAnsi" w:hAnsiTheme="majorHAnsi" w:cs="Times New Roman"/>
          <w:i/>
        </w:rPr>
        <w:t>Update</w:t>
      </w:r>
      <w:r w:rsidRPr="007C5E4C">
        <w:rPr>
          <w:rFonts w:asciiTheme="majorHAnsi" w:hAnsiTheme="majorHAnsi" w:cs="Times New Roman"/>
          <w:i/>
        </w:rPr>
        <w:t xml:space="preserve"> of the policy in light of the review.</w:t>
      </w:r>
      <w:r w:rsidR="00E13A29" w:rsidRPr="00E13A29">
        <w:t xml:space="preserve"> </w:t>
      </w:r>
      <w:r w:rsidR="00E13A29" w:rsidRPr="00E13A29">
        <w:rPr>
          <w:rFonts w:asciiTheme="majorHAnsi" w:hAnsiTheme="majorHAnsi" w:cs="Times New Roman"/>
          <w:i/>
        </w:rPr>
        <w:t>3) Pract</w:t>
      </w:r>
      <w:r w:rsidR="00E13A29">
        <w:rPr>
          <w:rFonts w:asciiTheme="majorHAnsi" w:hAnsiTheme="majorHAnsi" w:cs="Times New Roman"/>
          <w:i/>
        </w:rPr>
        <w:t xml:space="preserve">ical field-oriented activities. </w:t>
      </w:r>
      <w:r w:rsidRPr="007C5E4C">
        <w:rPr>
          <w:rFonts w:asciiTheme="majorHAnsi" w:hAnsiTheme="majorHAnsi" w:cs="Times New Roman"/>
          <w:i/>
        </w:rPr>
        <w:t>In light of the pending development of the Accountability Framework, a conversion into a time-bound task team could be considered.</w:t>
      </w:r>
    </w:p>
    <w:p w:rsidR="00F211DD" w:rsidRPr="007C5E4C" w:rsidRDefault="00F211DD" w:rsidP="00225F80">
      <w:pPr>
        <w:pStyle w:val="ListParagraph"/>
        <w:numPr>
          <w:ilvl w:val="0"/>
          <w:numId w:val="15"/>
        </w:numPr>
        <w:jc w:val="both"/>
        <w:rPr>
          <w:rFonts w:asciiTheme="majorHAnsi" w:hAnsiTheme="majorHAnsi" w:cs="Times New Roman"/>
          <w:i/>
        </w:rPr>
      </w:pPr>
      <w:r w:rsidRPr="007C5E4C">
        <w:rPr>
          <w:rFonts w:asciiTheme="majorHAnsi" w:hAnsiTheme="majorHAnsi" w:cs="Times New Roman"/>
          <w:i/>
        </w:rPr>
        <w:t xml:space="preserve">October WG meeting to agree how to take the policy </w:t>
      </w:r>
      <w:proofErr w:type="gramStart"/>
      <w:r w:rsidRPr="007C5E4C">
        <w:rPr>
          <w:rFonts w:asciiTheme="majorHAnsi" w:hAnsiTheme="majorHAnsi" w:cs="Times New Roman"/>
          <w:i/>
        </w:rPr>
        <w:t>review</w:t>
      </w:r>
      <w:proofErr w:type="gramEnd"/>
      <w:r w:rsidRPr="007C5E4C">
        <w:rPr>
          <w:rFonts w:asciiTheme="majorHAnsi" w:hAnsiTheme="majorHAnsi" w:cs="Times New Roman"/>
          <w:i/>
        </w:rPr>
        <w:t xml:space="preserve"> further.</w:t>
      </w:r>
    </w:p>
    <w:p w:rsidR="00F211DD" w:rsidRPr="006E7067" w:rsidRDefault="00F211DD" w:rsidP="00225F80">
      <w:pPr>
        <w:pStyle w:val="NoSpacing"/>
        <w:jc w:val="both"/>
        <w:rPr>
          <w:rFonts w:asciiTheme="majorHAnsi" w:hAnsiTheme="majorHAnsi" w:cs="Times New Roman"/>
          <w:i/>
          <w:sz w:val="24"/>
          <w:szCs w:val="24"/>
          <w:lang w:val="en-US"/>
        </w:rPr>
      </w:pPr>
    </w:p>
    <w:p w:rsidR="00F211DD" w:rsidRPr="006E7067" w:rsidRDefault="00F211DD" w:rsidP="00225F80">
      <w:pPr>
        <w:pStyle w:val="Heading"/>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Presentation on the Inter Agency Humanitarian Evaluation (IAHE) in South Sudan</w:t>
      </w:r>
    </w:p>
    <w:p w:rsidR="00F211DD" w:rsidRPr="006E7067" w:rsidRDefault="00F211DD" w:rsidP="00225F80">
      <w:pPr>
        <w:pStyle w:val="NoSpacing"/>
        <w:jc w:val="both"/>
        <w:rPr>
          <w:rFonts w:asciiTheme="majorHAnsi" w:hAnsiTheme="majorHAnsi" w:cs="Times New Roman"/>
          <w:sz w:val="24"/>
          <w:szCs w:val="24"/>
          <w:lang w:val="en-US"/>
        </w:rPr>
      </w:pPr>
    </w:p>
    <w:p w:rsidR="006D6646" w:rsidRPr="006E7067" w:rsidRDefault="00F211DD" w:rsidP="00225F80">
      <w:pPr>
        <w:pStyle w:val="Body"/>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 xml:space="preserve">Objective of the agenda item was to give WG members a chance to review preliminary findings of the IAHE in South Sudan in order to allow a sharpening of the final draft. UNICEF (as member of the management group) presented the preliminary findings of the IAHE, following a prior presentation to the HCT in South Sudan. Overall, the IAHE and WG members acknowledged the humanitarian response in South Sudan having had an impressive impact despite the extraordinarily complicated situation. Evaluators warned of </w:t>
      </w:r>
      <w:r w:rsidRPr="006E7067">
        <w:rPr>
          <w:rFonts w:asciiTheme="majorHAnsi" w:hAnsiTheme="majorHAnsi" w:cs="Times New Roman"/>
          <w:sz w:val="24"/>
          <w:szCs w:val="24"/>
        </w:rPr>
        <w:lastRenderedPageBreak/>
        <w:t>th</w:t>
      </w:r>
      <w:r w:rsidR="006E7067">
        <w:rPr>
          <w:rFonts w:asciiTheme="majorHAnsi" w:hAnsiTheme="majorHAnsi" w:cs="Times New Roman"/>
          <w:sz w:val="24"/>
          <w:szCs w:val="24"/>
        </w:rPr>
        <w:t>e response having been concentrated i</w:t>
      </w:r>
      <w:r w:rsidRPr="006E7067">
        <w:rPr>
          <w:rFonts w:asciiTheme="majorHAnsi" w:hAnsiTheme="majorHAnsi" w:cs="Times New Roman"/>
          <w:sz w:val="24"/>
          <w:szCs w:val="24"/>
        </w:rPr>
        <w:t xml:space="preserve">n Juba and other regions receiving insufficient attention or, as in opposition areas, coordination structures being entirely absent (a shortcoming that has been recognized and is being addressed by the HCT) and leadership and accountability too diffused among various bodies. </w:t>
      </w:r>
    </w:p>
    <w:p w:rsidR="006D6646" w:rsidRPr="006E7067" w:rsidRDefault="006D6646" w:rsidP="00225F80">
      <w:pPr>
        <w:pStyle w:val="Body"/>
        <w:spacing w:line="240" w:lineRule="auto"/>
        <w:jc w:val="both"/>
        <w:rPr>
          <w:rFonts w:asciiTheme="majorHAnsi" w:hAnsiTheme="majorHAnsi" w:cs="Times New Roman"/>
          <w:sz w:val="24"/>
          <w:szCs w:val="24"/>
        </w:rPr>
      </w:pPr>
    </w:p>
    <w:p w:rsidR="00F211DD" w:rsidRPr="006E7067" w:rsidRDefault="00F211DD" w:rsidP="00225F80">
      <w:pPr>
        <w:pStyle w:val="Body"/>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 xml:space="preserve">The evaluation team commended the enormous collection of data however warned that it was </w:t>
      </w:r>
      <w:r w:rsidR="00CD4589">
        <w:rPr>
          <w:rFonts w:asciiTheme="majorHAnsi" w:hAnsiTheme="majorHAnsi" w:cs="Times New Roman"/>
          <w:sz w:val="24"/>
          <w:szCs w:val="24"/>
        </w:rPr>
        <w:t>in</w:t>
      </w:r>
      <w:r w:rsidRPr="006E7067">
        <w:rPr>
          <w:rFonts w:asciiTheme="majorHAnsi" w:hAnsiTheme="majorHAnsi" w:cs="Times New Roman"/>
          <w:sz w:val="24"/>
          <w:szCs w:val="24"/>
        </w:rPr>
        <w:t xml:space="preserve">sufficiently disaggregated and ineffectively used. The use of the Strategic Response Plan as a fundraising rather than planning document was questioned as was the absence of an inter-agency contingency plan prior to the crisis. Evaluators and WG members highlighted that an L3 status proved to be useful at the onset of a crisis mostly. Evaluators warned of the danger of the response becoming manipulated as humanitarian space is closing down and that adherence to the humanitarian principles and greater conflict sensitivity were critical. WG members in this regard highlighted that the IAHE needed to recognize the dynamics of an integrated mission. </w:t>
      </w:r>
      <w:r w:rsidR="006D6646" w:rsidRPr="006E7067">
        <w:rPr>
          <w:rFonts w:asciiTheme="majorHAnsi" w:hAnsiTheme="majorHAnsi" w:cs="Times New Roman"/>
          <w:sz w:val="24"/>
          <w:szCs w:val="24"/>
        </w:rPr>
        <w:t>The evaluation team</w:t>
      </w:r>
      <w:r w:rsidRPr="006E7067">
        <w:rPr>
          <w:rFonts w:asciiTheme="majorHAnsi" w:hAnsiTheme="majorHAnsi" w:cs="Times New Roman"/>
          <w:sz w:val="24"/>
          <w:szCs w:val="24"/>
        </w:rPr>
        <w:t xml:space="preserve"> also warned that South Sudan was in danger of becoming a forgotten crisis. The presenter stressed that only a political solution would allow change and argued that humanitarians could do more to support peacebuilding efforts as a prerequisite for change (an argument that was disagreed with by some WG members). </w:t>
      </w:r>
    </w:p>
    <w:p w:rsidR="006D6646" w:rsidRPr="006E7067" w:rsidRDefault="006D6646" w:rsidP="00225F80">
      <w:pPr>
        <w:pStyle w:val="Body"/>
        <w:spacing w:line="240" w:lineRule="auto"/>
        <w:jc w:val="both"/>
        <w:rPr>
          <w:rFonts w:asciiTheme="majorHAnsi" w:hAnsiTheme="majorHAnsi" w:cs="Times New Roman"/>
          <w:sz w:val="24"/>
          <w:szCs w:val="24"/>
        </w:rPr>
      </w:pPr>
    </w:p>
    <w:p w:rsidR="00F211DD" w:rsidRPr="006E7067" w:rsidRDefault="00F211DD" w:rsidP="00225F80">
      <w:pPr>
        <w:pStyle w:val="Body"/>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WG members stressed the need for further consultations of the evaluation team in country. They also needed to give greater consideration to protection and clearly link to other evaluations (including the OPR). They requested to see the draft report with concrete recommendations.</w:t>
      </w:r>
    </w:p>
    <w:p w:rsidR="00F211DD" w:rsidRPr="006E7067" w:rsidRDefault="00F211DD" w:rsidP="00225F80">
      <w:pPr>
        <w:pStyle w:val="Body"/>
        <w:spacing w:line="240" w:lineRule="auto"/>
        <w:jc w:val="both"/>
        <w:rPr>
          <w:rFonts w:asciiTheme="majorHAnsi" w:hAnsiTheme="majorHAnsi" w:cs="Times New Roman"/>
          <w:sz w:val="24"/>
          <w:szCs w:val="24"/>
        </w:rPr>
      </w:pPr>
    </w:p>
    <w:p w:rsidR="00F211DD" w:rsidRPr="006E7067" w:rsidRDefault="00F211DD" w:rsidP="00225F80">
      <w:pPr>
        <w:pStyle w:val="Heading11"/>
        <w:jc w:val="both"/>
        <w:rPr>
          <w:rFonts w:asciiTheme="majorHAnsi" w:hAnsiTheme="majorHAnsi" w:cs="Times New Roman"/>
          <w:b/>
          <w:bCs/>
          <w:i/>
          <w:iCs/>
          <w:sz w:val="24"/>
          <w:szCs w:val="24"/>
          <w:lang w:val="en-GB"/>
        </w:rPr>
      </w:pPr>
      <w:r w:rsidRPr="006E7067">
        <w:rPr>
          <w:rFonts w:asciiTheme="majorHAnsi" w:hAnsiTheme="majorHAnsi" w:cs="Times New Roman"/>
          <w:b/>
          <w:bCs/>
          <w:i/>
          <w:iCs/>
          <w:sz w:val="24"/>
          <w:szCs w:val="24"/>
          <w:lang w:val="en-GB"/>
        </w:rPr>
        <w:t>Action Points:</w:t>
      </w:r>
    </w:p>
    <w:p w:rsidR="00F211DD" w:rsidRPr="007C5E4C" w:rsidRDefault="00F211DD" w:rsidP="00791292">
      <w:pPr>
        <w:pStyle w:val="ListParagraph"/>
        <w:numPr>
          <w:ilvl w:val="0"/>
          <w:numId w:val="15"/>
        </w:numPr>
        <w:jc w:val="both"/>
        <w:rPr>
          <w:rFonts w:asciiTheme="majorHAnsi" w:hAnsiTheme="majorHAnsi" w:cs="Times New Roman"/>
          <w:i/>
          <w:lang w:val="en-GB"/>
        </w:rPr>
      </w:pPr>
      <w:r w:rsidRPr="007C5E4C">
        <w:rPr>
          <w:rFonts w:asciiTheme="majorHAnsi" w:hAnsiTheme="majorHAnsi" w:cs="Times New Roman"/>
          <w:i/>
        </w:rPr>
        <w:t xml:space="preserve">Before finalizing the report, evaluators to undertake further consultations at the country </w:t>
      </w:r>
      <w:r w:rsidRPr="007C5E4C">
        <w:rPr>
          <w:rFonts w:asciiTheme="majorHAnsi" w:hAnsiTheme="majorHAnsi" w:cs="Times New Roman"/>
          <w:i/>
          <w:lang w:val="en-GB"/>
        </w:rPr>
        <w:t xml:space="preserve">level </w:t>
      </w:r>
      <w:r w:rsidR="00E13A29">
        <w:rPr>
          <w:rFonts w:asciiTheme="majorHAnsi" w:hAnsiTheme="majorHAnsi" w:cs="Times New Roman"/>
          <w:i/>
          <w:lang w:val="en-GB"/>
        </w:rPr>
        <w:t xml:space="preserve">individually </w:t>
      </w:r>
      <w:r w:rsidRPr="007C5E4C">
        <w:rPr>
          <w:rFonts w:asciiTheme="majorHAnsi" w:hAnsiTheme="majorHAnsi" w:cs="Times New Roman"/>
          <w:i/>
          <w:lang w:val="en-GB"/>
        </w:rPr>
        <w:t>with those agencies that have n</w:t>
      </w:r>
      <w:r w:rsidR="00791292">
        <w:rPr>
          <w:rFonts w:asciiTheme="majorHAnsi" w:hAnsiTheme="majorHAnsi" w:cs="Times New Roman"/>
          <w:i/>
          <w:lang w:val="en-GB"/>
        </w:rPr>
        <w:t xml:space="preserve">ot been consulted sufficiently </w:t>
      </w:r>
      <w:r w:rsidR="00791292" w:rsidRPr="00791292">
        <w:rPr>
          <w:rFonts w:asciiTheme="majorHAnsi" w:hAnsiTheme="majorHAnsi" w:cs="Times New Roman"/>
          <w:i/>
          <w:lang w:val="en-GB"/>
        </w:rPr>
        <w:t>and collectively with the HCT in country.</w:t>
      </w:r>
    </w:p>
    <w:p w:rsidR="00F211DD" w:rsidRPr="007C5E4C" w:rsidRDefault="00F211DD" w:rsidP="00225F80">
      <w:pPr>
        <w:pStyle w:val="ListParagraph"/>
        <w:numPr>
          <w:ilvl w:val="0"/>
          <w:numId w:val="15"/>
        </w:numPr>
        <w:jc w:val="both"/>
        <w:rPr>
          <w:rFonts w:asciiTheme="majorHAnsi" w:hAnsiTheme="majorHAnsi" w:cs="Times New Roman"/>
          <w:i/>
        </w:rPr>
      </w:pPr>
      <w:r w:rsidRPr="007C5E4C">
        <w:rPr>
          <w:rFonts w:asciiTheme="majorHAnsi" w:hAnsiTheme="majorHAnsi" w:cs="Times New Roman"/>
          <w:i/>
        </w:rPr>
        <w:t>Circulate draft report sent to WG and EDG by end of July for comments and final report with a management response matrix by the end of August 2015.</w:t>
      </w:r>
    </w:p>
    <w:p w:rsidR="00F211DD" w:rsidRPr="006E7067" w:rsidRDefault="00F211DD" w:rsidP="00225F80">
      <w:pPr>
        <w:pStyle w:val="Body"/>
        <w:spacing w:line="240" w:lineRule="auto"/>
        <w:jc w:val="both"/>
        <w:rPr>
          <w:rFonts w:asciiTheme="majorHAnsi" w:hAnsiTheme="majorHAnsi" w:cs="Times New Roman"/>
          <w:i/>
          <w:sz w:val="24"/>
          <w:szCs w:val="24"/>
        </w:rPr>
      </w:pPr>
    </w:p>
    <w:p w:rsidR="00F211DD" w:rsidRPr="006E7067" w:rsidRDefault="00F211DD" w:rsidP="00225F80">
      <w:pPr>
        <w:pStyle w:val="Heading"/>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Nairobi P</w:t>
      </w:r>
      <w:r w:rsidR="00CD4589">
        <w:rPr>
          <w:rFonts w:asciiTheme="majorHAnsi" w:hAnsiTheme="majorHAnsi" w:cs="Times New Roman"/>
          <w:sz w:val="24"/>
          <w:szCs w:val="24"/>
        </w:rPr>
        <w:t>rincipals</w:t>
      </w:r>
      <w:r w:rsidRPr="006E7067">
        <w:rPr>
          <w:rFonts w:asciiTheme="majorHAnsi" w:hAnsiTheme="majorHAnsi" w:cs="Times New Roman"/>
          <w:sz w:val="24"/>
          <w:szCs w:val="24"/>
        </w:rPr>
        <w:t xml:space="preserve"> meeting</w:t>
      </w:r>
    </w:p>
    <w:p w:rsidR="00F211DD" w:rsidRPr="006E7067" w:rsidRDefault="00F211DD" w:rsidP="00225F80">
      <w:pPr>
        <w:pStyle w:val="Body"/>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The Chair of th</w:t>
      </w:r>
      <w:r w:rsidR="00CD4589">
        <w:rPr>
          <w:rFonts w:asciiTheme="majorHAnsi" w:hAnsiTheme="majorHAnsi" w:cs="Times New Roman"/>
          <w:sz w:val="24"/>
          <w:szCs w:val="24"/>
        </w:rPr>
        <w:t>e WG debriefed on the Nairobi Principals</w:t>
      </w:r>
      <w:r w:rsidRPr="006E7067">
        <w:rPr>
          <w:rFonts w:asciiTheme="majorHAnsi" w:hAnsiTheme="majorHAnsi" w:cs="Times New Roman"/>
          <w:sz w:val="24"/>
          <w:szCs w:val="24"/>
        </w:rPr>
        <w:t xml:space="preserve"> meeting</w:t>
      </w:r>
      <w:r w:rsidR="006E7067">
        <w:rPr>
          <w:rFonts w:asciiTheme="majorHAnsi" w:hAnsiTheme="majorHAnsi" w:cs="Times New Roman"/>
          <w:sz w:val="24"/>
          <w:szCs w:val="24"/>
        </w:rPr>
        <w:t xml:space="preserve">. </w:t>
      </w:r>
      <w:r w:rsidR="00DF07D4">
        <w:rPr>
          <w:rFonts w:asciiTheme="majorHAnsi" w:hAnsiTheme="majorHAnsi" w:cs="Times New Roman"/>
          <w:sz w:val="24"/>
          <w:szCs w:val="24"/>
        </w:rPr>
        <w:t>The</w:t>
      </w:r>
      <w:r w:rsidR="006E7067">
        <w:rPr>
          <w:rFonts w:asciiTheme="majorHAnsi" w:hAnsiTheme="majorHAnsi" w:cs="Times New Roman"/>
          <w:sz w:val="24"/>
          <w:szCs w:val="24"/>
        </w:rPr>
        <w:t xml:space="preserve"> Principals</w:t>
      </w:r>
      <w:r w:rsidRPr="006E7067">
        <w:rPr>
          <w:rFonts w:asciiTheme="majorHAnsi" w:hAnsiTheme="majorHAnsi" w:cs="Times New Roman"/>
          <w:sz w:val="24"/>
          <w:szCs w:val="24"/>
        </w:rPr>
        <w:t xml:space="preserve"> were expected to provide input by 30 June 2015 on draft minutes and action points and that the IASC Secretariat would take </w:t>
      </w:r>
      <w:r w:rsidR="00CD4589">
        <w:rPr>
          <w:rFonts w:asciiTheme="majorHAnsi" w:hAnsiTheme="majorHAnsi" w:cs="Times New Roman"/>
          <w:sz w:val="24"/>
          <w:szCs w:val="24"/>
        </w:rPr>
        <w:t xml:space="preserve">the </w:t>
      </w:r>
      <w:r w:rsidRPr="006E7067">
        <w:rPr>
          <w:rFonts w:asciiTheme="majorHAnsi" w:hAnsiTheme="majorHAnsi" w:cs="Times New Roman"/>
          <w:sz w:val="24"/>
          <w:szCs w:val="24"/>
        </w:rPr>
        <w:t>action points forward.</w:t>
      </w:r>
    </w:p>
    <w:p w:rsidR="00F211DD" w:rsidRPr="006E7067" w:rsidRDefault="00F211DD" w:rsidP="00225F80">
      <w:pPr>
        <w:pStyle w:val="Heading"/>
        <w:spacing w:line="240" w:lineRule="auto"/>
        <w:jc w:val="both"/>
        <w:rPr>
          <w:rFonts w:asciiTheme="majorHAnsi" w:hAnsiTheme="majorHAnsi" w:cs="Times New Roman"/>
          <w:sz w:val="24"/>
          <w:szCs w:val="24"/>
        </w:rPr>
      </w:pPr>
      <w:r w:rsidRPr="006E7067">
        <w:rPr>
          <w:rFonts w:asciiTheme="majorHAnsi" w:hAnsiTheme="majorHAnsi" w:cs="Times New Roman"/>
          <w:sz w:val="24"/>
          <w:szCs w:val="24"/>
        </w:rPr>
        <w:t>AOB</w:t>
      </w:r>
    </w:p>
    <w:p w:rsidR="00F211DD" w:rsidRPr="006E7067" w:rsidRDefault="00F211DD" w:rsidP="00225F80">
      <w:pPr>
        <w:pStyle w:val="NoSpacing"/>
        <w:jc w:val="both"/>
        <w:rPr>
          <w:rFonts w:asciiTheme="majorHAnsi" w:hAnsiTheme="majorHAnsi" w:cs="Times New Roman"/>
          <w:sz w:val="24"/>
          <w:szCs w:val="24"/>
          <w:lang w:val="en-US"/>
        </w:rPr>
      </w:pPr>
      <w:r w:rsidRPr="006E7067">
        <w:rPr>
          <w:rFonts w:asciiTheme="majorHAnsi" w:hAnsiTheme="majorHAnsi" w:cs="Times New Roman"/>
          <w:sz w:val="24"/>
          <w:szCs w:val="24"/>
          <w:lang w:val="en-US"/>
        </w:rPr>
        <w:t>The Chair of the WG complimented the IASC Secretariat on the ECOSOC side event.</w:t>
      </w:r>
    </w:p>
    <w:p w:rsidR="00F211DD" w:rsidRPr="006E7067" w:rsidRDefault="00F211DD" w:rsidP="00225F80">
      <w:pPr>
        <w:pStyle w:val="NoSpacing"/>
        <w:jc w:val="both"/>
        <w:rPr>
          <w:rFonts w:asciiTheme="majorHAnsi" w:hAnsiTheme="majorHAnsi" w:cs="Times New Roman"/>
          <w:sz w:val="24"/>
          <w:szCs w:val="24"/>
          <w:lang w:val="en-US"/>
        </w:rPr>
      </w:pPr>
      <w:r w:rsidRPr="006E7067">
        <w:rPr>
          <w:rFonts w:asciiTheme="majorHAnsi" w:hAnsiTheme="majorHAnsi" w:cs="Times New Roman"/>
          <w:sz w:val="24"/>
          <w:szCs w:val="24"/>
          <w:lang w:val="en-US"/>
        </w:rPr>
        <w:t xml:space="preserve">She </w:t>
      </w:r>
      <w:r w:rsidR="00DF07D4">
        <w:rPr>
          <w:rFonts w:asciiTheme="majorHAnsi" w:hAnsiTheme="majorHAnsi" w:cs="Times New Roman"/>
          <w:sz w:val="24"/>
          <w:szCs w:val="24"/>
          <w:lang w:val="en-US"/>
        </w:rPr>
        <w:t xml:space="preserve">noted </w:t>
      </w:r>
      <w:r w:rsidRPr="006E7067">
        <w:rPr>
          <w:rFonts w:asciiTheme="majorHAnsi" w:hAnsiTheme="majorHAnsi" w:cs="Times New Roman"/>
          <w:sz w:val="24"/>
          <w:szCs w:val="24"/>
          <w:lang w:val="en-US"/>
        </w:rPr>
        <w:t>the need to review IASC Task Team mandates.</w:t>
      </w:r>
    </w:p>
    <w:p w:rsidR="00F211DD" w:rsidRPr="006E7067" w:rsidRDefault="00F211DD" w:rsidP="00225F80">
      <w:pPr>
        <w:pStyle w:val="NoSpacing"/>
        <w:jc w:val="both"/>
        <w:rPr>
          <w:rFonts w:asciiTheme="majorHAnsi" w:hAnsiTheme="majorHAnsi" w:cs="Times New Roman"/>
          <w:sz w:val="24"/>
          <w:szCs w:val="24"/>
          <w:lang w:val="en-US"/>
        </w:rPr>
      </w:pPr>
      <w:r w:rsidRPr="006E7067">
        <w:rPr>
          <w:rFonts w:asciiTheme="majorHAnsi" w:hAnsiTheme="majorHAnsi" w:cs="Times New Roman"/>
          <w:sz w:val="24"/>
          <w:szCs w:val="24"/>
          <w:lang w:val="en-US"/>
        </w:rPr>
        <w:t xml:space="preserve">The Chair congratulated George </w:t>
      </w:r>
      <w:proofErr w:type="spellStart"/>
      <w:r w:rsidRPr="006E7067">
        <w:rPr>
          <w:rFonts w:asciiTheme="majorHAnsi" w:hAnsiTheme="majorHAnsi" w:cs="Times New Roman"/>
          <w:sz w:val="24"/>
          <w:szCs w:val="24"/>
          <w:lang w:val="en-US"/>
        </w:rPr>
        <w:t>Deikun</w:t>
      </w:r>
      <w:proofErr w:type="spellEnd"/>
      <w:r w:rsidRPr="006E7067">
        <w:rPr>
          <w:rFonts w:asciiTheme="majorHAnsi" w:hAnsiTheme="majorHAnsi" w:cs="Times New Roman"/>
          <w:sz w:val="24"/>
          <w:szCs w:val="24"/>
          <w:lang w:val="en-US"/>
        </w:rPr>
        <w:t>/</w:t>
      </w:r>
      <w:r w:rsidR="00CD4589">
        <w:rPr>
          <w:rFonts w:asciiTheme="majorHAnsi" w:hAnsiTheme="majorHAnsi" w:cs="Times New Roman"/>
          <w:sz w:val="24"/>
          <w:szCs w:val="24"/>
          <w:lang w:val="en-US"/>
        </w:rPr>
        <w:t>UN-</w:t>
      </w:r>
      <w:r w:rsidRPr="006E7067">
        <w:rPr>
          <w:rFonts w:asciiTheme="majorHAnsi" w:hAnsiTheme="majorHAnsi" w:cs="Times New Roman"/>
          <w:sz w:val="24"/>
          <w:szCs w:val="24"/>
          <w:lang w:val="en-US"/>
        </w:rPr>
        <w:t>HABITAT on his work on urbanization.</w:t>
      </w:r>
    </w:p>
    <w:p w:rsidR="00F211DD" w:rsidRPr="006E7067" w:rsidRDefault="00F211DD" w:rsidP="00225F80">
      <w:pPr>
        <w:pStyle w:val="NoSpacing"/>
        <w:jc w:val="both"/>
        <w:rPr>
          <w:rFonts w:asciiTheme="majorHAnsi" w:hAnsiTheme="majorHAnsi" w:cs="Times New Roman"/>
          <w:sz w:val="24"/>
          <w:szCs w:val="24"/>
          <w:lang w:val="en-US"/>
        </w:rPr>
      </w:pPr>
      <w:r w:rsidRPr="006E7067">
        <w:rPr>
          <w:rFonts w:asciiTheme="majorHAnsi" w:hAnsiTheme="majorHAnsi" w:cs="Times New Roman"/>
          <w:sz w:val="24"/>
          <w:szCs w:val="24"/>
          <w:lang w:val="en-US"/>
        </w:rPr>
        <w:t>She explained that the Secretary General’s report on the World Humanitarian Summit was to be drafted by a team organized by the Emergency Relief Coordinator and under the leadership of OCHA. Martin Barber has been brought on board as an adviser.</w:t>
      </w:r>
    </w:p>
    <w:p w:rsidR="00F211DD" w:rsidRPr="006E7067" w:rsidRDefault="00F211DD" w:rsidP="00225F80">
      <w:pPr>
        <w:pStyle w:val="NoSpacing"/>
        <w:jc w:val="both"/>
        <w:rPr>
          <w:rFonts w:asciiTheme="majorHAnsi" w:hAnsiTheme="majorHAnsi" w:cs="Times New Roman"/>
          <w:sz w:val="24"/>
          <w:szCs w:val="24"/>
          <w:lang w:val="en-US"/>
        </w:rPr>
      </w:pPr>
    </w:p>
    <w:p w:rsidR="00F211DD" w:rsidRDefault="00F211DD" w:rsidP="00225F80">
      <w:pPr>
        <w:pStyle w:val="Heading11"/>
        <w:jc w:val="both"/>
        <w:rPr>
          <w:rFonts w:asciiTheme="majorHAnsi" w:hAnsiTheme="majorHAnsi" w:cs="Times New Roman"/>
          <w:b/>
          <w:bCs/>
          <w:i/>
          <w:iCs/>
          <w:sz w:val="24"/>
          <w:szCs w:val="24"/>
          <w:lang w:val="en-GB"/>
        </w:rPr>
      </w:pPr>
      <w:r w:rsidRPr="006E7067">
        <w:rPr>
          <w:rFonts w:asciiTheme="majorHAnsi" w:hAnsiTheme="majorHAnsi" w:cs="Times New Roman"/>
          <w:b/>
          <w:bCs/>
          <w:i/>
          <w:iCs/>
          <w:sz w:val="24"/>
          <w:szCs w:val="24"/>
          <w:lang w:val="en-GB"/>
        </w:rPr>
        <w:t>Action Points:</w:t>
      </w:r>
    </w:p>
    <w:p w:rsidR="007C5E4C" w:rsidRPr="007C5E4C" w:rsidRDefault="007C5E4C" w:rsidP="00225F80">
      <w:pPr>
        <w:pStyle w:val="Body"/>
        <w:jc w:val="both"/>
        <w:rPr>
          <w:lang w:val="en-GB"/>
        </w:rPr>
      </w:pPr>
    </w:p>
    <w:p w:rsidR="00F211DD" w:rsidRPr="007C5E4C" w:rsidRDefault="00F211DD" w:rsidP="00225F80">
      <w:pPr>
        <w:pStyle w:val="ListParagraph"/>
        <w:numPr>
          <w:ilvl w:val="0"/>
          <w:numId w:val="15"/>
        </w:numPr>
        <w:jc w:val="both"/>
        <w:rPr>
          <w:rFonts w:asciiTheme="majorHAnsi" w:hAnsiTheme="majorHAnsi" w:cs="Times New Roman"/>
          <w:i/>
        </w:rPr>
      </w:pPr>
      <w:r w:rsidRPr="007C5E4C">
        <w:rPr>
          <w:rFonts w:asciiTheme="majorHAnsi" w:hAnsiTheme="majorHAnsi" w:cs="Times New Roman"/>
          <w:i/>
        </w:rPr>
        <w:t>Ensure comments to the IASC Principals summary record are provided before the deadline (30 June 2015).</w:t>
      </w:r>
    </w:p>
    <w:p w:rsidR="00F211DD" w:rsidRPr="007C5E4C" w:rsidRDefault="00F211DD" w:rsidP="00225F80">
      <w:pPr>
        <w:pStyle w:val="ListParagraph"/>
        <w:numPr>
          <w:ilvl w:val="0"/>
          <w:numId w:val="15"/>
        </w:numPr>
        <w:jc w:val="both"/>
        <w:rPr>
          <w:rFonts w:asciiTheme="majorHAnsi" w:hAnsiTheme="majorHAnsi" w:cs="Times New Roman"/>
          <w:i/>
        </w:rPr>
      </w:pPr>
      <w:r w:rsidRPr="007C5E4C">
        <w:rPr>
          <w:rFonts w:asciiTheme="majorHAnsi" w:hAnsiTheme="majorHAnsi" w:cs="Times New Roman"/>
          <w:i/>
        </w:rPr>
        <w:lastRenderedPageBreak/>
        <w:t>IASC Task Teams to submit, to WG, analysis of their achievements and recommendations as to their future as soon as possible and no later than end of July 2015.</w:t>
      </w:r>
    </w:p>
    <w:p w:rsidR="00F211DD" w:rsidRPr="007C5E4C" w:rsidRDefault="00F211DD" w:rsidP="00225F80">
      <w:pPr>
        <w:pStyle w:val="ListParagraph"/>
        <w:numPr>
          <w:ilvl w:val="0"/>
          <w:numId w:val="15"/>
        </w:numPr>
        <w:jc w:val="both"/>
        <w:rPr>
          <w:rFonts w:asciiTheme="majorHAnsi" w:hAnsiTheme="majorHAnsi" w:cs="Times New Roman"/>
          <w:i/>
        </w:rPr>
      </w:pPr>
      <w:r w:rsidRPr="007C5E4C">
        <w:rPr>
          <w:rFonts w:asciiTheme="majorHAnsi" w:hAnsiTheme="majorHAnsi" w:cs="Times New Roman"/>
          <w:i/>
        </w:rPr>
        <w:t>WG to assess the future of the IASC Task Teams based on their analysis and recommendations (pre-planning meeting September 2015, October 2015 WG meeting).</w:t>
      </w:r>
    </w:p>
    <w:p w:rsidR="00F211DD" w:rsidRPr="007C5E4C" w:rsidRDefault="00F211DD" w:rsidP="00225F80">
      <w:pPr>
        <w:pStyle w:val="ListParagraph"/>
        <w:numPr>
          <w:ilvl w:val="0"/>
          <w:numId w:val="15"/>
        </w:numPr>
        <w:jc w:val="both"/>
        <w:rPr>
          <w:rFonts w:asciiTheme="majorHAnsi" w:hAnsiTheme="majorHAnsi"/>
          <w:i/>
        </w:rPr>
      </w:pPr>
      <w:r w:rsidRPr="007C5E4C">
        <w:rPr>
          <w:rFonts w:asciiTheme="majorHAnsi" w:hAnsiTheme="majorHAnsi" w:cs="Times New Roman"/>
          <w:i/>
        </w:rPr>
        <w:t xml:space="preserve">IASC Secretariat to contact WG members </w:t>
      </w:r>
      <w:r w:rsidR="00551BBA" w:rsidRPr="007C5E4C">
        <w:rPr>
          <w:rFonts w:asciiTheme="majorHAnsi" w:hAnsiTheme="majorHAnsi" w:cs="Times New Roman"/>
          <w:i/>
        </w:rPr>
        <w:t xml:space="preserve">to </w:t>
      </w:r>
      <w:r w:rsidR="00F25FA4" w:rsidRPr="007C5E4C">
        <w:rPr>
          <w:rFonts w:asciiTheme="majorHAnsi" w:hAnsiTheme="majorHAnsi" w:cs="Times New Roman"/>
          <w:i/>
        </w:rPr>
        <w:t>identify</w:t>
      </w:r>
      <w:r w:rsidR="00551BBA" w:rsidRPr="007C5E4C">
        <w:rPr>
          <w:rFonts w:asciiTheme="majorHAnsi" w:hAnsiTheme="majorHAnsi" w:cs="Times New Roman"/>
          <w:i/>
        </w:rPr>
        <w:t xml:space="preserve"> a host for the next WG meeting and preferred dates and agenda items (</w:t>
      </w:r>
      <w:r w:rsidR="00BA5FA4">
        <w:rPr>
          <w:rFonts w:asciiTheme="majorHAnsi" w:hAnsiTheme="majorHAnsi" w:cs="Times New Roman"/>
          <w:i/>
        </w:rPr>
        <w:t>second</w:t>
      </w:r>
      <w:r w:rsidR="00551BBA" w:rsidRPr="007C5E4C">
        <w:rPr>
          <w:rFonts w:asciiTheme="majorHAnsi" w:hAnsiTheme="majorHAnsi" w:cs="Times New Roman"/>
          <w:i/>
        </w:rPr>
        <w:t xml:space="preserve"> week of July 20</w:t>
      </w:r>
      <w:r w:rsidR="00551BBA" w:rsidRPr="007C5E4C">
        <w:rPr>
          <w:rFonts w:asciiTheme="majorHAnsi" w:hAnsiTheme="majorHAnsi"/>
          <w:i/>
        </w:rPr>
        <w:t>15)</w:t>
      </w:r>
      <w:r w:rsidRPr="007C5E4C">
        <w:rPr>
          <w:rFonts w:asciiTheme="majorHAnsi" w:hAnsiTheme="majorHAnsi"/>
          <w:i/>
        </w:rPr>
        <w:t>.</w:t>
      </w:r>
    </w:p>
    <w:sectPr w:rsidR="00F211DD" w:rsidRPr="007C5E4C" w:rsidSect="00467446">
      <w:headerReference w:type="default" r:id="rId9"/>
      <w:footerReference w:type="default" r:id="rId10"/>
      <w:pgSz w:w="11906" w:h="16838"/>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F7" w:rsidRDefault="008718F7" w:rsidP="00467446">
      <w:pPr>
        <w:spacing w:after="0" w:line="240" w:lineRule="auto"/>
      </w:pPr>
      <w:r>
        <w:separator/>
      </w:r>
    </w:p>
  </w:endnote>
  <w:endnote w:type="continuationSeparator" w:id="0">
    <w:p w:rsidR="008718F7" w:rsidRDefault="008718F7" w:rsidP="0046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Bold">
    <w:panose1 w:val="020B0703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01496"/>
      <w:docPartObj>
        <w:docPartGallery w:val="Page Numbers (Bottom of Page)"/>
        <w:docPartUnique/>
      </w:docPartObj>
    </w:sdtPr>
    <w:sdtEndPr>
      <w:rPr>
        <w:rFonts w:asciiTheme="majorHAnsi" w:hAnsiTheme="majorHAnsi"/>
        <w:noProof/>
        <w:sz w:val="18"/>
        <w:szCs w:val="18"/>
      </w:rPr>
    </w:sdtEndPr>
    <w:sdtContent>
      <w:p w:rsidR="006659CE" w:rsidRPr="008233CC" w:rsidRDefault="006659CE">
        <w:pPr>
          <w:pStyle w:val="Footer"/>
          <w:jc w:val="center"/>
          <w:rPr>
            <w:rFonts w:asciiTheme="majorHAnsi" w:hAnsiTheme="majorHAnsi"/>
            <w:sz w:val="18"/>
            <w:szCs w:val="18"/>
          </w:rPr>
        </w:pPr>
        <w:r w:rsidRPr="008233CC">
          <w:rPr>
            <w:rFonts w:asciiTheme="majorHAnsi" w:hAnsiTheme="majorHAnsi"/>
            <w:sz w:val="18"/>
            <w:szCs w:val="18"/>
          </w:rPr>
          <w:fldChar w:fldCharType="begin"/>
        </w:r>
        <w:r w:rsidRPr="008233CC">
          <w:rPr>
            <w:rFonts w:asciiTheme="majorHAnsi" w:hAnsiTheme="majorHAnsi"/>
            <w:sz w:val="18"/>
            <w:szCs w:val="18"/>
          </w:rPr>
          <w:instrText xml:space="preserve"> PAGE   \* MERGEFORMAT </w:instrText>
        </w:r>
        <w:r w:rsidRPr="008233CC">
          <w:rPr>
            <w:rFonts w:asciiTheme="majorHAnsi" w:hAnsiTheme="majorHAnsi"/>
            <w:sz w:val="18"/>
            <w:szCs w:val="18"/>
          </w:rPr>
          <w:fldChar w:fldCharType="separate"/>
        </w:r>
        <w:r w:rsidR="00BB7A29">
          <w:rPr>
            <w:rFonts w:asciiTheme="majorHAnsi" w:hAnsiTheme="majorHAnsi"/>
            <w:noProof/>
            <w:sz w:val="18"/>
            <w:szCs w:val="18"/>
          </w:rPr>
          <w:t>1</w:t>
        </w:r>
        <w:r w:rsidRPr="008233CC">
          <w:rPr>
            <w:rFonts w:asciiTheme="majorHAnsi" w:hAnsiTheme="majorHAnsi"/>
            <w:noProof/>
            <w:sz w:val="18"/>
            <w:szCs w:val="18"/>
          </w:rPr>
          <w:fldChar w:fldCharType="end"/>
        </w:r>
      </w:p>
    </w:sdtContent>
  </w:sdt>
  <w:p w:rsidR="006659CE" w:rsidRDefault="00665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F7" w:rsidRDefault="008718F7" w:rsidP="00467446">
      <w:pPr>
        <w:spacing w:after="0" w:line="240" w:lineRule="auto"/>
      </w:pPr>
      <w:r>
        <w:separator/>
      </w:r>
    </w:p>
  </w:footnote>
  <w:footnote w:type="continuationSeparator" w:id="0">
    <w:p w:rsidR="008718F7" w:rsidRDefault="008718F7" w:rsidP="0046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CE" w:rsidRPr="00BF3256" w:rsidRDefault="00D01425" w:rsidP="00467446">
    <w:pPr>
      <w:pStyle w:val="Body"/>
      <w:tabs>
        <w:tab w:val="center" w:pos="4513"/>
        <w:tab w:val="right" w:pos="9026"/>
      </w:tabs>
      <w:rPr>
        <w:rFonts w:asciiTheme="majorHAnsi" w:hAnsiTheme="majorHAnsi"/>
        <w:color w:val="4F81BD"/>
        <w:u w:color="4F81BD"/>
      </w:rPr>
    </w:pPr>
    <w:r>
      <w:rPr>
        <w:rFonts w:asciiTheme="majorHAnsi" w:hAnsiTheme="majorHAnsi"/>
        <w:color w:val="4F81BD"/>
        <w:sz w:val="20"/>
        <w:szCs w:val="20"/>
        <w:u w:color="4F81BD"/>
      </w:rPr>
      <w:t xml:space="preserve">Final </w:t>
    </w:r>
    <w:r w:rsidR="006659CE" w:rsidRPr="00BF3256">
      <w:rPr>
        <w:rFonts w:asciiTheme="majorHAnsi" w:hAnsiTheme="majorHAnsi"/>
        <w:color w:val="4F81BD"/>
        <w:sz w:val="20"/>
        <w:szCs w:val="20"/>
        <w:u w:color="4F81BD"/>
      </w:rPr>
      <w:t xml:space="preserve">Summary Record, </w:t>
    </w:r>
    <w:r w:rsidR="006659CE">
      <w:rPr>
        <w:rFonts w:asciiTheme="majorHAnsi" w:hAnsiTheme="majorHAnsi"/>
        <w:color w:val="4F81BD"/>
        <w:sz w:val="20"/>
        <w:szCs w:val="20"/>
        <w:u w:color="4F81BD"/>
      </w:rPr>
      <w:t xml:space="preserve">Ad Hoc </w:t>
    </w:r>
    <w:r w:rsidR="006659CE" w:rsidRPr="00BF3256">
      <w:rPr>
        <w:rFonts w:asciiTheme="majorHAnsi" w:hAnsiTheme="majorHAnsi"/>
        <w:color w:val="4F81BD"/>
        <w:sz w:val="20"/>
        <w:szCs w:val="20"/>
        <w:u w:color="4F81BD"/>
      </w:rPr>
      <w:t>IASC Working Group Meeting</w:t>
    </w:r>
    <w:r w:rsidR="006659CE">
      <w:rPr>
        <w:rFonts w:asciiTheme="majorHAnsi" w:hAnsiTheme="majorHAnsi"/>
        <w:color w:val="4F81BD"/>
        <w:sz w:val="20"/>
        <w:szCs w:val="20"/>
        <w:u w:color="4F81BD"/>
      </w:rPr>
      <w:t xml:space="preserve">, </w:t>
    </w:r>
    <w:r w:rsidR="00F211DD">
      <w:rPr>
        <w:rFonts w:asciiTheme="majorHAnsi" w:hAnsiTheme="majorHAnsi"/>
        <w:color w:val="4F81BD"/>
        <w:sz w:val="20"/>
        <w:szCs w:val="20"/>
        <w:u w:color="4F81BD"/>
      </w:rPr>
      <w:t>26 June 2015</w:t>
    </w:r>
  </w:p>
  <w:p w:rsidR="006659CE" w:rsidRPr="00BF3256" w:rsidRDefault="006659CE" w:rsidP="00467446">
    <w:pPr>
      <w:pStyle w:val="Body"/>
      <w:tabs>
        <w:tab w:val="center" w:pos="4513"/>
        <w:tab w:val="right" w:pos="9026"/>
      </w:tabs>
      <w:rPr>
        <w:rFonts w:asciiTheme="majorHAnsi" w:hAnsiTheme="majorHAnsi"/>
      </w:rPr>
    </w:pPr>
    <w:r>
      <w:rPr>
        <w:rFonts w:asciiTheme="majorHAnsi" w:hAnsiTheme="majorHAnsi"/>
        <w:i/>
        <w:iCs/>
        <w:color w:val="4F81BD"/>
        <w:sz w:val="20"/>
        <w:szCs w:val="20"/>
        <w:u w:color="4F81BD"/>
      </w:rPr>
      <w:t xml:space="preserve">(Circulated: </w:t>
    </w:r>
    <w:r w:rsidR="00FD3D8B">
      <w:rPr>
        <w:rFonts w:asciiTheme="majorHAnsi" w:hAnsiTheme="majorHAnsi"/>
        <w:i/>
        <w:iCs/>
        <w:color w:val="4F81BD"/>
        <w:sz w:val="20"/>
        <w:szCs w:val="20"/>
        <w:u w:color="4F81BD"/>
      </w:rPr>
      <w:t>14</w:t>
    </w:r>
    <w:r w:rsidR="00D01425">
      <w:rPr>
        <w:rFonts w:asciiTheme="majorHAnsi" w:hAnsiTheme="majorHAnsi"/>
        <w:i/>
        <w:iCs/>
        <w:color w:val="4F81BD"/>
        <w:sz w:val="20"/>
        <w:szCs w:val="20"/>
        <w:u w:color="4F81BD"/>
      </w:rPr>
      <w:t xml:space="preserve"> July </w:t>
    </w:r>
    <w:r w:rsidR="00F211DD">
      <w:rPr>
        <w:rFonts w:asciiTheme="majorHAnsi" w:hAnsiTheme="majorHAnsi"/>
        <w:i/>
        <w:iCs/>
        <w:color w:val="4F81BD"/>
        <w:sz w:val="20"/>
        <w:szCs w:val="20"/>
        <w:u w:color="4F81BD"/>
      </w:rPr>
      <w:t>2015</w:t>
    </w:r>
    <w:r w:rsidRPr="00BF3256">
      <w:rPr>
        <w:rFonts w:asciiTheme="majorHAnsi" w:hAnsiTheme="majorHAnsi"/>
        <w:i/>
        <w:iCs/>
        <w:color w:val="4F81BD"/>
        <w:sz w:val="20"/>
        <w:szCs w:val="20"/>
        <w:u w:color="4F81BD"/>
      </w:rPr>
      <w:t>)</w:t>
    </w:r>
  </w:p>
  <w:p w:rsidR="006659CE" w:rsidRDefault="00665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4F2"/>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228B765B"/>
    <w:multiLevelType w:val="multilevel"/>
    <w:tmpl w:val="8B8AA7EC"/>
    <w:lvl w:ilvl="0">
      <w:start w:val="1"/>
      <w:numFmt w:val="decimal"/>
      <w:lvlText w:val="%1."/>
      <w:lvlJc w:val="left"/>
      <w:pPr>
        <w:tabs>
          <w:tab w:val="num" w:pos="502"/>
        </w:tabs>
        <w:ind w:left="502"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
    <w:nsid w:val="2DB8172C"/>
    <w:multiLevelType w:val="multilevel"/>
    <w:tmpl w:val="6E481FC2"/>
    <w:lvl w:ilvl="0">
      <w:start w:val="14"/>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
    <w:nsid w:val="3C6B088C"/>
    <w:multiLevelType w:val="multilevel"/>
    <w:tmpl w:val="505AF7D0"/>
    <w:lvl w:ilvl="0">
      <w:start w:val="12"/>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4">
    <w:nsid w:val="434439A6"/>
    <w:multiLevelType w:val="hybridMultilevel"/>
    <w:tmpl w:val="5B0E9E28"/>
    <w:lvl w:ilvl="0" w:tplc="8452BA6C">
      <w:numFmt w:val="bullet"/>
      <w:lvlText w:val="•"/>
      <w:lvlJc w:val="left"/>
      <w:pPr>
        <w:ind w:left="720" w:hanging="72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9299D"/>
    <w:multiLevelType w:val="hybridMultilevel"/>
    <w:tmpl w:val="6D9690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0E0F88"/>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01860AF"/>
    <w:multiLevelType w:val="multilevel"/>
    <w:tmpl w:val="859C1DFA"/>
    <w:lvl w:ilvl="0">
      <w:start w:val="14"/>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8">
    <w:nsid w:val="5321665B"/>
    <w:multiLevelType w:val="multilevel"/>
    <w:tmpl w:val="F2B468A2"/>
    <w:styleLink w:val="List1"/>
    <w:lvl w:ilvl="0">
      <w:start w:val="9"/>
      <w:numFmt w:val="decimal"/>
      <w:lvlText w:val="%1."/>
      <w:lvlJc w:val="left"/>
      <w:pPr>
        <w:tabs>
          <w:tab w:val="num" w:pos="330"/>
        </w:tabs>
        <w:ind w:left="330" w:hanging="33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
    <w:nsid w:val="53B63446"/>
    <w:multiLevelType w:val="multilevel"/>
    <w:tmpl w:val="A9C0BAD0"/>
    <w:lvl w:ilvl="0">
      <w:start w:val="11"/>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10">
    <w:nsid w:val="5EEF2E6E"/>
    <w:multiLevelType w:val="multilevel"/>
    <w:tmpl w:val="BE2C35D0"/>
    <w:styleLink w:val="List0"/>
    <w:lvl w:ilvl="0">
      <w:start w:val="15"/>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1">
    <w:nsid w:val="63EC1F43"/>
    <w:multiLevelType w:val="hybridMultilevel"/>
    <w:tmpl w:val="6ACEEC5A"/>
    <w:lvl w:ilvl="0" w:tplc="3E8043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BE5315"/>
    <w:multiLevelType w:val="hybridMultilevel"/>
    <w:tmpl w:val="06CE6A4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6C3338DE"/>
    <w:multiLevelType w:val="hybridMultilevel"/>
    <w:tmpl w:val="267E10D4"/>
    <w:lvl w:ilvl="0" w:tplc="A0C64B6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8767C"/>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DF515E0"/>
    <w:multiLevelType w:val="hybridMultilevel"/>
    <w:tmpl w:val="C77A3C6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74AA7E62"/>
    <w:multiLevelType w:val="multilevel"/>
    <w:tmpl w:val="8B8AA7EC"/>
    <w:lvl w:ilvl="0">
      <w:start w:val="1"/>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7">
    <w:nsid w:val="7CE412CB"/>
    <w:multiLevelType w:val="hybridMultilevel"/>
    <w:tmpl w:val="6284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3"/>
  </w:num>
  <w:num w:numId="5">
    <w:abstractNumId w:val="7"/>
  </w:num>
  <w:num w:numId="6">
    <w:abstractNumId w:val="2"/>
  </w:num>
  <w:num w:numId="7">
    <w:abstractNumId w:val="10"/>
  </w:num>
  <w:num w:numId="8">
    <w:abstractNumId w:val="14"/>
  </w:num>
  <w:num w:numId="9">
    <w:abstractNumId w:val="0"/>
  </w:num>
  <w:num w:numId="10">
    <w:abstractNumId w:val="9"/>
  </w:num>
  <w:num w:numId="11">
    <w:abstractNumId w:val="16"/>
    <w:lvlOverride w:ilvl="0">
      <w:lvl w:ilvl="0">
        <w:start w:val="1"/>
        <w:numFmt w:val="decimal"/>
        <w:lvlText w:val="%1."/>
        <w:lvlJc w:val="left"/>
        <w:pPr>
          <w:tabs>
            <w:tab w:val="num" w:pos="397"/>
          </w:tabs>
          <w:ind w:left="397" w:hanging="397"/>
        </w:pPr>
        <w:rPr>
          <w:rFonts w:hint="default"/>
          <w:position w:val="0"/>
          <w:sz w:val="22"/>
          <w:szCs w:val="22"/>
        </w:rPr>
      </w:lvl>
    </w:lvlOverride>
    <w:lvlOverride w:ilvl="1">
      <w:lvl w:ilvl="1">
        <w:start w:val="1"/>
        <w:numFmt w:val="bullet"/>
        <w:lvlText w:val="o"/>
        <w:lvlJc w:val="left"/>
        <w:pPr>
          <w:tabs>
            <w:tab w:val="num" w:pos="1410"/>
          </w:tabs>
          <w:ind w:left="1410" w:hanging="330"/>
        </w:pPr>
        <w:rPr>
          <w:rFonts w:hint="default"/>
          <w:position w:val="0"/>
          <w:sz w:val="22"/>
          <w:szCs w:val="22"/>
        </w:rPr>
      </w:lvl>
    </w:lvlOverride>
    <w:lvlOverride w:ilvl="2">
      <w:lvl w:ilvl="2">
        <w:start w:val="1"/>
        <w:numFmt w:val="bullet"/>
        <w:lvlText w:val="▪"/>
        <w:lvlJc w:val="left"/>
        <w:pPr>
          <w:tabs>
            <w:tab w:val="num" w:pos="2130"/>
          </w:tabs>
          <w:ind w:left="2130" w:hanging="330"/>
        </w:pPr>
        <w:rPr>
          <w:rFonts w:hint="default"/>
          <w:position w:val="0"/>
          <w:sz w:val="22"/>
          <w:szCs w:val="22"/>
        </w:rPr>
      </w:lvl>
    </w:lvlOverride>
    <w:lvlOverride w:ilvl="3">
      <w:lvl w:ilvl="3">
        <w:start w:val="1"/>
        <w:numFmt w:val="bullet"/>
        <w:lvlText w:val="•"/>
        <w:lvlJc w:val="left"/>
        <w:pPr>
          <w:tabs>
            <w:tab w:val="num" w:pos="2850"/>
          </w:tabs>
          <w:ind w:left="2850" w:hanging="330"/>
        </w:pPr>
        <w:rPr>
          <w:rFonts w:hint="default"/>
          <w:position w:val="0"/>
          <w:sz w:val="22"/>
          <w:szCs w:val="22"/>
        </w:rPr>
      </w:lvl>
    </w:lvlOverride>
    <w:lvlOverride w:ilvl="4">
      <w:lvl w:ilvl="4">
        <w:start w:val="1"/>
        <w:numFmt w:val="bullet"/>
        <w:lvlText w:val="o"/>
        <w:lvlJc w:val="left"/>
        <w:pPr>
          <w:tabs>
            <w:tab w:val="num" w:pos="3570"/>
          </w:tabs>
          <w:ind w:left="3570" w:hanging="330"/>
        </w:pPr>
        <w:rPr>
          <w:rFonts w:hint="default"/>
          <w:position w:val="0"/>
          <w:sz w:val="22"/>
          <w:szCs w:val="22"/>
        </w:rPr>
      </w:lvl>
    </w:lvlOverride>
    <w:lvlOverride w:ilvl="5">
      <w:lvl w:ilvl="5">
        <w:start w:val="1"/>
        <w:numFmt w:val="bullet"/>
        <w:lvlText w:val="▪"/>
        <w:lvlJc w:val="left"/>
        <w:pPr>
          <w:tabs>
            <w:tab w:val="num" w:pos="4290"/>
          </w:tabs>
          <w:ind w:left="4290" w:hanging="330"/>
        </w:pPr>
        <w:rPr>
          <w:rFonts w:hint="default"/>
          <w:position w:val="0"/>
          <w:sz w:val="22"/>
          <w:szCs w:val="22"/>
        </w:rPr>
      </w:lvl>
    </w:lvlOverride>
    <w:lvlOverride w:ilvl="6">
      <w:lvl w:ilvl="6">
        <w:start w:val="1"/>
        <w:numFmt w:val="bullet"/>
        <w:lvlText w:val="•"/>
        <w:lvlJc w:val="left"/>
        <w:pPr>
          <w:tabs>
            <w:tab w:val="num" w:pos="5010"/>
          </w:tabs>
          <w:ind w:left="5010" w:hanging="330"/>
        </w:pPr>
        <w:rPr>
          <w:rFonts w:hint="default"/>
          <w:position w:val="0"/>
          <w:sz w:val="22"/>
          <w:szCs w:val="22"/>
        </w:rPr>
      </w:lvl>
    </w:lvlOverride>
    <w:lvlOverride w:ilvl="7">
      <w:lvl w:ilvl="7">
        <w:start w:val="1"/>
        <w:numFmt w:val="bullet"/>
        <w:lvlText w:val="o"/>
        <w:lvlJc w:val="left"/>
        <w:pPr>
          <w:tabs>
            <w:tab w:val="num" w:pos="5730"/>
          </w:tabs>
          <w:ind w:left="5730" w:hanging="330"/>
        </w:pPr>
        <w:rPr>
          <w:rFonts w:hint="default"/>
          <w:position w:val="0"/>
          <w:sz w:val="22"/>
          <w:szCs w:val="22"/>
        </w:rPr>
      </w:lvl>
    </w:lvlOverride>
    <w:lvlOverride w:ilvl="8">
      <w:lvl w:ilvl="8">
        <w:start w:val="1"/>
        <w:numFmt w:val="bullet"/>
        <w:lvlText w:val="▪"/>
        <w:lvlJc w:val="left"/>
        <w:pPr>
          <w:tabs>
            <w:tab w:val="num" w:pos="6450"/>
          </w:tabs>
          <w:ind w:left="6450" w:hanging="330"/>
        </w:pPr>
        <w:rPr>
          <w:rFonts w:hint="default"/>
          <w:position w:val="0"/>
          <w:sz w:val="22"/>
          <w:szCs w:val="22"/>
        </w:rPr>
      </w:lvl>
    </w:lvlOverride>
  </w:num>
  <w:num w:numId="12">
    <w:abstractNumId w:val="11"/>
  </w:num>
  <w:num w:numId="13">
    <w:abstractNumId w:val="13"/>
  </w:num>
  <w:num w:numId="14">
    <w:abstractNumId w:val="1"/>
  </w:num>
  <w:num w:numId="15">
    <w:abstractNumId w:val="12"/>
  </w:num>
  <w:num w:numId="16">
    <w:abstractNumId w:val="15"/>
  </w:num>
  <w:num w:numId="17">
    <w:abstractNumId w:val="17"/>
  </w:num>
  <w:num w:numId="18">
    <w:abstractNumId w:val="5"/>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offey">
    <w15:presenceInfo w15:providerId="AD" w15:userId="S-1-5-21-93243902-586966057-1356250972-4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46"/>
    <w:rsid w:val="00001E27"/>
    <w:rsid w:val="000633F6"/>
    <w:rsid w:val="0009447F"/>
    <w:rsid w:val="000A5926"/>
    <w:rsid w:val="000B1AEA"/>
    <w:rsid w:val="000B2283"/>
    <w:rsid w:val="000B30B2"/>
    <w:rsid w:val="000B6A25"/>
    <w:rsid w:val="000D3816"/>
    <w:rsid w:val="000D40F4"/>
    <w:rsid w:val="000D45BF"/>
    <w:rsid w:val="000E07B0"/>
    <w:rsid w:val="000E3182"/>
    <w:rsid w:val="000F4F91"/>
    <w:rsid w:val="000F7281"/>
    <w:rsid w:val="00103BA8"/>
    <w:rsid w:val="00103E45"/>
    <w:rsid w:val="00104BE2"/>
    <w:rsid w:val="00107229"/>
    <w:rsid w:val="0011000B"/>
    <w:rsid w:val="001135A1"/>
    <w:rsid w:val="001238AD"/>
    <w:rsid w:val="00145A69"/>
    <w:rsid w:val="00154493"/>
    <w:rsid w:val="00154D8E"/>
    <w:rsid w:val="00162E12"/>
    <w:rsid w:val="0017557A"/>
    <w:rsid w:val="001937E5"/>
    <w:rsid w:val="0019509E"/>
    <w:rsid w:val="001B03ED"/>
    <w:rsid w:val="001B2755"/>
    <w:rsid w:val="001B7D95"/>
    <w:rsid w:val="001D6E3B"/>
    <w:rsid w:val="001E6BB7"/>
    <w:rsid w:val="001E71A8"/>
    <w:rsid w:val="001F5F92"/>
    <w:rsid w:val="0020026A"/>
    <w:rsid w:val="0020195E"/>
    <w:rsid w:val="00201D8B"/>
    <w:rsid w:val="00207599"/>
    <w:rsid w:val="002116DE"/>
    <w:rsid w:val="002209B8"/>
    <w:rsid w:val="00221ED1"/>
    <w:rsid w:val="00225F80"/>
    <w:rsid w:val="00236D74"/>
    <w:rsid w:val="00245D46"/>
    <w:rsid w:val="00255C60"/>
    <w:rsid w:val="002617E2"/>
    <w:rsid w:val="002828A5"/>
    <w:rsid w:val="00294CC2"/>
    <w:rsid w:val="002B0B4F"/>
    <w:rsid w:val="002B12C3"/>
    <w:rsid w:val="002B39B7"/>
    <w:rsid w:val="002D0E85"/>
    <w:rsid w:val="002E12D2"/>
    <w:rsid w:val="002E1D8E"/>
    <w:rsid w:val="002F7622"/>
    <w:rsid w:val="002F7B92"/>
    <w:rsid w:val="00315304"/>
    <w:rsid w:val="0032063D"/>
    <w:rsid w:val="00327EA5"/>
    <w:rsid w:val="00334E74"/>
    <w:rsid w:val="003405D1"/>
    <w:rsid w:val="00352CD5"/>
    <w:rsid w:val="0035362F"/>
    <w:rsid w:val="00364EA1"/>
    <w:rsid w:val="0036795E"/>
    <w:rsid w:val="00370039"/>
    <w:rsid w:val="00375D54"/>
    <w:rsid w:val="00387B58"/>
    <w:rsid w:val="00397F25"/>
    <w:rsid w:val="003A3FA6"/>
    <w:rsid w:val="003A4702"/>
    <w:rsid w:val="003A600C"/>
    <w:rsid w:val="003B470F"/>
    <w:rsid w:val="003D3007"/>
    <w:rsid w:val="003D5DB7"/>
    <w:rsid w:val="003E5B30"/>
    <w:rsid w:val="003F10EF"/>
    <w:rsid w:val="003F6A7B"/>
    <w:rsid w:val="00407BBF"/>
    <w:rsid w:val="00420FBF"/>
    <w:rsid w:val="00425CAF"/>
    <w:rsid w:val="00431162"/>
    <w:rsid w:val="004315F9"/>
    <w:rsid w:val="00432470"/>
    <w:rsid w:val="00432946"/>
    <w:rsid w:val="0046251D"/>
    <w:rsid w:val="00463BA6"/>
    <w:rsid w:val="00467446"/>
    <w:rsid w:val="0048505C"/>
    <w:rsid w:val="00497845"/>
    <w:rsid w:val="004A1AE0"/>
    <w:rsid w:val="004B177A"/>
    <w:rsid w:val="004B2F7F"/>
    <w:rsid w:val="004B6182"/>
    <w:rsid w:val="004B61FF"/>
    <w:rsid w:val="004B741D"/>
    <w:rsid w:val="004C1725"/>
    <w:rsid w:val="004D1583"/>
    <w:rsid w:val="004D1C50"/>
    <w:rsid w:val="004E4F8B"/>
    <w:rsid w:val="00500AB8"/>
    <w:rsid w:val="00507675"/>
    <w:rsid w:val="00513014"/>
    <w:rsid w:val="00520CB6"/>
    <w:rsid w:val="005407D9"/>
    <w:rsid w:val="00551BBA"/>
    <w:rsid w:val="0055264B"/>
    <w:rsid w:val="0055587D"/>
    <w:rsid w:val="0056364D"/>
    <w:rsid w:val="00576679"/>
    <w:rsid w:val="00580172"/>
    <w:rsid w:val="005838D7"/>
    <w:rsid w:val="00594FFC"/>
    <w:rsid w:val="0059522D"/>
    <w:rsid w:val="005963BD"/>
    <w:rsid w:val="005A2FE6"/>
    <w:rsid w:val="005B593A"/>
    <w:rsid w:val="005D5C08"/>
    <w:rsid w:val="005D72C8"/>
    <w:rsid w:val="005E4742"/>
    <w:rsid w:val="005F048A"/>
    <w:rsid w:val="005F0A92"/>
    <w:rsid w:val="00600DE8"/>
    <w:rsid w:val="006042DB"/>
    <w:rsid w:val="00616CE6"/>
    <w:rsid w:val="0062238D"/>
    <w:rsid w:val="006260F0"/>
    <w:rsid w:val="00634699"/>
    <w:rsid w:val="00635547"/>
    <w:rsid w:val="006571B1"/>
    <w:rsid w:val="00662F31"/>
    <w:rsid w:val="006659CE"/>
    <w:rsid w:val="00670C98"/>
    <w:rsid w:val="00677F4C"/>
    <w:rsid w:val="006816B7"/>
    <w:rsid w:val="00695D2E"/>
    <w:rsid w:val="006B13E9"/>
    <w:rsid w:val="006C359C"/>
    <w:rsid w:val="006D35DC"/>
    <w:rsid w:val="006D6646"/>
    <w:rsid w:val="006D6E74"/>
    <w:rsid w:val="006E3D46"/>
    <w:rsid w:val="006E7067"/>
    <w:rsid w:val="006F33E9"/>
    <w:rsid w:val="00701795"/>
    <w:rsid w:val="00710648"/>
    <w:rsid w:val="007107D7"/>
    <w:rsid w:val="0072318F"/>
    <w:rsid w:val="007239B6"/>
    <w:rsid w:val="00745B8D"/>
    <w:rsid w:val="00745FF0"/>
    <w:rsid w:val="007556D8"/>
    <w:rsid w:val="007659E8"/>
    <w:rsid w:val="00784E93"/>
    <w:rsid w:val="00791292"/>
    <w:rsid w:val="007936D1"/>
    <w:rsid w:val="007B255B"/>
    <w:rsid w:val="007B362B"/>
    <w:rsid w:val="007B6073"/>
    <w:rsid w:val="007B7410"/>
    <w:rsid w:val="007C53A7"/>
    <w:rsid w:val="007C5E4C"/>
    <w:rsid w:val="007E0849"/>
    <w:rsid w:val="007E2808"/>
    <w:rsid w:val="007E53C0"/>
    <w:rsid w:val="008124A6"/>
    <w:rsid w:val="00822D0A"/>
    <w:rsid w:val="008233CC"/>
    <w:rsid w:val="00830D52"/>
    <w:rsid w:val="00831B86"/>
    <w:rsid w:val="008471D3"/>
    <w:rsid w:val="00866186"/>
    <w:rsid w:val="008702ED"/>
    <w:rsid w:val="008718F7"/>
    <w:rsid w:val="00894BB8"/>
    <w:rsid w:val="008959F6"/>
    <w:rsid w:val="008A167A"/>
    <w:rsid w:val="008A16CF"/>
    <w:rsid w:val="008A2B10"/>
    <w:rsid w:val="008C0501"/>
    <w:rsid w:val="008C18A7"/>
    <w:rsid w:val="008C1F3E"/>
    <w:rsid w:val="008C6088"/>
    <w:rsid w:val="008C6338"/>
    <w:rsid w:val="008D25E0"/>
    <w:rsid w:val="008D662A"/>
    <w:rsid w:val="008E041D"/>
    <w:rsid w:val="008E6357"/>
    <w:rsid w:val="008F02A0"/>
    <w:rsid w:val="00903B23"/>
    <w:rsid w:val="00926EC2"/>
    <w:rsid w:val="0096175E"/>
    <w:rsid w:val="009656CC"/>
    <w:rsid w:val="00976BD1"/>
    <w:rsid w:val="00991024"/>
    <w:rsid w:val="009937F5"/>
    <w:rsid w:val="009949D4"/>
    <w:rsid w:val="009B5547"/>
    <w:rsid w:val="009E0C16"/>
    <w:rsid w:val="009E4967"/>
    <w:rsid w:val="009E6210"/>
    <w:rsid w:val="009E7A56"/>
    <w:rsid w:val="009F4E08"/>
    <w:rsid w:val="009F735E"/>
    <w:rsid w:val="009F7AB2"/>
    <w:rsid w:val="00A03411"/>
    <w:rsid w:val="00A06F14"/>
    <w:rsid w:val="00A3272A"/>
    <w:rsid w:val="00A42AD2"/>
    <w:rsid w:val="00A45359"/>
    <w:rsid w:val="00A52640"/>
    <w:rsid w:val="00A6051F"/>
    <w:rsid w:val="00A60A63"/>
    <w:rsid w:val="00A70AE4"/>
    <w:rsid w:val="00A70BB2"/>
    <w:rsid w:val="00A74448"/>
    <w:rsid w:val="00A93219"/>
    <w:rsid w:val="00A958C7"/>
    <w:rsid w:val="00AA7FB8"/>
    <w:rsid w:val="00AB4BF5"/>
    <w:rsid w:val="00AC2412"/>
    <w:rsid w:val="00AE071F"/>
    <w:rsid w:val="00AE3337"/>
    <w:rsid w:val="00AE66B5"/>
    <w:rsid w:val="00AF38EB"/>
    <w:rsid w:val="00B06931"/>
    <w:rsid w:val="00B106DE"/>
    <w:rsid w:val="00B17C91"/>
    <w:rsid w:val="00B17E5B"/>
    <w:rsid w:val="00B2004A"/>
    <w:rsid w:val="00B24AB1"/>
    <w:rsid w:val="00B353EB"/>
    <w:rsid w:val="00B40734"/>
    <w:rsid w:val="00B5064A"/>
    <w:rsid w:val="00B61E06"/>
    <w:rsid w:val="00B73C72"/>
    <w:rsid w:val="00B80C1A"/>
    <w:rsid w:val="00B81A00"/>
    <w:rsid w:val="00B82F1E"/>
    <w:rsid w:val="00B85611"/>
    <w:rsid w:val="00B958C0"/>
    <w:rsid w:val="00BA5FA4"/>
    <w:rsid w:val="00BB4A12"/>
    <w:rsid w:val="00BB76BD"/>
    <w:rsid w:val="00BB7A29"/>
    <w:rsid w:val="00BE0D3F"/>
    <w:rsid w:val="00BE5266"/>
    <w:rsid w:val="00BE5BCD"/>
    <w:rsid w:val="00BF0DE6"/>
    <w:rsid w:val="00BF227E"/>
    <w:rsid w:val="00BF3256"/>
    <w:rsid w:val="00BF7CAA"/>
    <w:rsid w:val="00C02419"/>
    <w:rsid w:val="00C105AC"/>
    <w:rsid w:val="00C11A8C"/>
    <w:rsid w:val="00C308E8"/>
    <w:rsid w:val="00C35773"/>
    <w:rsid w:val="00C429C1"/>
    <w:rsid w:val="00C45F1B"/>
    <w:rsid w:val="00C81B1C"/>
    <w:rsid w:val="00C9298F"/>
    <w:rsid w:val="00C9487D"/>
    <w:rsid w:val="00CA01D2"/>
    <w:rsid w:val="00CB4610"/>
    <w:rsid w:val="00CB4875"/>
    <w:rsid w:val="00CC0AFB"/>
    <w:rsid w:val="00CC2F62"/>
    <w:rsid w:val="00CD3128"/>
    <w:rsid w:val="00CD4589"/>
    <w:rsid w:val="00CE05AB"/>
    <w:rsid w:val="00CE1C01"/>
    <w:rsid w:val="00CF41D3"/>
    <w:rsid w:val="00D01425"/>
    <w:rsid w:val="00D01A5E"/>
    <w:rsid w:val="00D07212"/>
    <w:rsid w:val="00D11712"/>
    <w:rsid w:val="00D13F51"/>
    <w:rsid w:val="00D14EFB"/>
    <w:rsid w:val="00D157A9"/>
    <w:rsid w:val="00D2106F"/>
    <w:rsid w:val="00D310A4"/>
    <w:rsid w:val="00D362FF"/>
    <w:rsid w:val="00D407CC"/>
    <w:rsid w:val="00D41E98"/>
    <w:rsid w:val="00D45967"/>
    <w:rsid w:val="00D503BF"/>
    <w:rsid w:val="00D54C6A"/>
    <w:rsid w:val="00D54CFD"/>
    <w:rsid w:val="00D56F05"/>
    <w:rsid w:val="00DA38A1"/>
    <w:rsid w:val="00DA65DC"/>
    <w:rsid w:val="00DA7625"/>
    <w:rsid w:val="00DB1215"/>
    <w:rsid w:val="00DB135F"/>
    <w:rsid w:val="00DB7E5C"/>
    <w:rsid w:val="00DE0519"/>
    <w:rsid w:val="00DF07D4"/>
    <w:rsid w:val="00DF1FE4"/>
    <w:rsid w:val="00DF46DA"/>
    <w:rsid w:val="00E0544B"/>
    <w:rsid w:val="00E1072F"/>
    <w:rsid w:val="00E13A29"/>
    <w:rsid w:val="00E13AE6"/>
    <w:rsid w:val="00E13B7E"/>
    <w:rsid w:val="00E1756F"/>
    <w:rsid w:val="00E27D1C"/>
    <w:rsid w:val="00E31841"/>
    <w:rsid w:val="00E35109"/>
    <w:rsid w:val="00E35EBE"/>
    <w:rsid w:val="00E46339"/>
    <w:rsid w:val="00E47049"/>
    <w:rsid w:val="00E76633"/>
    <w:rsid w:val="00E77753"/>
    <w:rsid w:val="00E931B5"/>
    <w:rsid w:val="00E9604F"/>
    <w:rsid w:val="00EB25EB"/>
    <w:rsid w:val="00EE02D5"/>
    <w:rsid w:val="00EE25E6"/>
    <w:rsid w:val="00EE2D66"/>
    <w:rsid w:val="00EE439A"/>
    <w:rsid w:val="00F05846"/>
    <w:rsid w:val="00F060AB"/>
    <w:rsid w:val="00F07677"/>
    <w:rsid w:val="00F13A5B"/>
    <w:rsid w:val="00F211DD"/>
    <w:rsid w:val="00F23E0E"/>
    <w:rsid w:val="00F25FA4"/>
    <w:rsid w:val="00F265CB"/>
    <w:rsid w:val="00F31091"/>
    <w:rsid w:val="00F470E0"/>
    <w:rsid w:val="00F61713"/>
    <w:rsid w:val="00F6227A"/>
    <w:rsid w:val="00F71311"/>
    <w:rsid w:val="00F763C2"/>
    <w:rsid w:val="00F76A77"/>
    <w:rsid w:val="00F80646"/>
    <w:rsid w:val="00F83329"/>
    <w:rsid w:val="00F8778E"/>
    <w:rsid w:val="00F90370"/>
    <w:rsid w:val="00F9273C"/>
    <w:rsid w:val="00F93104"/>
    <w:rsid w:val="00FA3345"/>
    <w:rsid w:val="00FB641C"/>
    <w:rsid w:val="00FC5A79"/>
    <w:rsid w:val="00FC5DDE"/>
    <w:rsid w:val="00FD3D8B"/>
    <w:rsid w:val="00FD3E7C"/>
    <w:rsid w:val="00FD4ADA"/>
    <w:rsid w:val="00FD7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46"/>
  </w:style>
  <w:style w:type="paragraph" w:styleId="Footer">
    <w:name w:val="footer"/>
    <w:basedOn w:val="Normal"/>
    <w:link w:val="FooterChar"/>
    <w:uiPriority w:val="99"/>
    <w:unhideWhenUsed/>
    <w:rsid w:val="0046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46"/>
  </w:style>
  <w:style w:type="paragraph" w:customStyle="1" w:styleId="Body">
    <w:name w:val="Body"/>
    <w:rsid w:val="00467446"/>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paragraph" w:customStyle="1" w:styleId="Heading">
    <w:name w:val="Heading"/>
    <w:next w:val="Body"/>
    <w:rsid w:val="008233CC"/>
    <w:pPr>
      <w:keepNext/>
      <w:keepLines/>
      <w:pBdr>
        <w:top w:val="nil"/>
        <w:left w:val="nil"/>
        <w:bottom w:val="nil"/>
        <w:right w:val="nil"/>
        <w:between w:val="nil"/>
        <w:bar w:val="nil"/>
      </w:pBdr>
      <w:spacing w:before="120" w:after="120"/>
      <w:outlineLvl w:val="0"/>
    </w:pPr>
    <w:rPr>
      <w:rFonts w:ascii="Calibri" w:eastAsia="Calibri" w:hAnsi="Calibri" w:cs="Calibri"/>
      <w:b/>
      <w:bCs/>
      <w:color w:val="345A8A"/>
      <w:sz w:val="28"/>
      <w:szCs w:val="28"/>
      <w:u w:color="345A8A"/>
      <w:bdr w:val="nil"/>
      <w:lang w:eastAsia="en-GB"/>
    </w:rPr>
  </w:style>
  <w:style w:type="paragraph" w:customStyle="1" w:styleId="Heading11">
    <w:name w:val="Heading 11"/>
    <w:next w:val="Body"/>
    <w:rsid w:val="008233CC"/>
    <w:pPr>
      <w:keepNext/>
      <w:keepLines/>
      <w:pBdr>
        <w:top w:val="nil"/>
        <w:left w:val="nil"/>
        <w:bottom w:val="nil"/>
        <w:right w:val="nil"/>
        <w:between w:val="nil"/>
        <w:bar w:val="nil"/>
      </w:pBdr>
      <w:spacing w:after="0" w:line="240" w:lineRule="auto"/>
      <w:outlineLvl w:val="2"/>
    </w:pPr>
    <w:rPr>
      <w:rFonts w:ascii="Trebuchet MS Bold" w:eastAsia="Arial Unicode MS" w:hAnsi="Arial Unicode MS" w:cs="Arial Unicode MS"/>
      <w:color w:val="4F81BD"/>
      <w:u w:color="4F81BD"/>
      <w:bdr w:val="nil"/>
      <w:lang w:val="en-US" w:eastAsia="en-GB"/>
    </w:rPr>
  </w:style>
  <w:style w:type="paragraph" w:styleId="ListParagraph">
    <w:name w:val="List Paragraph"/>
    <w:uiPriority w:val="34"/>
    <w:qFormat/>
    <w:rsid w:val="008233C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233CC"/>
    <w:pPr>
      <w:numPr>
        <w:numId w:val="7"/>
      </w:numPr>
    </w:pPr>
  </w:style>
  <w:style w:type="numbering" w:customStyle="1" w:styleId="List1">
    <w:name w:val="List 1"/>
    <w:basedOn w:val="NoList"/>
    <w:rsid w:val="008233CC"/>
    <w:pPr>
      <w:numPr>
        <w:numId w:val="2"/>
      </w:numPr>
    </w:pPr>
  </w:style>
  <w:style w:type="paragraph" w:styleId="BalloonText">
    <w:name w:val="Balloon Text"/>
    <w:basedOn w:val="Normal"/>
    <w:link w:val="BalloonTextChar"/>
    <w:uiPriority w:val="99"/>
    <w:semiHidden/>
    <w:unhideWhenUsed/>
    <w:rsid w:val="00D1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A9"/>
    <w:rPr>
      <w:rFonts w:ascii="Tahoma" w:hAnsi="Tahoma" w:cs="Tahoma"/>
      <w:sz w:val="16"/>
      <w:szCs w:val="16"/>
    </w:rPr>
  </w:style>
  <w:style w:type="character" w:customStyle="1" w:styleId="Heading1Char">
    <w:name w:val="Heading 1 Char"/>
    <w:basedOn w:val="DefaultParagraphFont"/>
    <w:link w:val="Heading1"/>
    <w:uiPriority w:val="9"/>
    <w:rsid w:val="00F211D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211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46"/>
  </w:style>
  <w:style w:type="paragraph" w:styleId="Footer">
    <w:name w:val="footer"/>
    <w:basedOn w:val="Normal"/>
    <w:link w:val="FooterChar"/>
    <w:uiPriority w:val="99"/>
    <w:unhideWhenUsed/>
    <w:rsid w:val="0046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46"/>
  </w:style>
  <w:style w:type="paragraph" w:customStyle="1" w:styleId="Body">
    <w:name w:val="Body"/>
    <w:rsid w:val="00467446"/>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paragraph" w:customStyle="1" w:styleId="Heading">
    <w:name w:val="Heading"/>
    <w:next w:val="Body"/>
    <w:rsid w:val="008233CC"/>
    <w:pPr>
      <w:keepNext/>
      <w:keepLines/>
      <w:pBdr>
        <w:top w:val="nil"/>
        <w:left w:val="nil"/>
        <w:bottom w:val="nil"/>
        <w:right w:val="nil"/>
        <w:between w:val="nil"/>
        <w:bar w:val="nil"/>
      </w:pBdr>
      <w:spacing w:before="120" w:after="120"/>
      <w:outlineLvl w:val="0"/>
    </w:pPr>
    <w:rPr>
      <w:rFonts w:ascii="Calibri" w:eastAsia="Calibri" w:hAnsi="Calibri" w:cs="Calibri"/>
      <w:b/>
      <w:bCs/>
      <w:color w:val="345A8A"/>
      <w:sz w:val="28"/>
      <w:szCs w:val="28"/>
      <w:u w:color="345A8A"/>
      <w:bdr w:val="nil"/>
      <w:lang w:eastAsia="en-GB"/>
    </w:rPr>
  </w:style>
  <w:style w:type="paragraph" w:customStyle="1" w:styleId="Heading11">
    <w:name w:val="Heading 11"/>
    <w:next w:val="Body"/>
    <w:rsid w:val="008233CC"/>
    <w:pPr>
      <w:keepNext/>
      <w:keepLines/>
      <w:pBdr>
        <w:top w:val="nil"/>
        <w:left w:val="nil"/>
        <w:bottom w:val="nil"/>
        <w:right w:val="nil"/>
        <w:between w:val="nil"/>
        <w:bar w:val="nil"/>
      </w:pBdr>
      <w:spacing w:after="0" w:line="240" w:lineRule="auto"/>
      <w:outlineLvl w:val="2"/>
    </w:pPr>
    <w:rPr>
      <w:rFonts w:ascii="Trebuchet MS Bold" w:eastAsia="Arial Unicode MS" w:hAnsi="Arial Unicode MS" w:cs="Arial Unicode MS"/>
      <w:color w:val="4F81BD"/>
      <w:u w:color="4F81BD"/>
      <w:bdr w:val="nil"/>
      <w:lang w:val="en-US" w:eastAsia="en-GB"/>
    </w:rPr>
  </w:style>
  <w:style w:type="paragraph" w:styleId="ListParagraph">
    <w:name w:val="List Paragraph"/>
    <w:uiPriority w:val="34"/>
    <w:qFormat/>
    <w:rsid w:val="008233C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233CC"/>
    <w:pPr>
      <w:numPr>
        <w:numId w:val="7"/>
      </w:numPr>
    </w:pPr>
  </w:style>
  <w:style w:type="numbering" w:customStyle="1" w:styleId="List1">
    <w:name w:val="List 1"/>
    <w:basedOn w:val="NoList"/>
    <w:rsid w:val="008233CC"/>
    <w:pPr>
      <w:numPr>
        <w:numId w:val="2"/>
      </w:numPr>
    </w:pPr>
  </w:style>
  <w:style w:type="paragraph" w:styleId="BalloonText">
    <w:name w:val="Balloon Text"/>
    <w:basedOn w:val="Normal"/>
    <w:link w:val="BalloonTextChar"/>
    <w:uiPriority w:val="99"/>
    <w:semiHidden/>
    <w:unhideWhenUsed/>
    <w:rsid w:val="00D1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A9"/>
    <w:rPr>
      <w:rFonts w:ascii="Tahoma" w:hAnsi="Tahoma" w:cs="Tahoma"/>
      <w:sz w:val="16"/>
      <w:szCs w:val="16"/>
    </w:rPr>
  </w:style>
  <w:style w:type="character" w:customStyle="1" w:styleId="Heading1Char">
    <w:name w:val="Heading 1 Char"/>
    <w:basedOn w:val="DefaultParagraphFont"/>
    <w:link w:val="Heading1"/>
    <w:uiPriority w:val="9"/>
    <w:rsid w:val="00F211D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21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497F-11BE-48CD-B818-1A21E395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OCHA</cp:lastModifiedBy>
  <cp:revision>2</cp:revision>
  <cp:lastPrinted>2014-03-31T11:51:00Z</cp:lastPrinted>
  <dcterms:created xsi:type="dcterms:W3CDTF">2015-07-15T13:59:00Z</dcterms:created>
  <dcterms:modified xsi:type="dcterms:W3CDTF">2015-07-15T13:59:00Z</dcterms:modified>
</cp:coreProperties>
</file>