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C4" w:rsidRDefault="00E931C4" w:rsidP="00E931C4">
      <w:pPr>
        <w:pStyle w:val="Body"/>
        <w:tabs>
          <w:tab w:val="left" w:pos="142"/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>IASC</w:t>
      </w:r>
      <w:r>
        <w:rPr>
          <w:rFonts w:ascii="Times New Roman"/>
          <w:b/>
          <w:bCs/>
          <w:sz w:val="24"/>
          <w:szCs w:val="24"/>
        </w:rPr>
        <w:t xml:space="preserve"> PRINCIPALS AD HOC MEETING </w:t>
      </w:r>
    </w:p>
    <w:p w:rsidR="00E931C4" w:rsidRDefault="00E931C4" w:rsidP="00E931C4">
      <w:pPr>
        <w:pStyle w:val="Body"/>
        <w:tabs>
          <w:tab w:val="left" w:pos="142"/>
        </w:tabs>
        <w:spacing w:after="0" w:line="240" w:lineRule="auto"/>
        <w:jc w:val="center"/>
        <w:rPr>
          <w:rFonts w:ascii="Times New Roman"/>
          <w:b/>
          <w:bCs/>
          <w:caps/>
          <w:sz w:val="24"/>
          <w:szCs w:val="24"/>
          <w:lang w:val="en-US"/>
        </w:rPr>
      </w:pPr>
      <w:r>
        <w:rPr>
          <w:rFonts w:ascii="Times New Roman"/>
          <w:b/>
          <w:bCs/>
          <w:caps/>
          <w:sz w:val="24"/>
          <w:szCs w:val="24"/>
          <w:lang w:val="en-US"/>
        </w:rPr>
        <w:t>YEMEN</w:t>
      </w:r>
    </w:p>
    <w:p w:rsidR="00E931C4" w:rsidRDefault="00E931C4" w:rsidP="00E931C4">
      <w:pPr>
        <w:pStyle w:val="Body"/>
        <w:tabs>
          <w:tab w:val="left" w:pos="142"/>
        </w:tabs>
        <w:spacing w:after="0" w:line="240" w:lineRule="auto"/>
        <w:jc w:val="center"/>
        <w:rPr>
          <w:rFonts w:ascii="Times New Roman"/>
          <w:b/>
          <w:bCs/>
          <w:sz w:val="24"/>
          <w:szCs w:val="24"/>
          <w:lang w:val="en-US"/>
        </w:rPr>
      </w:pPr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</w:p>
    <w:p w:rsidR="00E931C4" w:rsidRDefault="00A36B63" w:rsidP="00E931C4">
      <w:pPr>
        <w:pStyle w:val="Body"/>
        <w:tabs>
          <w:tab w:val="left" w:pos="142"/>
        </w:tabs>
        <w:spacing w:after="0" w:line="240" w:lineRule="auto"/>
        <w:jc w:val="center"/>
        <w:rPr>
          <w:rFonts w:ascii="Times New Roman"/>
          <w:b/>
          <w:bCs/>
          <w:sz w:val="24"/>
          <w:szCs w:val="24"/>
          <w:lang w:val="en-US"/>
        </w:rPr>
      </w:pPr>
      <w:r>
        <w:rPr>
          <w:rFonts w:ascii="Times New Roman"/>
          <w:b/>
          <w:bCs/>
          <w:sz w:val="24"/>
          <w:szCs w:val="24"/>
          <w:lang w:val="en-US"/>
        </w:rPr>
        <w:t xml:space="preserve">Final </w:t>
      </w:r>
      <w:r w:rsidR="00E931C4">
        <w:rPr>
          <w:rFonts w:ascii="Times New Roman"/>
          <w:b/>
          <w:bCs/>
          <w:sz w:val="24"/>
          <w:szCs w:val="24"/>
          <w:lang w:val="en-US"/>
        </w:rPr>
        <w:t>Summary and Action Points</w:t>
      </w:r>
    </w:p>
    <w:p w:rsidR="00E931C4" w:rsidRDefault="00E931C4" w:rsidP="00E931C4">
      <w:pPr>
        <w:pStyle w:val="Body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1C4" w:rsidRDefault="00E931C4" w:rsidP="00E931C4">
      <w:pPr>
        <w:pStyle w:val="Body"/>
        <w:tabs>
          <w:tab w:val="left" w:pos="142"/>
        </w:tabs>
        <w:spacing w:after="0" w:line="240" w:lineRule="auto"/>
        <w:jc w:val="center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1 July 2015</w:t>
      </w:r>
    </w:p>
    <w:p w:rsidR="000F71B7" w:rsidRDefault="000F71B7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E86794" w:rsidRPr="00E86794" w:rsidRDefault="00E86794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b/>
          <w:color w:val="000000"/>
          <w:sz w:val="24"/>
          <w:szCs w:val="24"/>
          <w:u w:color="000000"/>
          <w:bdr w:val="nil"/>
          <w:lang w:val="en-US" w:eastAsia="en-GB"/>
        </w:rPr>
      </w:pPr>
      <w:r w:rsidRPr="00E86794">
        <w:rPr>
          <w:rFonts w:ascii="Times New Roman" w:eastAsia="Calibri" w:hAnsi="Calibri" w:cs="Calibri"/>
          <w:b/>
          <w:color w:val="000000"/>
          <w:sz w:val="24"/>
          <w:szCs w:val="24"/>
          <w:u w:color="000000"/>
          <w:bdr w:val="nil"/>
          <w:lang w:val="en-US" w:eastAsia="en-GB"/>
        </w:rPr>
        <w:t>Introduction</w:t>
      </w:r>
    </w:p>
    <w:p w:rsidR="00E86794" w:rsidRDefault="00E86794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5C1446" w:rsidRPr="00E8664B" w:rsidRDefault="00E931C4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The IASC met on 1 July</w:t>
      </w:r>
      <w:r w:rsidRPr="00E931C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2015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to decide on the activation </w:t>
      </w:r>
      <w:r w:rsidRPr="00E931C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of the System-wide Level 3 (</w:t>
      </w:r>
      <w:r w:rsidR="00A5214C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L3) Emergency response in Yemen</w:t>
      </w:r>
      <w:r w:rsidR="005C1446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.  The discussion was informed by a thorough analysis of the crisis by the Emergency Directors Group circulated before the meeting 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and</w:t>
      </w:r>
      <w:r w:rsidR="005C1446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summarized as follows: the humanitarian situation in Yemen 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is</w:t>
      </w:r>
      <w:r w:rsidR="005C1446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deteriorat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ing</w:t>
      </w:r>
      <w:r w:rsidR="005C1446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at an alarming rate</w:t>
      </w:r>
      <w:r w:rsidR="0036714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. M</w:t>
      </w:r>
      <w:r w:rsidR="005C1446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ore than </w:t>
      </w:r>
      <w:r w:rsidR="005C1446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twenty one million people </w:t>
      </w:r>
      <w:r w:rsidR="00B8062E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are </w:t>
      </w:r>
      <w:r w:rsidR="005C1446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in need of some form of humanitarian assistance</w:t>
      </w:r>
      <w:r w:rsidR="00367144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and security and access restrictions are a significant concern</w:t>
      </w:r>
      <w:r w:rsidR="005C1446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. The </w:t>
      </w:r>
      <w:r w:rsidR="00E86794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scale, complexity, </w:t>
      </w:r>
      <w:r w:rsidR="00367144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and </w:t>
      </w:r>
      <w:r w:rsidR="00E86794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urgency of the crisis </w:t>
      </w:r>
      <w:r w:rsidR="00532374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are</w:t>
      </w:r>
      <w:r w:rsidR="009A62CF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extreme and there are increasing expectations that the level of aid </w:t>
      </w:r>
      <w:r w:rsidR="00367144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needs to</w:t>
      </w:r>
      <w:r w:rsidR="009A62CF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FC567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be scaled up </w:t>
      </w:r>
      <w:r w:rsidR="009A62CF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throughout the country.</w:t>
      </w:r>
    </w:p>
    <w:p w:rsidR="005C1446" w:rsidRPr="00E8664B" w:rsidRDefault="005C1446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5C1446" w:rsidRPr="00E8664B" w:rsidRDefault="00B8062E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</w:pPr>
      <w:r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T</w:t>
      </w:r>
      <w:r w:rsidR="005C1446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he Humanitarian Coordinator </w:t>
      </w:r>
      <w:r w:rsidR="00532374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asked the IASC to support </w:t>
      </w:r>
      <w:r w:rsidR="005C1446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a six-month scale-up</w:t>
      </w:r>
      <w:r w:rsidR="00AD1DF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,</w:t>
      </w:r>
      <w:r w:rsidR="005C1446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 focused on redeploying capacity </w:t>
      </w:r>
      <w:r w:rsidR="006673F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into the </w:t>
      </w:r>
      <w:r w:rsidR="00AD1DF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sub-</w:t>
      </w:r>
      <w:r w:rsidR="006673F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regions:</w:t>
      </w:r>
      <w:r w:rsidR="009A62CF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moving the </w:t>
      </w:r>
      <w:proofErr w:type="spellStart"/>
      <w:r w:rsidR="009A62CF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centre</w:t>
      </w:r>
      <w:proofErr w:type="spellEnd"/>
      <w:r w:rsidR="009A62CF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of operations to Sanaa</w:t>
      </w:r>
      <w:r w:rsidR="006673F2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AD1DF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and</w:t>
      </w:r>
      <w:r w:rsidR="00AD1DFC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6673F2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deploying staff to re</w:t>
      </w:r>
      <w:r w:rsidR="006673F2" w:rsidRPr="00E8664B">
        <w:rPr>
          <w:rFonts w:ascii="Times New Roman" w:hAnsi="Times New Roman" w:cs="Times New Roman"/>
          <w:color w:val="000000"/>
          <w:sz w:val="24"/>
          <w:szCs w:val="24"/>
        </w:rPr>
        <w:t xml:space="preserve">-established </w:t>
      </w:r>
      <w:r w:rsidR="00AD1DFC">
        <w:rPr>
          <w:rFonts w:ascii="Times New Roman" w:hAnsi="Times New Roman" w:cs="Times New Roman"/>
          <w:color w:val="000000"/>
          <w:sz w:val="24"/>
          <w:szCs w:val="24"/>
        </w:rPr>
        <w:t>sub-</w:t>
      </w:r>
      <w:r w:rsidR="006673F2" w:rsidRPr="00E8664B">
        <w:rPr>
          <w:rFonts w:ascii="Times New Roman" w:hAnsi="Times New Roman" w:cs="Times New Roman"/>
          <w:color w:val="000000"/>
          <w:sz w:val="24"/>
          <w:szCs w:val="24"/>
        </w:rPr>
        <w:t>offices supported by common services in security management, ETC, storage, fleet management,</w:t>
      </w:r>
      <w:r w:rsidR="00AD1DFC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6673F2" w:rsidRPr="00E8664B">
        <w:rPr>
          <w:rFonts w:ascii="Times New Roman" w:hAnsi="Times New Roman" w:cs="Times New Roman"/>
          <w:color w:val="000000"/>
          <w:sz w:val="24"/>
          <w:szCs w:val="24"/>
        </w:rPr>
        <w:t xml:space="preserve"> evacuation capacity. </w:t>
      </w:r>
      <w:r w:rsidR="003E03A7">
        <w:rPr>
          <w:rFonts w:ascii="Times New Roman" w:hAnsi="Times New Roman" w:cs="Times New Roman"/>
          <w:color w:val="000000"/>
          <w:sz w:val="24"/>
          <w:szCs w:val="24"/>
        </w:rPr>
        <w:t>He highlighted the need to increase the ceiling up to 200 people including an increase of the national staff</w:t>
      </w:r>
      <w:proofErr w:type="gramStart"/>
      <w:r w:rsidR="005E45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03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E0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3F2" w:rsidRPr="00E8664B">
        <w:rPr>
          <w:rFonts w:ascii="Times New Roman" w:hAnsi="Times New Roman" w:cs="Times New Roman"/>
          <w:color w:val="000000"/>
          <w:sz w:val="24"/>
          <w:szCs w:val="24"/>
        </w:rPr>
        <w:t xml:space="preserve">He also called for </w:t>
      </w:r>
      <w:r w:rsidR="005C1446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supporting NGOs</w:t>
      </w:r>
      <w:r w:rsidR="006673F2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and</w:t>
      </w:r>
      <w:r w:rsidR="005C1446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having </w:t>
      </w:r>
      <w:r w:rsidR="008222E8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a united approach, in particular</w:t>
      </w:r>
      <w:r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on </w:t>
      </w:r>
      <w:r w:rsidR="005C1446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security managemen</w:t>
      </w:r>
      <w:r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>t</w:t>
      </w:r>
      <w:r w:rsidR="006673F2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 and in relations with donors</w:t>
      </w:r>
      <w:r w:rsidR="005C1446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  <w:r w:rsidR="006673F2" w:rsidRPr="00E8664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  <w:t xml:space="preserve">He further </w:t>
      </w:r>
      <w:r w:rsidR="006673F2" w:rsidRPr="00E8664B">
        <w:rPr>
          <w:rFonts w:ascii="Times New Roman" w:hAnsi="Times New Roman" w:cs="Times New Roman"/>
          <w:color w:val="000000"/>
          <w:sz w:val="24"/>
          <w:szCs w:val="24"/>
        </w:rPr>
        <w:t>stressed the need for coordination, leadership and delivery capacity as well as technical expertise to match the scale of the crisis.</w:t>
      </w:r>
    </w:p>
    <w:p w:rsidR="00E25617" w:rsidRDefault="00E25617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0F71B7" w:rsidRPr="006C5E20" w:rsidRDefault="000F71B7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b/>
          <w:color w:val="000000"/>
          <w:sz w:val="24"/>
          <w:szCs w:val="24"/>
          <w:u w:color="000000"/>
          <w:bdr w:val="nil"/>
          <w:lang w:val="en-US" w:eastAsia="en-GB"/>
        </w:rPr>
      </w:pPr>
      <w:r w:rsidRPr="006C5E20">
        <w:rPr>
          <w:rFonts w:ascii="Times New Roman" w:eastAsia="Calibri" w:hAnsi="Calibri" w:cs="Calibri"/>
          <w:b/>
          <w:color w:val="000000"/>
          <w:sz w:val="24"/>
          <w:szCs w:val="24"/>
          <w:u w:color="000000"/>
          <w:bdr w:val="nil"/>
          <w:lang w:val="en-US" w:eastAsia="en-GB"/>
        </w:rPr>
        <w:t xml:space="preserve">Emergency classification </w:t>
      </w:r>
    </w:p>
    <w:p w:rsidR="000F71B7" w:rsidRDefault="000F71B7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5F6E2C" w:rsidRDefault="005C1446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There was unanimous support for the a</w:t>
      </w:r>
      <w:r w:rsidR="00691EF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ctivation of </w:t>
      </w:r>
      <w:r w:rsidR="00691EFA" w:rsidRPr="00691EF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an IASC System-Wide Level 3 Emergency Response</w:t>
      </w:r>
      <w:r w:rsidR="00691EF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in Yemen for six months.</w:t>
      </w:r>
      <w:r w:rsidR="00EF3A2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5F6E2C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While </w:t>
      </w:r>
      <w:r w:rsidR="00EF3A2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acknowledging the </w:t>
      </w:r>
      <w:r w:rsidR="005F6E2C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security, </w:t>
      </w:r>
      <w:r w:rsidR="006502E8" w:rsidRPr="00650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access</w:t>
      </w:r>
      <w:r w:rsidR="005F6E2C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,</w:t>
      </w:r>
      <w:r w:rsidR="006502E8" w:rsidRPr="00650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0864F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and funding</w:t>
      </w:r>
      <w:r w:rsidR="005F6E2C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constrain</w:t>
      </w:r>
      <w:r w:rsidR="00EF3A2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ts</w:t>
      </w:r>
      <w:r w:rsidR="005F6E2C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, the IASC Principals are determined to work with key stakeholders to overcome them. </w:t>
      </w:r>
      <w:r w:rsidR="0036714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The Principals committed to reviewing progress achieved within 2-3 months.</w:t>
      </w:r>
    </w:p>
    <w:p w:rsidR="005F6E2C" w:rsidRDefault="005F6E2C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EF3A2D" w:rsidRDefault="005F6E2C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The security risks are high and the </w:t>
      </w:r>
      <w:r w:rsidR="00EF3A2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L3 surge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must be accompanied 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by improved security </w:t>
      </w:r>
      <w:r w:rsidR="0036714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management</w:t>
      </w:r>
      <w:r w:rsidRPr="008222E8">
        <w:rPr>
          <w:rFonts w:ascii="Times New Roman" w:eastAsia="Calibri" w:hAnsi="Calibri" w:cs="Calibri"/>
          <w:b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and a</w:t>
      </w:r>
      <w:r w:rsidRPr="00362FC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commitment by the UN and NGO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s</w:t>
      </w:r>
      <w:r w:rsidRPr="00362FC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to deploy </w:t>
      </w:r>
      <w:r w:rsidRPr="00362FC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security personnel</w:t>
      </w:r>
      <w:r w:rsidR="00EF3A2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UN </w:t>
      </w:r>
      <w:r w:rsidRPr="00362FC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DSS </w:t>
      </w:r>
      <w:r w:rsidR="00EF3A2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was w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illing to support the L3 surge but would need 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additional resources and personnel</w:t>
      </w:r>
      <w:r w:rsidRPr="00362FC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.</w:t>
      </w:r>
      <w:r w:rsidR="00E8664B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EF3A2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Security management would be particularly important given the desire to </w:t>
      </w:r>
      <w:r w:rsidR="00650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decentraliz</w:t>
      </w:r>
      <w:r w:rsidR="00EF3A2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e</w:t>
      </w:r>
      <w:r w:rsidR="00650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operations</w:t>
      </w:r>
      <w:r w:rsidR="00EF3A2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and</w:t>
      </w:r>
      <w:r w:rsidR="00650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establish field hubs</w:t>
      </w:r>
      <w:r w:rsidR="00EF3A2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:rsidR="00EF3A2D" w:rsidRDefault="00EF3A2D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FF22AA" w:rsidRDefault="00717FCD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On funding, there was progress in 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the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negotiations to secure the funding pledged by Saudi Arabia giving hope that resources would be available to scale up operations. </w:t>
      </w:r>
      <w:r w:rsidR="00A815B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S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everal organizations face major funding issues and stressed the need to redouble efforts to mobilize resources from </w:t>
      </w:r>
      <w:r w:rsidR="006C5E20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traditional donors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for operations in Yemen</w:t>
      </w:r>
      <w:r w:rsidR="006C5E20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.</w:t>
      </w:r>
      <w:r w:rsidR="00FA79BC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The flash appeal funding deficit was noted</w:t>
      </w:r>
      <w:r w:rsidR="003E03A7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(so far the revised 2015 HRP is just 10% funded</w:t>
      </w:r>
      <w:r w:rsidR="005E45C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.</w:t>
      </w:r>
      <w:r w:rsidR="003E03A7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:rsidR="00FF22AA" w:rsidRPr="00FF22AA" w:rsidRDefault="00FF22AA" w:rsidP="00FF22A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FF22A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Many suggested that the ERC considered additional CERF funds and organize efforts to mobilize funding for the operational scale up. It was noted that CERF already released more than US$28 million to the Yemen crisis in 2015.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The UK and others pledges were noted and welcomed from the High-level event in Geneva recently. </w:t>
      </w:r>
    </w:p>
    <w:p w:rsidR="00FF22AA" w:rsidRDefault="00FF22AA" w:rsidP="00F02C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362FCA" w:rsidRDefault="00362FCA" w:rsidP="00362F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</w:pPr>
    </w:p>
    <w:p w:rsidR="00691EFA" w:rsidRPr="00B74E49" w:rsidRDefault="00B74E49" w:rsidP="00362F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b/>
          <w:color w:val="000000"/>
          <w:sz w:val="24"/>
          <w:szCs w:val="24"/>
          <w:u w:color="000000"/>
          <w:bdr w:val="nil"/>
          <w:lang w:val="en-US" w:eastAsia="en-GB"/>
        </w:rPr>
      </w:pPr>
      <w:r w:rsidRPr="00B74E49">
        <w:rPr>
          <w:rFonts w:ascii="Times New Roman" w:eastAsia="Calibri" w:hAnsi="Calibri" w:cs="Calibri"/>
          <w:b/>
          <w:color w:val="000000"/>
          <w:sz w:val="24"/>
          <w:szCs w:val="24"/>
          <w:u w:color="000000"/>
          <w:bdr w:val="nil"/>
          <w:lang w:val="en-US" w:eastAsia="en-GB"/>
        </w:rPr>
        <w:t>Benchmarks for the response</w:t>
      </w:r>
    </w:p>
    <w:p w:rsidR="00A50075" w:rsidRDefault="00A50075" w:rsidP="00B74E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E86794" w:rsidRDefault="00524219" w:rsidP="005242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Many participants welcomed t</w:t>
      </w:r>
      <w:r w:rsidR="00B74E49" w:rsidRPr="00B74E4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he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new approach presented by the EDGs and the effort to propose </w:t>
      </w:r>
      <w:r w:rsidR="00717FC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benchmarks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against which the IASC could measure the success of the L3 surge. 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The paper demonstrates</w:t>
      </w:r>
      <w:r w:rsidR="00E86794" w:rsidRPr="00B74E4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a universal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approach and intent to deliver humanitarian support to the most affected people.</w:t>
      </w:r>
      <w:r w:rsidR="00E8664B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It was highlighted that protection needs to be central.</w:t>
      </w:r>
      <w:r w:rsidR="00E8664B" w:rsidDel="00E8664B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:rsidR="00A815B9" w:rsidRDefault="00A815B9" w:rsidP="005242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26301C" w:rsidRDefault="00717FCD" w:rsidP="00B74E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There were 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some </w:t>
      </w:r>
      <w:r w:rsidR="00B74E49" w:rsidRPr="00B74E4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suggestions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to sharpen the benchmarks including a 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more realistic target population,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stronger focus on 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food security, 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(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pregnant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)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women, 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the need to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collect sex and age disaggregated data, 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and the importance of strengthening the </w:t>
      </w:r>
      <w:r w:rsidRP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resilience of the Yemeni people</w:t>
      </w:r>
      <w:r w:rsidR="00524219" w:rsidRP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with 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early 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interventions in the area of </w:t>
      </w:r>
      <w:r w:rsidR="00524219" w:rsidRP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e</w:t>
      </w:r>
      <w:r w:rsidRP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conomic recovery and social inclusion. 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There w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ere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suggestions to 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discuss 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the </w:t>
      </w:r>
      <w:r w:rsidR="00E8679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proposed benchmark 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paper </w:t>
      </w:r>
      <w:r w:rsidR="002C46C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with the 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HCT, in particular </w:t>
      </w:r>
      <w:r w:rsidR="002C46C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NGO</w:t>
      </w:r>
      <w:r w:rsidR="0052421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s in Yemen</w:t>
      </w:r>
      <w:r w:rsidR="002729A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.</w:t>
      </w:r>
      <w:r w:rsidR="0036714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One participant requested a stronger gap analysis as the basis for effective response and coordination.</w:t>
      </w:r>
    </w:p>
    <w:p w:rsidR="00532374" w:rsidRDefault="00532374" w:rsidP="00B74E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532374" w:rsidRDefault="00532374" w:rsidP="005323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UNHCR highlighted the regional dimension of the crisis and called for a regional response plan. It also announced that it had appointed a Regional Refugee Coordinator to manage</w:t>
      </w:r>
      <w:r w:rsidRPr="00F37B9B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refugees</w:t>
      </w:r>
      <w:r w:rsidRPr="00F37B9B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’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issues across the region. </w:t>
      </w:r>
    </w:p>
    <w:p w:rsidR="00FF22AA" w:rsidRDefault="00FF22AA" w:rsidP="005323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E26F0" w:rsidRPr="00B74E49" w:rsidRDefault="00E86794" w:rsidP="00B74E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Many asked the ERC to take advantage of this L3 declaration to provide </w:t>
      </w:r>
      <w:r w:rsidR="00730F87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clarity</w:t>
      </w:r>
      <w:r w:rsidR="0061100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on the coordination mechanisms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,</w:t>
      </w:r>
      <w:r w:rsidR="0061100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3735B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roles and responsibilities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,</w:t>
      </w:r>
      <w:r w:rsidR="003735B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and lines of accountability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(including empowered leadership)</w:t>
      </w:r>
      <w:r w:rsidR="003735B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.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  </w:t>
      </w:r>
      <w:r w:rsidR="00FF22A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The ERC</w:t>
      </w:r>
      <w:r w:rsidR="00FF22A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’</w:t>
      </w:r>
      <w:r w:rsidR="00FF22AA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s offer to coordinate the coordinators was welcomed and accepted. </w:t>
      </w:r>
    </w:p>
    <w:p w:rsidR="000864FA" w:rsidRDefault="000864FA" w:rsidP="00BB21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10D" w:rsidRPr="00BB210D" w:rsidRDefault="00BB210D" w:rsidP="00BB2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0D">
        <w:rPr>
          <w:rFonts w:ascii="Times New Roman" w:hAnsi="Times New Roman" w:cs="Times New Roman"/>
          <w:b/>
          <w:sz w:val="24"/>
          <w:szCs w:val="24"/>
        </w:rPr>
        <w:t>Common advoca</w:t>
      </w:r>
      <w:r>
        <w:rPr>
          <w:rFonts w:ascii="Times New Roman" w:hAnsi="Times New Roman" w:cs="Times New Roman"/>
          <w:b/>
          <w:sz w:val="24"/>
          <w:szCs w:val="24"/>
        </w:rPr>
        <w:t>cy priorities and key messages</w:t>
      </w:r>
    </w:p>
    <w:p w:rsidR="00532374" w:rsidRDefault="0020687F" w:rsidP="00532374">
      <w:pPr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The international h</w:t>
      </w:r>
      <w:r w:rsidR="00BB210D" w:rsidRP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umanitarian response to the crisis in Yemen is subject to intense scrutiny </w:t>
      </w:r>
      <w:r w:rsid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including from</w:t>
      </w:r>
      <w:r w:rsidR="00BB210D" w:rsidRP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parties to the conflict. It is critical that humanitarian partners agree on common messages so as to </w:t>
      </w:r>
      <w:r w:rsid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reaffirm principled humanitarian action and </w:t>
      </w:r>
      <w:r w:rsidR="00BB210D" w:rsidRP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avoid the politicization of the response. </w:t>
      </w:r>
      <w:r w:rsid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:rsidR="00E86794" w:rsidRDefault="00E86794" w:rsidP="00532374">
      <w:pPr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A few participants noted that that the L3 would not resolve the main issue</w:t>
      </w:r>
      <w:r w:rsidR="00A815B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, namely that parties 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to the conflict violat</w:t>
      </w:r>
      <w:r w:rsidR="00A815B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e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international humanitarian law</w:t>
      </w:r>
      <w:r w:rsidR="00A815B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,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impos</w:t>
      </w:r>
      <w:r w:rsidR="00A815B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e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blockade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s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A815B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and block humanitarian access</w:t>
      </w:r>
      <w:r w:rsidR="00FA79BC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including</w:t>
      </w:r>
      <w:r w:rsidR="00A9528C">
        <w:t xml:space="preserve"> </w:t>
      </w:r>
      <w:r w:rsidR="00FA79BC" w:rsidRPr="00FA79BC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to Houthi controlled regions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.</w:t>
      </w:r>
      <w:r w:rsid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This issue was 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deemed </w:t>
      </w:r>
      <w:r w:rsid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p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articularly sensitive in light o</w:t>
      </w:r>
      <w:r w:rsid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f the fundi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ng situation and </w:t>
      </w:r>
      <w:r w:rsidR="00A815B9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may </w:t>
      </w:r>
      <w:r w:rsidR="008222E8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require further</w:t>
      </w:r>
      <w:r w:rsidR="00532374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dialogue among Principals</w:t>
      </w:r>
      <w:r w:rsidR="00795406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  <w:r w:rsidR="00795406" w:rsidRPr="00795406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Advocacy to continue the political process was also stressed to address this root cause </w:t>
      </w:r>
      <w:r w:rsidR="00795406" w:rsidRPr="00795406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–</w:t>
      </w:r>
      <w:r w:rsidR="00795406" w:rsidRPr="00795406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both continued negotiations for humanitarian pauses as well as the peace process itself</w:t>
      </w:r>
      <w:r w:rsidR="00795406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:rsidR="000864FA" w:rsidRDefault="000864FA" w:rsidP="00BB2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AOB</w:t>
      </w:r>
    </w:p>
    <w:p w:rsidR="000864FA" w:rsidRDefault="000864FA" w:rsidP="00BB2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ERC announced two planned ad hoc </w:t>
      </w:r>
      <w:r w:rsidR="00794714"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>meetings:</w:t>
      </w:r>
    </w:p>
    <w:p w:rsidR="000864FA" w:rsidRDefault="000864FA" w:rsidP="007947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14">
        <w:rPr>
          <w:rFonts w:ascii="Times New Roman" w:hAnsi="Times New Roman" w:cs="Times New Roman"/>
          <w:sz w:val="24"/>
          <w:szCs w:val="24"/>
        </w:rPr>
        <w:t>Security briefing by UN DSS on 1</w:t>
      </w:r>
      <w:r w:rsidR="00794714" w:rsidRPr="00794714">
        <w:rPr>
          <w:rFonts w:ascii="Times New Roman" w:hAnsi="Times New Roman" w:cs="Times New Roman"/>
          <w:sz w:val="24"/>
          <w:szCs w:val="24"/>
        </w:rPr>
        <w:t>8 August 2015</w:t>
      </w:r>
      <w:r w:rsidR="008A0065">
        <w:rPr>
          <w:rFonts w:ascii="Times New Roman" w:hAnsi="Times New Roman" w:cs="Times New Roman"/>
          <w:sz w:val="24"/>
          <w:szCs w:val="24"/>
        </w:rPr>
        <w:t>.</w:t>
      </w:r>
    </w:p>
    <w:p w:rsidR="00794714" w:rsidRPr="00794714" w:rsidRDefault="008A0065" w:rsidP="007947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794714">
        <w:rPr>
          <w:rFonts w:ascii="Times New Roman" w:hAnsi="Times New Roman" w:cs="Times New Roman"/>
          <w:sz w:val="24"/>
          <w:szCs w:val="24"/>
        </w:rPr>
        <w:t xml:space="preserve">L3 </w:t>
      </w:r>
      <w:r>
        <w:rPr>
          <w:rFonts w:ascii="Times New Roman" w:hAnsi="Times New Roman" w:cs="Times New Roman"/>
          <w:sz w:val="24"/>
          <w:szCs w:val="24"/>
        </w:rPr>
        <w:t xml:space="preserve">response in </w:t>
      </w:r>
      <w:r w:rsidR="00794714">
        <w:rPr>
          <w:rFonts w:ascii="Times New Roman" w:hAnsi="Times New Roman" w:cs="Times New Roman"/>
          <w:sz w:val="24"/>
          <w:szCs w:val="24"/>
        </w:rPr>
        <w:t>Iraq, South Sudan and Syria. The date will be communicated by the secretariat.</w:t>
      </w:r>
    </w:p>
    <w:p w:rsidR="002729A4" w:rsidRDefault="002729A4" w:rsidP="002729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b/>
          <w:color w:val="000000"/>
          <w:sz w:val="24"/>
          <w:szCs w:val="24"/>
          <w:u w:color="000000"/>
          <w:bdr w:val="nil"/>
          <w:lang w:val="en-US" w:eastAsia="en-GB"/>
        </w:rPr>
      </w:pPr>
      <w:r w:rsidRPr="00B74E49">
        <w:rPr>
          <w:rFonts w:ascii="Times New Roman" w:eastAsia="Calibri" w:hAnsi="Calibri" w:cs="Calibri"/>
          <w:b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>Action Points:</w:t>
      </w:r>
    </w:p>
    <w:p w:rsidR="002729A4" w:rsidRPr="00B74E49" w:rsidRDefault="002729A4" w:rsidP="002729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b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A815B9" w:rsidRPr="00A815B9" w:rsidRDefault="00A815B9" w:rsidP="00A815B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</w:pPr>
      <w:r w:rsidRPr="002C46CD"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IASC Principals agree</w:t>
      </w:r>
      <w:r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d</w:t>
      </w:r>
      <w:r w:rsidRPr="002C46CD"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 xml:space="preserve"> to activate an IASC System-Wide Level 3 Emergency Response for six months with a review </w:t>
      </w:r>
      <w:r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in September</w:t>
      </w:r>
      <w:r w:rsidRPr="002C46CD"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.</w:t>
      </w:r>
      <w:r w:rsidRPr="002C46CD">
        <w:rPr>
          <w:rFonts w:ascii="Times New Roman" w:eastAsia="Arial Unicode MS" w:hAnsi="Times New Roman" w:cs="Times New Roman"/>
          <w:b/>
          <w:i/>
          <w:iCs/>
          <w:sz w:val="24"/>
          <w:szCs w:val="24"/>
          <w:u w:val="single"/>
          <w:bdr w:val="nil"/>
          <w:lang w:val="en-US"/>
        </w:rPr>
        <w:t xml:space="preserve"> Action by</w:t>
      </w:r>
      <w:r w:rsidRPr="002C46CD">
        <w:rPr>
          <w:rFonts w:ascii="Times New Roman" w:eastAsia="Arial Unicode MS" w:hAnsi="Times New Roman" w:cs="Times New Roman"/>
          <w:b/>
          <w:i/>
          <w:iCs/>
          <w:sz w:val="24"/>
          <w:szCs w:val="24"/>
          <w:bdr w:val="nil"/>
          <w:lang w:val="en-US"/>
        </w:rPr>
        <w:t>:</w:t>
      </w:r>
      <w:r w:rsidRPr="002C46C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  <w:lang w:val="en-US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  <w:lang w:val="en-US"/>
        </w:rPr>
        <w:t xml:space="preserve">Immediate activation by IASC members. Review prepared by EDG for </w:t>
      </w:r>
      <w:r w:rsidRPr="002C46C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  <w:lang w:val="en-US"/>
        </w:rPr>
        <w:t>Principals by Mid-September 2015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  <w:lang w:val="en-US"/>
        </w:rPr>
        <w:t>.</w:t>
      </w:r>
    </w:p>
    <w:p w:rsidR="00A815B9" w:rsidRPr="00A815B9" w:rsidRDefault="00A815B9" w:rsidP="00A815B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ind w:left="360"/>
        <w:jc w:val="both"/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2729A4" w:rsidRPr="002C46CD" w:rsidRDefault="002729A4" w:rsidP="002729A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</w:pPr>
      <w:r w:rsidRPr="009E545B"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 xml:space="preserve">IASC Principals requested the EDG to finalize </w:t>
      </w:r>
      <w:r w:rsidR="00532374"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the</w:t>
      </w:r>
      <w:r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 xml:space="preserve"> set of benchmarks </w:t>
      </w:r>
      <w:r w:rsidRPr="009E545B"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in consultation with NGOs</w:t>
      </w:r>
      <w:r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 xml:space="preserve"> and </w:t>
      </w:r>
      <w:r w:rsidR="00532374"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>key donors</w:t>
      </w:r>
      <w:r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  <w:r w:rsidRPr="009E545B">
        <w:rPr>
          <w:rFonts w:ascii="Times New Roman" w:eastAsia="Calibri" w:hAnsi="Calibri" w:cs="Calibri"/>
          <w:b/>
          <w:i/>
          <w:iCs/>
          <w:color w:val="000000"/>
          <w:sz w:val="24"/>
          <w:szCs w:val="24"/>
          <w:u w:val="single" w:color="000000"/>
          <w:bdr w:val="nil"/>
          <w:lang w:val="en-US" w:eastAsia="en-GB"/>
        </w:rPr>
        <w:t>Action by</w:t>
      </w:r>
      <w:r w:rsidRPr="009E545B">
        <w:rPr>
          <w:rFonts w:ascii="Times New Roman" w:eastAsia="Calibri" w:hAnsi="Calibri" w:cs="Calibri"/>
          <w:b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:</w:t>
      </w:r>
      <w:r>
        <w:rPr>
          <w:rFonts w:ascii="Times New Roman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 EDG by </w:t>
      </w:r>
      <w:r w:rsidR="00532374">
        <w:rPr>
          <w:rFonts w:ascii="Times New Roman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7</w:t>
      </w:r>
      <w:r>
        <w:rPr>
          <w:rFonts w:ascii="Times New Roman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 July 2015</w:t>
      </w:r>
      <w:r w:rsidR="00532374">
        <w:rPr>
          <w:rFonts w:ascii="Times New Roman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:rsidR="002729A4" w:rsidRDefault="002729A4" w:rsidP="002729A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5E45C9" w:rsidRPr="005E45C9" w:rsidRDefault="00773067" w:rsidP="005E45C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OHCHR suggested looking at ways to improve sharing of sensitive </w:t>
      </w:r>
      <w:r w:rsidR="00BB210D" w:rsidRPr="002729A4">
        <w:rPr>
          <w:rFonts w:ascii="Times New Roman" w:hAnsi="Times New Roman" w:cs="Times New Roman"/>
          <w:i/>
          <w:sz w:val="24"/>
          <w:szCs w:val="24"/>
        </w:rPr>
        <w:t xml:space="preserve">information with regard to </w:t>
      </w:r>
      <w:r>
        <w:rPr>
          <w:rFonts w:ascii="Times New Roman" w:hAnsi="Times New Roman" w:cs="Times New Roman"/>
          <w:i/>
          <w:sz w:val="24"/>
          <w:szCs w:val="24"/>
        </w:rPr>
        <w:t xml:space="preserve">protection issues. </w:t>
      </w:r>
      <w:r w:rsidRPr="00773067">
        <w:rPr>
          <w:rFonts w:ascii="Times New Roman" w:hAnsi="Times New Roman" w:cs="Times New Roman"/>
          <w:b/>
          <w:i/>
          <w:sz w:val="24"/>
          <w:szCs w:val="24"/>
          <w:u w:val="single"/>
        </w:rPr>
        <w:t>Action by</w:t>
      </w:r>
      <w:r>
        <w:rPr>
          <w:rFonts w:ascii="Times New Roman" w:hAnsi="Times New Roman" w:cs="Times New Roman"/>
          <w:i/>
          <w:sz w:val="24"/>
          <w:szCs w:val="24"/>
        </w:rPr>
        <w:t>: OCHA and OHCHR by end of August</w:t>
      </w:r>
      <w:r w:rsidR="00BB210D" w:rsidRPr="002729A4">
        <w:rPr>
          <w:rFonts w:ascii="Times New Roman" w:hAnsi="Times New Roman" w:cs="Times New Roman"/>
          <w:i/>
          <w:sz w:val="24"/>
          <w:szCs w:val="24"/>
        </w:rPr>
        <w:t>.</w:t>
      </w:r>
    </w:p>
    <w:p w:rsidR="005E45C9" w:rsidRPr="005E45C9" w:rsidRDefault="005E45C9" w:rsidP="005E45C9">
      <w:pPr>
        <w:pStyle w:val="ListParagraph"/>
        <w:rPr>
          <w:rFonts w:ascii="Times New Roman" w:eastAsia="Calibri" w:hAnsi="Calibri" w:cs="Calibri"/>
          <w:i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5E45C9" w:rsidRPr="005E45C9" w:rsidRDefault="005E45C9" w:rsidP="005E45C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IASC secretariat 14072015</w:t>
      </w:r>
      <w:bookmarkStart w:id="0" w:name="_GoBack"/>
      <w:bookmarkEnd w:id="0"/>
    </w:p>
    <w:p w:rsidR="00362FCA" w:rsidRDefault="00362FCA" w:rsidP="00362F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sectPr w:rsidR="00362FCA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31" w:rsidRDefault="00D75131" w:rsidP="00E97B5A">
      <w:pPr>
        <w:spacing w:after="0" w:line="240" w:lineRule="auto"/>
      </w:pPr>
      <w:r>
        <w:separator/>
      </w:r>
    </w:p>
  </w:endnote>
  <w:endnote w:type="continuationSeparator" w:id="0">
    <w:p w:rsidR="00D75131" w:rsidRDefault="00D75131" w:rsidP="00E9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5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22E8" w:rsidRPr="00E97B5A" w:rsidRDefault="008222E8">
        <w:pPr>
          <w:pStyle w:val="Footer"/>
          <w:jc w:val="center"/>
          <w:rPr>
            <w:rFonts w:ascii="Times New Roman" w:hAnsi="Times New Roman" w:cs="Times New Roman"/>
          </w:rPr>
        </w:pPr>
        <w:r w:rsidRPr="00E97B5A">
          <w:rPr>
            <w:rFonts w:ascii="Times New Roman" w:hAnsi="Times New Roman" w:cs="Times New Roman"/>
          </w:rPr>
          <w:t>[</w:t>
        </w:r>
        <w:r w:rsidRPr="00E97B5A">
          <w:rPr>
            <w:rFonts w:ascii="Times New Roman" w:hAnsi="Times New Roman" w:cs="Times New Roman"/>
          </w:rPr>
          <w:fldChar w:fldCharType="begin"/>
        </w:r>
        <w:r w:rsidRPr="00E97B5A">
          <w:rPr>
            <w:rFonts w:ascii="Times New Roman" w:hAnsi="Times New Roman" w:cs="Times New Roman"/>
          </w:rPr>
          <w:instrText xml:space="preserve"> PAGE   \* MERGEFORMAT </w:instrText>
        </w:r>
        <w:r w:rsidRPr="00E97B5A">
          <w:rPr>
            <w:rFonts w:ascii="Times New Roman" w:hAnsi="Times New Roman" w:cs="Times New Roman"/>
          </w:rPr>
          <w:fldChar w:fldCharType="separate"/>
        </w:r>
        <w:r w:rsidR="005E45C9">
          <w:rPr>
            <w:rFonts w:ascii="Times New Roman" w:hAnsi="Times New Roman" w:cs="Times New Roman"/>
            <w:noProof/>
          </w:rPr>
          <w:t>1</w:t>
        </w:r>
        <w:r w:rsidRPr="00E97B5A">
          <w:rPr>
            <w:rFonts w:ascii="Times New Roman" w:hAnsi="Times New Roman" w:cs="Times New Roman"/>
            <w:noProof/>
          </w:rPr>
          <w:fldChar w:fldCharType="end"/>
        </w:r>
        <w:r w:rsidRPr="00E97B5A">
          <w:rPr>
            <w:rFonts w:ascii="Times New Roman" w:hAnsi="Times New Roman" w:cs="Times New Roman"/>
          </w:rPr>
          <w:t>]</w:t>
        </w:r>
      </w:p>
    </w:sdtContent>
  </w:sdt>
  <w:p w:rsidR="008222E8" w:rsidRDefault="00822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31" w:rsidRDefault="00D75131" w:rsidP="00E97B5A">
      <w:pPr>
        <w:spacing w:after="0" w:line="240" w:lineRule="auto"/>
      </w:pPr>
      <w:r>
        <w:separator/>
      </w:r>
    </w:p>
  </w:footnote>
  <w:footnote w:type="continuationSeparator" w:id="0">
    <w:p w:rsidR="00D75131" w:rsidRDefault="00D75131" w:rsidP="00E9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E16"/>
    <w:multiLevelType w:val="hybridMultilevel"/>
    <w:tmpl w:val="888CE254"/>
    <w:lvl w:ilvl="0" w:tplc="A7805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0828"/>
    <w:multiLevelType w:val="hybridMultilevel"/>
    <w:tmpl w:val="0B923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2E39"/>
    <w:multiLevelType w:val="hybridMultilevel"/>
    <w:tmpl w:val="3696A190"/>
    <w:lvl w:ilvl="0" w:tplc="A7805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2F69"/>
    <w:multiLevelType w:val="hybridMultilevel"/>
    <w:tmpl w:val="41D052D0"/>
    <w:lvl w:ilvl="0" w:tplc="A7805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A4A65"/>
    <w:multiLevelType w:val="hybridMultilevel"/>
    <w:tmpl w:val="41D052D0"/>
    <w:lvl w:ilvl="0" w:tplc="A7805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43CE0"/>
    <w:multiLevelType w:val="hybridMultilevel"/>
    <w:tmpl w:val="0BD07744"/>
    <w:lvl w:ilvl="0" w:tplc="D51A0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8"/>
    <w:rsid w:val="0002467B"/>
    <w:rsid w:val="0008542A"/>
    <w:rsid w:val="000864FA"/>
    <w:rsid w:val="000A6C42"/>
    <w:rsid w:val="000C570C"/>
    <w:rsid w:val="000E59F1"/>
    <w:rsid w:val="000F71B7"/>
    <w:rsid w:val="00101F55"/>
    <w:rsid w:val="00102356"/>
    <w:rsid w:val="001412A4"/>
    <w:rsid w:val="00144EC5"/>
    <w:rsid w:val="001A049A"/>
    <w:rsid w:val="001C7669"/>
    <w:rsid w:val="001E173F"/>
    <w:rsid w:val="0020687F"/>
    <w:rsid w:val="002276B5"/>
    <w:rsid w:val="00234342"/>
    <w:rsid w:val="0026301C"/>
    <w:rsid w:val="002729A4"/>
    <w:rsid w:val="002C02AA"/>
    <w:rsid w:val="002C46CD"/>
    <w:rsid w:val="002D1D96"/>
    <w:rsid w:val="002F0CE3"/>
    <w:rsid w:val="00362FCA"/>
    <w:rsid w:val="00365E7D"/>
    <w:rsid w:val="00367144"/>
    <w:rsid w:val="003735B3"/>
    <w:rsid w:val="003D6375"/>
    <w:rsid w:val="003E03A7"/>
    <w:rsid w:val="00427C7E"/>
    <w:rsid w:val="004E0C7D"/>
    <w:rsid w:val="004E26F0"/>
    <w:rsid w:val="00524219"/>
    <w:rsid w:val="00532374"/>
    <w:rsid w:val="005C1446"/>
    <w:rsid w:val="005E45C9"/>
    <w:rsid w:val="005F6E2C"/>
    <w:rsid w:val="00600671"/>
    <w:rsid w:val="00611008"/>
    <w:rsid w:val="006502E8"/>
    <w:rsid w:val="006673F2"/>
    <w:rsid w:val="0068327B"/>
    <w:rsid w:val="00691EFA"/>
    <w:rsid w:val="006C354D"/>
    <w:rsid w:val="006C5E20"/>
    <w:rsid w:val="00711AF8"/>
    <w:rsid w:val="00717FCD"/>
    <w:rsid w:val="00730F87"/>
    <w:rsid w:val="00756609"/>
    <w:rsid w:val="007605A3"/>
    <w:rsid w:val="00773067"/>
    <w:rsid w:val="00794714"/>
    <w:rsid w:val="00795406"/>
    <w:rsid w:val="007F408A"/>
    <w:rsid w:val="00806D79"/>
    <w:rsid w:val="008222E8"/>
    <w:rsid w:val="00827EF3"/>
    <w:rsid w:val="00837D49"/>
    <w:rsid w:val="008417B6"/>
    <w:rsid w:val="008A0065"/>
    <w:rsid w:val="008A36A2"/>
    <w:rsid w:val="008B63E1"/>
    <w:rsid w:val="008F079C"/>
    <w:rsid w:val="008F5D7D"/>
    <w:rsid w:val="00944C9F"/>
    <w:rsid w:val="00950F6D"/>
    <w:rsid w:val="009A62CF"/>
    <w:rsid w:val="009E545B"/>
    <w:rsid w:val="009E76E3"/>
    <w:rsid w:val="009F68AD"/>
    <w:rsid w:val="00A26721"/>
    <w:rsid w:val="00A36B63"/>
    <w:rsid w:val="00A50075"/>
    <w:rsid w:val="00A5214C"/>
    <w:rsid w:val="00A53F12"/>
    <w:rsid w:val="00A815B9"/>
    <w:rsid w:val="00A9528C"/>
    <w:rsid w:val="00AC4630"/>
    <w:rsid w:val="00AC7B7C"/>
    <w:rsid w:val="00AD1DFC"/>
    <w:rsid w:val="00AD2703"/>
    <w:rsid w:val="00AD7168"/>
    <w:rsid w:val="00AE51A3"/>
    <w:rsid w:val="00AF5CA5"/>
    <w:rsid w:val="00B4720F"/>
    <w:rsid w:val="00B51B19"/>
    <w:rsid w:val="00B74E49"/>
    <w:rsid w:val="00B8062E"/>
    <w:rsid w:val="00B85241"/>
    <w:rsid w:val="00BA6449"/>
    <w:rsid w:val="00BB210D"/>
    <w:rsid w:val="00BD1910"/>
    <w:rsid w:val="00BE69AE"/>
    <w:rsid w:val="00CC365F"/>
    <w:rsid w:val="00D20740"/>
    <w:rsid w:val="00D75131"/>
    <w:rsid w:val="00D837CE"/>
    <w:rsid w:val="00DD0BAB"/>
    <w:rsid w:val="00DF02E7"/>
    <w:rsid w:val="00DF2D1E"/>
    <w:rsid w:val="00E25617"/>
    <w:rsid w:val="00E67588"/>
    <w:rsid w:val="00E8664B"/>
    <w:rsid w:val="00E86794"/>
    <w:rsid w:val="00E902A7"/>
    <w:rsid w:val="00E931C4"/>
    <w:rsid w:val="00E97B5A"/>
    <w:rsid w:val="00EA4D81"/>
    <w:rsid w:val="00EA6AC1"/>
    <w:rsid w:val="00EE3630"/>
    <w:rsid w:val="00EF3A2D"/>
    <w:rsid w:val="00EF6F84"/>
    <w:rsid w:val="00F02CBB"/>
    <w:rsid w:val="00F37B9B"/>
    <w:rsid w:val="00F51099"/>
    <w:rsid w:val="00F620A7"/>
    <w:rsid w:val="00FA2B80"/>
    <w:rsid w:val="00FA79BC"/>
    <w:rsid w:val="00FC5674"/>
    <w:rsid w:val="00FD49FB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31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uiPriority w:val="34"/>
    <w:qFormat/>
    <w:rsid w:val="002C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5A"/>
  </w:style>
  <w:style w:type="paragraph" w:styleId="Footer">
    <w:name w:val="footer"/>
    <w:basedOn w:val="Normal"/>
    <w:link w:val="FooterChar"/>
    <w:uiPriority w:val="99"/>
    <w:unhideWhenUsed/>
    <w:rsid w:val="00E9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A"/>
  </w:style>
  <w:style w:type="character" w:styleId="CommentReference">
    <w:name w:val="annotation reference"/>
    <w:basedOn w:val="DefaultParagraphFont"/>
    <w:uiPriority w:val="99"/>
    <w:semiHidden/>
    <w:unhideWhenUsed/>
    <w:rsid w:val="00367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31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uiPriority w:val="34"/>
    <w:qFormat/>
    <w:rsid w:val="002C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5A"/>
  </w:style>
  <w:style w:type="paragraph" w:styleId="Footer">
    <w:name w:val="footer"/>
    <w:basedOn w:val="Normal"/>
    <w:link w:val="FooterChar"/>
    <w:uiPriority w:val="99"/>
    <w:unhideWhenUsed/>
    <w:rsid w:val="00E9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A"/>
  </w:style>
  <w:style w:type="character" w:styleId="CommentReference">
    <w:name w:val="annotation reference"/>
    <w:basedOn w:val="DefaultParagraphFont"/>
    <w:uiPriority w:val="99"/>
    <w:semiHidden/>
    <w:unhideWhenUsed/>
    <w:rsid w:val="00367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AA48-B535-457F-8F7F-0C3A0626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WFP</dc:creator>
  <cp:lastModifiedBy>OCHA</cp:lastModifiedBy>
  <cp:revision>2</cp:revision>
  <cp:lastPrinted>2015-07-06T12:18:00Z</cp:lastPrinted>
  <dcterms:created xsi:type="dcterms:W3CDTF">2015-07-15T14:23:00Z</dcterms:created>
  <dcterms:modified xsi:type="dcterms:W3CDTF">2015-07-15T14:23:00Z</dcterms:modified>
</cp:coreProperties>
</file>