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INTER-AGENCY STANDING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PRINCIPALS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rtl w:val="0"/>
        </w:rPr>
        <w:t xml:space="preserve">List of Background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rtl w:val="0"/>
        </w:rPr>
        <w:t xml:space="preserve">11 December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rtl w:val="0"/>
        </w:rPr>
        <w:t xml:space="preserve">Host: ICVA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rtl w:val="0"/>
        </w:rPr>
        <w:t xml:space="preserve">Available for download on IASC website: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http://bit.ly/1IIQUvK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7">
        <w:r w:rsidDel="00000000" w:rsidR="00000000" w:rsidRPr="00000000">
          <w:rPr>
            <w:rtl w:val="0"/>
          </w:rPr>
        </w:r>
      </w:hyperlink>
    </w:p>
    <w:tbl>
      <w:tblPr>
        <w:tblStyle w:val="Table1"/>
        <w:bidi w:val="0"/>
        <w:tblW w:w="9288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4950"/>
        <w:gridCol w:w="1620"/>
        <w:tblGridChange w:id="0">
          <w:tblGrid>
            <w:gridCol w:w="2718"/>
            <w:gridCol w:w="4950"/>
            <w:gridCol w:w="1620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Papers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8db3e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Session 1: Response to humanitarian needs in protracted crises</w:t>
            </w:r>
          </w:p>
        </w:tc>
      </w:tr>
      <w:tr>
        <w:trPr>
          <w:trHeight w:val="620" w:hRule="atLeast"/>
        </w:trPr>
        <w:tc>
          <w:tcPr>
            <w:vMerge w:val="restart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Protection, access and resources: the cases of Yemen and Syria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Proposals for collective action on Yemen and Syria in 2016, by EDGs.</w:t>
            </w:r>
          </w:p>
        </w:tc>
        <w:tc>
          <w:tcPr>
            <w:tcBorders>
              <w:top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4.12.2015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Summary of recommendations from Operational Peer Review in Syria.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9.12.2015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L3 mechanism, protracted crisis and staying the course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The role of the L3 mechanism in ensuring fit-for-purpose humanitarian responses to protracted humanitarian crises, by EDG.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4.12.2015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IASC Principals ad hoc final summary record of 26/08/2015 by IASC Secretariat.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20.11.2015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shd w:fill="8db3e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Session 2: Resource mobilization and humanitarian financing </w:t>
            </w:r>
          </w:p>
        </w:tc>
      </w:tr>
      <w:tr>
        <w:trPr>
          <w:trHeight w:val="620" w:hRule="atLeast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Recommendations of the High Level Panel on Humanitarian Financing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Preview of the report of the High Level Panel on Humanitarian Financing.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20.11.2015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shd w:fill="8db3e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Session 3: World Humanitarian Summit</w:t>
            </w:r>
          </w:p>
        </w:tc>
      </w:tr>
      <w:tr>
        <w:trPr>
          <w:trHeight w:val="280" w:hRule="atLeast"/>
        </w:trPr>
        <w:tc>
          <w:tcPr>
            <w:vMerge w:val="restart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Introduction: Seizing an opportunity: An agenda for humanity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Roadmap to Istanbul.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4.12.2015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Background on the Secretary-General’s report for the WHS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9.12.2015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List of recommendations emanating from the consultation process, with a focus on "transformative initiatives".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9.12.2015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Donors letter on WHS.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4.12.2015</w:t>
            </w:r>
          </w:p>
        </w:tc>
      </w:tr>
      <w:tr>
        <w:trPr>
          <w:trHeight w:val="200" w:hRule="atLeast"/>
        </w:trPr>
        <w:tc>
          <w:tcPr>
            <w:gridSpan w:val="3"/>
            <w:shd w:fill="8db3e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Session 4: Strategic Coordination of Cash Transfer Programming</w:t>
            </w:r>
          </w:p>
        </w:tc>
      </w:tr>
      <w:tr>
        <w:trPr>
          <w:trHeight w:val="480" w:hRule="atLeast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Strategic Coordination of Cash Transfer Programming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“Doing Cash differently: How Cash Transfers Can Transform Humanitarian Aid”, Report of the High Level Panel on Humanitarian Cash.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20.11.2015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shd w:fill="8db3e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Session 5: IASC Priorities in 2016-2017</w:t>
            </w:r>
          </w:p>
        </w:tc>
      </w:tr>
      <w:tr>
        <w:trPr>
          <w:trHeight w:val="340" w:hRule="atLeast"/>
        </w:trPr>
        <w:tc>
          <w:tcPr>
            <w:vMerge w:val="restart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IASC Priorities in 2016-2017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IASC WG priorities for 2016-2017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9.12.2015</w:t>
            </w:r>
          </w:p>
        </w:tc>
      </w:tr>
      <w:tr>
        <w:trPr>
          <w:trHeight w:val="340" w:hRule="atLeast"/>
        </w:trPr>
        <w:tc>
          <w:tcPr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EDG draft Workplan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4.12.2015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IASC Principals Statement on PSEA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Circulated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6091"/>
                <w:sz w:val="22"/>
                <w:szCs w:val="22"/>
                <w:rtl w:val="0"/>
              </w:rPr>
              <w:t xml:space="preserve">9.12.2015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17" w:top="300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27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List of background documents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(As of 9 December 2015)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bit.ly/1IIQUvK" TargetMode="External"/><Relationship Id="rId6" Type="http://schemas.openxmlformats.org/officeDocument/2006/relationships/hyperlink" Target="http://bit.ly/1IIQUvK" TargetMode="External"/><Relationship Id="rId7" Type="http://schemas.openxmlformats.org/officeDocument/2006/relationships/hyperlink" Target="http://bit.ly/1IIQUvK" TargetMode="External"/><Relationship Id="rId8" Type="http://schemas.openxmlformats.org/officeDocument/2006/relationships/header" Target="header1.xml"/></Relationships>
</file>