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01" w:rsidRDefault="00912601" w:rsidP="00912601">
      <w:pPr>
        <w:rPr>
          <w:b/>
          <w:bCs/>
          <w:lang w:val="en-US"/>
        </w:rPr>
      </w:pPr>
      <w:r>
        <w:rPr>
          <w:b/>
          <w:bCs/>
          <w:lang w:val="en-US"/>
        </w:rPr>
        <w:t>Minutes of the IASC AAP PSEA Tas</w:t>
      </w:r>
      <w:bookmarkStart w:id="0" w:name="_GoBack"/>
      <w:bookmarkEnd w:id="0"/>
      <w:r>
        <w:rPr>
          <w:b/>
          <w:bCs/>
          <w:lang w:val="en-US"/>
        </w:rPr>
        <w:t>k Team Meeting, 1</w:t>
      </w:r>
      <w:r w:rsidR="00AE00AF">
        <w:rPr>
          <w:b/>
          <w:bCs/>
          <w:lang w:val="en-US"/>
        </w:rPr>
        <w:t>9</w:t>
      </w:r>
      <w:r>
        <w:rPr>
          <w:b/>
          <w:bCs/>
          <w:vertAlign w:val="superscript"/>
          <w:lang w:val="en-US"/>
        </w:rPr>
        <w:t>th</w:t>
      </w:r>
      <w:r>
        <w:rPr>
          <w:b/>
          <w:bCs/>
          <w:lang w:val="en-US"/>
        </w:rPr>
        <w:t xml:space="preserve"> of </w:t>
      </w:r>
      <w:r w:rsidR="00BF0312">
        <w:rPr>
          <w:b/>
          <w:bCs/>
          <w:lang w:val="en-US"/>
        </w:rPr>
        <w:t>October</w:t>
      </w:r>
      <w:r>
        <w:rPr>
          <w:b/>
          <w:bCs/>
          <w:lang w:val="en-US"/>
        </w:rPr>
        <w:t xml:space="preserve"> 2015</w:t>
      </w:r>
    </w:p>
    <w:p w:rsidR="00912601" w:rsidRDefault="00912601" w:rsidP="00912601">
      <w:pPr>
        <w:rPr>
          <w:lang w:val="en-US"/>
        </w:rPr>
      </w:pPr>
    </w:p>
    <w:p w:rsidR="00912601" w:rsidRDefault="00AE00AF" w:rsidP="00912601">
      <w:pPr>
        <w:pStyle w:val="Paragraphedeliste"/>
        <w:numPr>
          <w:ilvl w:val="0"/>
          <w:numId w:val="1"/>
        </w:numPr>
        <w:shd w:val="clear" w:color="auto" w:fill="D9D9D9"/>
        <w:ind w:left="90"/>
        <w:rPr>
          <w:b/>
          <w:bCs/>
          <w:u w:val="single"/>
          <w:lang w:val="en-US"/>
        </w:rPr>
      </w:pPr>
      <w:r>
        <w:rPr>
          <w:b/>
          <w:bCs/>
          <w:u w:val="single"/>
          <w:lang w:val="en-US"/>
        </w:rPr>
        <w:t xml:space="preserve">Update on the IASC Working Group Discussion regarding the future of </w:t>
      </w:r>
      <w:r w:rsidR="004C014E">
        <w:rPr>
          <w:b/>
          <w:bCs/>
          <w:u w:val="single"/>
          <w:lang w:val="en-US"/>
        </w:rPr>
        <w:t>Task Team</w:t>
      </w:r>
      <w:r>
        <w:rPr>
          <w:b/>
          <w:bCs/>
          <w:u w:val="single"/>
          <w:lang w:val="en-US"/>
        </w:rPr>
        <w:t>s</w:t>
      </w:r>
      <w:r w:rsidR="00912601">
        <w:rPr>
          <w:b/>
          <w:bCs/>
          <w:u w:val="single"/>
          <w:lang w:val="en-US"/>
        </w:rPr>
        <w:t xml:space="preserve"> : </w:t>
      </w:r>
    </w:p>
    <w:p w:rsidR="00912601" w:rsidRDefault="005A5AA6" w:rsidP="00912601">
      <w:r>
        <w:t>W</w:t>
      </w:r>
      <w:r w:rsidR="00AE00AF">
        <w:t>e are still awaiting the conclusion</w:t>
      </w:r>
      <w:r w:rsidR="004C014E">
        <w:t>s</w:t>
      </w:r>
      <w:r w:rsidR="00AE00AF">
        <w:t xml:space="preserve"> of the IASC Working </w:t>
      </w:r>
      <w:proofErr w:type="gramStart"/>
      <w:r w:rsidR="00AE00AF">
        <w:t>Group</w:t>
      </w:r>
      <w:r w:rsidR="004C014E">
        <w:t xml:space="preserve"> :</w:t>
      </w:r>
      <w:proofErr w:type="gramEnd"/>
      <w:r w:rsidR="004C014E">
        <w:t xml:space="preserve"> w</w:t>
      </w:r>
      <w:r w:rsidR="00AE00AF">
        <w:t xml:space="preserve">hile </w:t>
      </w:r>
      <w:r w:rsidR="004C014E">
        <w:t>Task Team</w:t>
      </w:r>
      <w:r w:rsidR="00AE00AF">
        <w:t>s should finalise their action plans for the end of the year or latest end of February 2016, the Working Group has not yet decided what their priori</w:t>
      </w:r>
      <w:r w:rsidR="004C014E">
        <w:t xml:space="preserve">ties for 2016 would be. </w:t>
      </w:r>
      <w:r w:rsidR="00AE00AF">
        <w:t xml:space="preserve">In the meantime </w:t>
      </w:r>
      <w:r w:rsidR="004C014E">
        <w:t>Task Team</w:t>
      </w:r>
      <w:r w:rsidR="00AE00AF">
        <w:t>s could become reference group</w:t>
      </w:r>
      <w:r w:rsidR="00F47E55">
        <w:t xml:space="preserve">s. </w:t>
      </w:r>
      <w:r w:rsidR="00AE00AF">
        <w:t>Reference groups are voluntary communities of practice affiliated to but not directly overseen by the IASC. While it is the responsibility of the IASC working group to establish and monitor reference groups, the</w:t>
      </w:r>
      <w:r>
        <w:t xml:space="preserve"> latter</w:t>
      </w:r>
      <w:r w:rsidR="00AE00AF">
        <w:t xml:space="preserve"> are free to organise their structure and leadership. </w:t>
      </w:r>
    </w:p>
    <w:p w:rsidR="00F47E55" w:rsidRDefault="00F47E55" w:rsidP="00912601">
      <w:r>
        <w:t xml:space="preserve">In light of the above, the </w:t>
      </w:r>
      <w:r w:rsidR="004C014E">
        <w:t>Task Team</w:t>
      </w:r>
      <w:r>
        <w:t xml:space="preserve"> is waiting for an update from the WG to decide on the most appropriate date for the </w:t>
      </w:r>
      <w:r w:rsidR="004C014E">
        <w:t>retreat, hopefully end of November, early December 2015.</w:t>
      </w:r>
    </w:p>
    <w:p w:rsidR="00F47E55" w:rsidRDefault="00F47E55" w:rsidP="00912601"/>
    <w:p w:rsidR="00F47E55" w:rsidRDefault="00F47E55" w:rsidP="00F47E55">
      <w:pPr>
        <w:pStyle w:val="Paragraphedeliste"/>
        <w:numPr>
          <w:ilvl w:val="0"/>
          <w:numId w:val="1"/>
        </w:numPr>
        <w:shd w:val="clear" w:color="auto" w:fill="D9D9D9"/>
        <w:ind w:left="90"/>
        <w:rPr>
          <w:b/>
          <w:bCs/>
          <w:u w:val="single"/>
          <w:lang w:val="en-US"/>
        </w:rPr>
      </w:pPr>
      <w:r>
        <w:rPr>
          <w:b/>
          <w:bCs/>
          <w:u w:val="single"/>
          <w:lang w:val="en-US"/>
        </w:rPr>
        <w:t>Key highlights from the meeting with donors</w:t>
      </w:r>
    </w:p>
    <w:p w:rsidR="00912601" w:rsidRDefault="005A5AA6" w:rsidP="00912601">
      <w:r>
        <w:t>K</w:t>
      </w:r>
      <w:r w:rsidR="00F17A58">
        <w:t>ey points raised during the brown bag meeting with donor</w:t>
      </w:r>
      <w:r w:rsidR="000C4288">
        <w:t>s</w:t>
      </w:r>
      <w:r>
        <w:t xml:space="preserve"> on 18/09/2015 were shared with</w:t>
      </w:r>
      <w:r w:rsidR="000C4288">
        <w:t xml:space="preserve"> </w:t>
      </w:r>
      <w:r w:rsidR="004C014E">
        <w:t>Task Team</w:t>
      </w:r>
      <w:r w:rsidR="000C4288">
        <w:t xml:space="preserve"> members who had not been able to attend. Some of the questions could constitute areas of further work for our group next year, such as:</w:t>
      </w:r>
    </w:p>
    <w:p w:rsidR="000C4288" w:rsidRDefault="000C4288" w:rsidP="000C4288">
      <w:pPr>
        <w:pStyle w:val="Paragraphedeliste"/>
        <w:numPr>
          <w:ilvl w:val="0"/>
          <w:numId w:val="8"/>
        </w:numPr>
      </w:pPr>
      <w:r>
        <w:t>How do we meaningfully include national actors in the global discourse on accountability?</w:t>
      </w:r>
    </w:p>
    <w:p w:rsidR="000C4288" w:rsidRDefault="000C4288" w:rsidP="000C4288">
      <w:pPr>
        <w:pStyle w:val="Paragraphedeliste"/>
        <w:numPr>
          <w:ilvl w:val="0"/>
          <w:numId w:val="8"/>
        </w:numPr>
      </w:pPr>
      <w:r>
        <w:t xml:space="preserve">How do we increase the proportion of women amongst </w:t>
      </w:r>
      <w:r w:rsidR="005A5AA6">
        <w:t xml:space="preserve">active </w:t>
      </w:r>
      <w:r>
        <w:t>users of feedback and complaints mechanism?</w:t>
      </w:r>
    </w:p>
    <w:p w:rsidR="000C4288" w:rsidRDefault="000C4288" w:rsidP="000C4288">
      <w:pPr>
        <w:pStyle w:val="Paragraphedeliste"/>
        <w:numPr>
          <w:ilvl w:val="0"/>
          <w:numId w:val="8"/>
        </w:numPr>
      </w:pPr>
      <w:r>
        <w:t xml:space="preserve">How can the Humanitarian Program Cycle and related processes </w:t>
      </w:r>
      <w:r w:rsidR="00911AB7">
        <w:t>actually support activities to</w:t>
      </w:r>
      <w:r>
        <w:t xml:space="preserve"> tak</w:t>
      </w:r>
      <w:r w:rsidR="00911AB7">
        <w:t>e</w:t>
      </w:r>
      <w:r>
        <w:t xml:space="preserve"> account, giv</w:t>
      </w:r>
      <w:r w:rsidR="00911AB7">
        <w:t>e</w:t>
      </w:r>
      <w:r>
        <w:t xml:space="preserve"> account and being held to account</w:t>
      </w:r>
      <w:r w:rsidR="00911AB7">
        <w:t xml:space="preserve"> by communities in their diversity</w:t>
      </w:r>
      <w:r>
        <w:t>?</w:t>
      </w:r>
    </w:p>
    <w:p w:rsidR="000C4288" w:rsidRDefault="000C4288" w:rsidP="000C4288">
      <w:pPr>
        <w:pStyle w:val="Paragraphedeliste"/>
        <w:numPr>
          <w:ilvl w:val="0"/>
          <w:numId w:val="8"/>
        </w:numPr>
      </w:pPr>
      <w:r>
        <w:t xml:space="preserve">How do we </w:t>
      </w:r>
      <w:r w:rsidR="00911AB7">
        <w:t>reinforce accountability and PSEA in the preparedness phase?</w:t>
      </w:r>
    </w:p>
    <w:p w:rsidR="000C4288" w:rsidRPr="004F54EB" w:rsidRDefault="000C4288" w:rsidP="00912601">
      <w:r>
        <w:t xml:space="preserve">The </w:t>
      </w:r>
      <w:r w:rsidR="004C014E">
        <w:t>Task Team</w:t>
      </w:r>
      <w:r>
        <w:t xml:space="preserve"> is keen to get regular feedback and input from donors in the coming months especially on</w:t>
      </w:r>
      <w:r w:rsidRPr="000C4288">
        <w:t xml:space="preserve"> </w:t>
      </w:r>
      <w:r>
        <w:t xml:space="preserve">developing incentives and sanctions promoting both individual agency and collective accountability. </w:t>
      </w:r>
    </w:p>
    <w:p w:rsidR="00911AB7" w:rsidRDefault="00911AB7" w:rsidP="00AE00AF"/>
    <w:p w:rsidR="00AE00AF" w:rsidRDefault="00AE00AF" w:rsidP="00AE00AF">
      <w:pPr>
        <w:pStyle w:val="Paragraphedeliste"/>
        <w:numPr>
          <w:ilvl w:val="0"/>
          <w:numId w:val="1"/>
        </w:numPr>
        <w:shd w:val="clear" w:color="auto" w:fill="D9D9D9"/>
        <w:ind w:left="90"/>
        <w:rPr>
          <w:b/>
          <w:bCs/>
          <w:u w:val="single"/>
          <w:lang w:val="en-US"/>
        </w:rPr>
      </w:pPr>
      <w:r>
        <w:rPr>
          <w:b/>
          <w:bCs/>
          <w:u w:val="single"/>
          <w:lang w:val="en-US"/>
        </w:rPr>
        <w:t xml:space="preserve">Review of the </w:t>
      </w:r>
      <w:r w:rsidR="004C014E">
        <w:rPr>
          <w:b/>
          <w:bCs/>
          <w:u w:val="single"/>
          <w:lang w:val="en-US"/>
        </w:rPr>
        <w:t>Task Team</w:t>
      </w:r>
      <w:r>
        <w:rPr>
          <w:b/>
          <w:bCs/>
          <w:u w:val="single"/>
          <w:lang w:val="en-US"/>
        </w:rPr>
        <w:t xml:space="preserve"> objectives : </w:t>
      </w:r>
    </w:p>
    <w:p w:rsidR="00AE00AF" w:rsidRDefault="00AE00AF" w:rsidP="00AE00AF">
      <w:r>
        <w:t xml:space="preserve">The meeting participants went through each of the </w:t>
      </w:r>
      <w:r w:rsidR="004C014E">
        <w:t>Task Team</w:t>
      </w:r>
      <w:r>
        <w:t xml:space="preserve"> objectives to understand what has been achieved and what remains to be done, focussing on the changes since the last meeting in </w:t>
      </w:r>
      <w:r w:rsidR="00911AB7">
        <w:t>August</w:t>
      </w:r>
      <w:r>
        <w:t>.  The highlights below are additions to the content already included in the attached slides.</w:t>
      </w:r>
    </w:p>
    <w:p w:rsidR="00E07046" w:rsidRDefault="00E07046" w:rsidP="00912601">
      <w:pPr>
        <w:rPr>
          <w:b/>
          <w:bCs/>
        </w:rPr>
      </w:pPr>
    </w:p>
    <w:p w:rsidR="00912601" w:rsidRDefault="00912601" w:rsidP="00912601">
      <w:pPr>
        <w:rPr>
          <w:b/>
          <w:bCs/>
        </w:rPr>
      </w:pPr>
      <w:r>
        <w:rPr>
          <w:b/>
          <w:bCs/>
        </w:rPr>
        <w:t>Objective 2.1 Support to AAP and PSEA field operations</w:t>
      </w:r>
    </w:p>
    <w:p w:rsidR="00097447" w:rsidRDefault="00097447" w:rsidP="00097447">
      <w:pPr>
        <w:rPr>
          <w:lang w:val="en-US"/>
        </w:rPr>
      </w:pPr>
      <w:r>
        <w:t>T</w:t>
      </w:r>
      <w:r w:rsidR="00A77207">
        <w:t xml:space="preserve">he </w:t>
      </w:r>
      <w:r w:rsidR="00743C37">
        <w:t>Task Team</w:t>
      </w:r>
      <w:r>
        <w:t xml:space="preserve"> </w:t>
      </w:r>
      <w:r w:rsidR="001A6DF3">
        <w:t>facilitated</w:t>
      </w:r>
      <w:r>
        <w:t xml:space="preserve"> </w:t>
      </w:r>
      <w:r w:rsidRPr="00097447">
        <w:t>a session on AAP and PSEA during the H</w:t>
      </w:r>
      <w:r>
        <w:t xml:space="preserve">umanitarian </w:t>
      </w:r>
      <w:r w:rsidRPr="00097447">
        <w:t>R</w:t>
      </w:r>
      <w:r>
        <w:t xml:space="preserve">esponse </w:t>
      </w:r>
      <w:r w:rsidRPr="00097447">
        <w:t>P</w:t>
      </w:r>
      <w:r>
        <w:t>lan workshop</w:t>
      </w:r>
      <w:r w:rsidR="001A6DF3">
        <w:t xml:space="preserve"> in Erbil 6-7 October</w:t>
      </w:r>
      <w:r>
        <w:t xml:space="preserve">. </w:t>
      </w:r>
      <w:r w:rsidRPr="00097447">
        <w:rPr>
          <w:lang w:val="en-US"/>
        </w:rPr>
        <w:t xml:space="preserve">50 participants attended the session, including Heads of agencies, cluster and inter-cluster coordinators as well as donors (USAID, DFID, and ECHO). </w:t>
      </w:r>
      <w:r w:rsidR="0015464E">
        <w:rPr>
          <w:lang w:val="en-US"/>
        </w:rPr>
        <w:t xml:space="preserve">OCHA had organized a series of meeting ahead of the session to ensure the session would suit the need of participants. Participants mapped out what they were already doing in accountability with the idea to systematize the already existing good practices at collective level. The session on PSEA was a good opportunity to discuss inter-agency complaints mechanism. </w:t>
      </w:r>
      <w:r w:rsidR="001A6DF3">
        <w:rPr>
          <w:lang w:val="en-US"/>
        </w:rPr>
        <w:t xml:space="preserve">The Humanitarian Coordinator highlighted that accountability should </w:t>
      </w:r>
      <w:r w:rsidR="0015464E">
        <w:rPr>
          <w:lang w:val="en-US"/>
        </w:rPr>
        <w:t>not be a tick-</w:t>
      </w:r>
      <w:r w:rsidR="001A6DF3">
        <w:rPr>
          <w:lang w:val="en-US"/>
        </w:rPr>
        <w:t>th</w:t>
      </w:r>
      <w:r w:rsidR="0015464E">
        <w:rPr>
          <w:lang w:val="en-US"/>
        </w:rPr>
        <w:t>e-</w:t>
      </w:r>
      <w:r w:rsidR="001A6DF3">
        <w:rPr>
          <w:lang w:val="en-US"/>
        </w:rPr>
        <w:t xml:space="preserve">box exercise. </w:t>
      </w:r>
      <w:r w:rsidR="0015464E">
        <w:rPr>
          <w:lang w:val="en-US"/>
        </w:rPr>
        <w:t>E</w:t>
      </w:r>
      <w:r w:rsidR="001A6DF3">
        <w:rPr>
          <w:lang w:val="en-US"/>
        </w:rPr>
        <w:t>ach cluster</w:t>
      </w:r>
      <w:r w:rsidR="00E07046">
        <w:rPr>
          <w:lang w:val="en-US"/>
        </w:rPr>
        <w:t xml:space="preserve"> will </w:t>
      </w:r>
      <w:r w:rsidR="001A6DF3">
        <w:rPr>
          <w:lang w:val="en-US"/>
        </w:rPr>
        <w:t xml:space="preserve">demonstrate how </w:t>
      </w:r>
      <w:r w:rsidR="00E07046">
        <w:rPr>
          <w:lang w:val="en-US"/>
        </w:rPr>
        <w:t xml:space="preserve">it has </w:t>
      </w:r>
      <w:r w:rsidR="001A6DF3">
        <w:rPr>
          <w:lang w:val="en-US"/>
        </w:rPr>
        <w:t xml:space="preserve">meaningfully integrated accountability in </w:t>
      </w:r>
      <w:r w:rsidR="00E07046">
        <w:rPr>
          <w:lang w:val="en-US"/>
        </w:rPr>
        <w:t>its</w:t>
      </w:r>
      <w:r w:rsidR="001A6DF3">
        <w:rPr>
          <w:lang w:val="en-US"/>
        </w:rPr>
        <w:t xml:space="preserve"> strategy for the Humanitarian Response Plan, </w:t>
      </w:r>
      <w:r w:rsidR="00743C37">
        <w:rPr>
          <w:lang w:val="en-US"/>
        </w:rPr>
        <w:t>before defending it</w:t>
      </w:r>
      <w:r w:rsidRPr="00097447">
        <w:rPr>
          <w:lang w:val="en-US"/>
        </w:rPr>
        <w:t xml:space="preserve"> in </w:t>
      </w:r>
      <w:r w:rsidR="00743C37">
        <w:rPr>
          <w:lang w:val="en-US"/>
        </w:rPr>
        <w:t>front of the advisory board.</w:t>
      </w:r>
    </w:p>
    <w:p w:rsidR="0015464E" w:rsidRDefault="00743C37" w:rsidP="00912601">
      <w:pPr>
        <w:rPr>
          <w:lang w:val="en-US"/>
        </w:rPr>
      </w:pPr>
      <w:r>
        <w:rPr>
          <w:lang w:val="en-US"/>
        </w:rPr>
        <w:t xml:space="preserve">The next mission of the IASC AAP PSEA Task team will take place mid-November, in Niger. Accountability emerged as an important course corrector in the Niger Operational Peer Review </w:t>
      </w:r>
      <w:r w:rsidR="0015464E">
        <w:rPr>
          <w:lang w:val="en-US"/>
        </w:rPr>
        <w:t>carried out</w:t>
      </w:r>
      <w:r>
        <w:rPr>
          <w:lang w:val="en-US"/>
        </w:rPr>
        <w:t xml:space="preserve"> by the STAIT team in March 2014 and several actions related to Accountability have been included into the Niger action plan post OPR. The Task team will facilitate a workshop with clusters </w:t>
      </w:r>
      <w:r w:rsidR="0015464E">
        <w:rPr>
          <w:lang w:val="en-US"/>
        </w:rPr>
        <w:t xml:space="preserve">coordinators and facilitators as well as </w:t>
      </w:r>
      <w:r>
        <w:rPr>
          <w:lang w:val="en-US"/>
        </w:rPr>
        <w:t xml:space="preserve">government counterparts </w:t>
      </w:r>
      <w:r w:rsidR="0015464E">
        <w:rPr>
          <w:lang w:val="en-US"/>
        </w:rPr>
        <w:t xml:space="preserve">and local NGOs </w:t>
      </w:r>
      <w:r>
        <w:rPr>
          <w:lang w:val="en-US"/>
        </w:rPr>
        <w:t xml:space="preserve">to discuss a roadmap to operationalize accountability at collective level. </w:t>
      </w:r>
    </w:p>
    <w:p w:rsidR="0015464E" w:rsidRDefault="0015464E" w:rsidP="00912601"/>
    <w:p w:rsidR="00912601" w:rsidRDefault="00912601" w:rsidP="00912601">
      <w:pPr>
        <w:rPr>
          <w:b/>
          <w:bCs/>
        </w:rPr>
      </w:pPr>
      <w:r>
        <w:rPr>
          <w:b/>
          <w:bCs/>
        </w:rPr>
        <w:t xml:space="preserve">Objective 2.2 Capitalizing on Protection and AAP/PSEA synergies </w:t>
      </w:r>
    </w:p>
    <w:p w:rsidR="004C014E" w:rsidRDefault="005A5AA6" w:rsidP="004C014E">
      <w:pPr>
        <w:jc w:val="both"/>
      </w:pPr>
      <w:r>
        <w:lastRenderedPageBreak/>
        <w:t>T</w:t>
      </w:r>
      <w:r w:rsidR="004C014E">
        <w:t>he Global Cluster Coordinators workshop</w:t>
      </w:r>
      <w:r w:rsidR="004C014E" w:rsidRPr="004C014E">
        <w:t xml:space="preserve"> </w:t>
      </w:r>
      <w:r>
        <w:t xml:space="preserve">on Accountability and Protection was </w:t>
      </w:r>
      <w:r w:rsidR="004C014E">
        <w:t xml:space="preserve">organised in October </w:t>
      </w:r>
      <w:r>
        <w:t>by OCHA and co-</w:t>
      </w:r>
      <w:r w:rsidR="004C014E">
        <w:t xml:space="preserve">facilitated </w:t>
      </w:r>
      <w:r>
        <w:t>with</w:t>
      </w:r>
      <w:r w:rsidR="004C014E">
        <w:t xml:space="preserve"> the IASC AAP PSEA and </w:t>
      </w:r>
      <w:r w:rsidR="004C014E" w:rsidRPr="004C014E">
        <w:t xml:space="preserve">Protection </w:t>
      </w:r>
      <w:r w:rsidRPr="004C014E">
        <w:t>mainstreaming</w:t>
      </w:r>
      <w:r>
        <w:t xml:space="preserve"> </w:t>
      </w:r>
      <w:r w:rsidRPr="004C014E">
        <w:t>Task</w:t>
      </w:r>
      <w:r w:rsidR="004C014E">
        <w:t xml:space="preserve"> Teams. </w:t>
      </w:r>
      <w:r>
        <w:t>The main outcome of the workshop are fiches</w:t>
      </w:r>
      <w:r w:rsidRPr="005A5AA6">
        <w:t xml:space="preserve"> </w:t>
      </w:r>
      <w:r>
        <w:t xml:space="preserve">being drafted for cluster coordinators, inter cluster coordinators and head of agencies, listing suggested actions to operationalise accountability at each phase of the HPC. The actions are derived from </w:t>
      </w:r>
      <w:r w:rsidR="004C014E">
        <w:t>the Core Humanitarian Standard</w:t>
      </w:r>
      <w:r>
        <w:t xml:space="preserve">, as well as additional best practices. The draft fiches will be circulated to Task Team members for their input. Attached to these minutes is an </w:t>
      </w:r>
      <w:r w:rsidR="004F54EB">
        <w:t xml:space="preserve">overview of the links between AAP and Protection Mainstreaming, </w:t>
      </w:r>
      <w:r>
        <w:t>as presented</w:t>
      </w:r>
      <w:r w:rsidR="004C014E">
        <w:t xml:space="preserve"> </w:t>
      </w:r>
      <w:r w:rsidR="00A77207">
        <w:t>during the workshop.</w:t>
      </w:r>
    </w:p>
    <w:p w:rsidR="00912601" w:rsidRDefault="00912601" w:rsidP="00912601">
      <w:pPr>
        <w:rPr>
          <w:b/>
          <w:bCs/>
        </w:rPr>
      </w:pPr>
    </w:p>
    <w:p w:rsidR="00912601" w:rsidRDefault="00912601" w:rsidP="00912601">
      <w:pPr>
        <w:rPr>
          <w:b/>
          <w:bCs/>
          <w:lang w:val="en-US"/>
        </w:rPr>
      </w:pPr>
      <w:r>
        <w:rPr>
          <w:b/>
          <w:bCs/>
          <w:lang w:val="en-US"/>
        </w:rPr>
        <w:t>Objective 3.2 Community Based Complaints Mechanisms Pilots</w:t>
      </w:r>
    </w:p>
    <w:p w:rsidR="00AE49A9" w:rsidRPr="00AE49A9" w:rsidRDefault="00AE49A9" w:rsidP="00AE49A9">
      <w:r w:rsidRPr="00AE49A9">
        <w:t>The IASC AAP PSEA TT is supporting the facilitation of a workshop hosted by IOM on the Community Based Complaints Mechanisms piloted in Ethiopia and DR Congo. Representatives from both pilot sites, along with global experts on PSEA will meet in Kigali on 02-06 Nov to discuss lessons learned, which will feed into the CBCM Best Practice Guide. The fifth day will be open to other interested stakeholders in order to gain a better understanding of issues and challenges faced in addressing SEA in other countries. The Best Practice Guide for establishing interagency CBCMs will be produced and broadly disseminated by 31 Dec 2015.</w:t>
      </w:r>
    </w:p>
    <w:p w:rsidR="00AE49A9" w:rsidRDefault="00AE49A9" w:rsidP="0015464E">
      <w:pPr>
        <w:rPr>
          <w:rFonts w:asciiTheme="minorHAnsi" w:hAnsiTheme="minorHAnsi" w:cstheme="minorBidi"/>
          <w:b/>
          <w:bCs/>
          <w:lang w:val="en-US" w:eastAsia="en-US"/>
        </w:rPr>
      </w:pPr>
    </w:p>
    <w:p w:rsidR="0015464E" w:rsidRPr="0015464E" w:rsidRDefault="0015464E" w:rsidP="0015464E">
      <w:pPr>
        <w:rPr>
          <w:rFonts w:asciiTheme="minorHAnsi" w:hAnsiTheme="minorHAnsi" w:cstheme="minorBidi"/>
          <w:lang w:eastAsia="en-US"/>
        </w:rPr>
      </w:pPr>
      <w:r w:rsidRPr="0015464E">
        <w:rPr>
          <w:rFonts w:asciiTheme="minorHAnsi" w:hAnsiTheme="minorHAnsi" w:cstheme="minorBidi"/>
          <w:b/>
          <w:bCs/>
          <w:lang w:val="en-US" w:eastAsia="en-US"/>
        </w:rPr>
        <w:t xml:space="preserve">Global SOPs: </w:t>
      </w:r>
      <w:r w:rsidRPr="0015464E">
        <w:rPr>
          <w:rFonts w:asciiTheme="minorHAnsi" w:hAnsiTheme="minorHAnsi" w:cstheme="minorBidi"/>
          <w:lang w:val="en-US" w:eastAsia="en-US"/>
        </w:rPr>
        <w:t xml:space="preserve">To date, 14 agencies have committed to participate in an effort to draft Standard Operating Procedures (SOPs) on inter-agency cooperation in handling SEA-related complaints. The first meeting is scheduled for 23 Oct.   </w:t>
      </w:r>
    </w:p>
    <w:p w:rsidR="00912601" w:rsidRDefault="00912601" w:rsidP="00912601"/>
    <w:p w:rsidR="00911AB7" w:rsidRDefault="00911AB7" w:rsidP="00911AB7">
      <w:pPr>
        <w:pStyle w:val="Paragraphedeliste"/>
        <w:numPr>
          <w:ilvl w:val="0"/>
          <w:numId w:val="1"/>
        </w:numPr>
        <w:shd w:val="clear" w:color="auto" w:fill="D9D9D9"/>
        <w:ind w:left="90"/>
        <w:rPr>
          <w:b/>
          <w:bCs/>
          <w:u w:val="single"/>
          <w:lang w:val="en-US"/>
        </w:rPr>
      </w:pPr>
      <w:r>
        <w:rPr>
          <w:b/>
          <w:bCs/>
          <w:u w:val="single"/>
          <w:lang w:val="en-US"/>
        </w:rPr>
        <w:t xml:space="preserve">Update on the WHS : </w:t>
      </w:r>
    </w:p>
    <w:p w:rsidR="00911AB7" w:rsidRDefault="00911AB7" w:rsidP="00911AB7">
      <w:r>
        <w:t xml:space="preserve">Alex </w:t>
      </w:r>
      <w:proofErr w:type="gramStart"/>
      <w:r>
        <w:t>Jacobs  update</w:t>
      </w:r>
      <w:r w:rsidR="00AD208D">
        <w:t>d</w:t>
      </w:r>
      <w:proofErr w:type="gramEnd"/>
      <w:r w:rsidR="00AD208D">
        <w:t xml:space="preserve"> the group</w:t>
      </w:r>
      <w:r>
        <w:t xml:space="preserve"> on the WHS consultation in Geneva :</w:t>
      </w:r>
    </w:p>
    <w:p w:rsidR="00911AB7" w:rsidRPr="00911AB7" w:rsidRDefault="00AD208D" w:rsidP="00911AB7">
      <w:r>
        <w:t>1</w:t>
      </w:r>
      <w:r w:rsidR="00911AB7" w:rsidRPr="00911AB7">
        <w:t>. Overall messages:</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Re-assert key humanitarian principles</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International actors need to engage better with local actors, at all levels</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Build cooperation and trust among all actors</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Need to change incentives to drive progress</w:t>
      </w:r>
    </w:p>
    <w:p w:rsidR="00911AB7" w:rsidRPr="00911AB7" w:rsidRDefault="00911AB7" w:rsidP="00911AB7"/>
    <w:p w:rsidR="00911AB7" w:rsidRPr="00911AB7" w:rsidRDefault="00911AB7" w:rsidP="00911AB7">
      <w:r w:rsidRPr="00911AB7">
        <w:t>2. Some other big ideas got a push, including:</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The centrality of protection,</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A new deal for refugees and funding refugee hosting,</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Increasing overall funding,</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Scaling up cash assistance,</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Enhancing innovation.</w:t>
      </w:r>
    </w:p>
    <w:p w:rsidR="00911AB7" w:rsidRPr="00911AB7" w:rsidRDefault="00911AB7" w:rsidP="00911AB7"/>
    <w:p w:rsidR="00911AB7" w:rsidRPr="00911AB7" w:rsidRDefault="00911AB7" w:rsidP="00911AB7">
      <w:r w:rsidRPr="00911AB7">
        <w:t>3. Community engagement and AAP</w:t>
      </w:r>
    </w:p>
    <w:p w:rsidR="00911AB7" w:rsidRPr="00AD208D" w:rsidRDefault="00911AB7" w:rsidP="00911AB7">
      <w:pPr>
        <w:pStyle w:val="Paragraphedeliste"/>
        <w:ind w:hanging="360"/>
        <w:rPr>
          <w:rFonts w:ascii="Calibri" w:hAnsi="Calibri" w:cs="Times New Roman"/>
          <w:i/>
          <w:lang w:eastAsia="en-GB"/>
        </w:rPr>
      </w:pPr>
      <w:r w:rsidRPr="00911AB7">
        <w:rPr>
          <w:rFonts w:ascii="Calibri" w:hAnsi="Calibri" w:cs="Times New Roman"/>
          <w:lang w:eastAsia="en-GB"/>
        </w:rPr>
        <w:t>-          Engage with local institutions, rather than only with individuals.</w:t>
      </w:r>
      <w:r w:rsidR="00AD208D">
        <w:rPr>
          <w:rFonts w:ascii="Calibri" w:hAnsi="Calibri" w:cs="Times New Roman"/>
          <w:lang w:eastAsia="en-GB"/>
        </w:rPr>
        <w:t xml:space="preserve"> </w:t>
      </w:r>
      <w:r w:rsidR="00AD208D" w:rsidRPr="00AD208D">
        <w:rPr>
          <w:rFonts w:ascii="Calibri" w:hAnsi="Calibri" w:cs="Times New Roman"/>
          <w:i/>
          <w:lang w:eastAsia="en-GB"/>
        </w:rPr>
        <w:t>(</w:t>
      </w:r>
      <w:proofErr w:type="gramStart"/>
      <w:r w:rsidR="00AD208D" w:rsidRPr="00AD208D">
        <w:rPr>
          <w:rFonts w:ascii="Calibri" w:hAnsi="Calibri" w:cs="Times New Roman"/>
          <w:i/>
          <w:lang w:eastAsia="en-GB"/>
        </w:rPr>
        <w:t>questions</w:t>
      </w:r>
      <w:proofErr w:type="gramEnd"/>
      <w:r w:rsidR="00AD208D" w:rsidRPr="00AD208D">
        <w:rPr>
          <w:rFonts w:ascii="Calibri" w:hAnsi="Calibri" w:cs="Times New Roman"/>
          <w:i/>
          <w:lang w:eastAsia="en-GB"/>
        </w:rPr>
        <w:t xml:space="preserve"> were raised on how this point is compatible with the call for increased proximity with communities) </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Radically enhance transparency at the operational level.</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Adopt the Core Humanitarian Standard (at least for capacity assessments &amp; development; monitoring, evaluation &amp; feedback; and potentially going further for a common reporting framework).</w:t>
      </w:r>
      <w:r w:rsidR="00AD208D">
        <w:rPr>
          <w:rFonts w:ascii="Calibri" w:hAnsi="Calibri" w:cs="Times New Roman"/>
          <w:lang w:eastAsia="en-GB"/>
        </w:rPr>
        <w:t xml:space="preserve"> </w:t>
      </w:r>
      <w:r w:rsidR="00AD208D">
        <w:rPr>
          <w:rFonts w:ascii="Calibri" w:hAnsi="Calibri" w:cs="Times New Roman"/>
          <w:i/>
          <w:lang w:eastAsia="en-GB"/>
        </w:rPr>
        <w:t>(T</w:t>
      </w:r>
      <w:r w:rsidR="00AD208D" w:rsidRPr="00AD208D">
        <w:rPr>
          <w:rFonts w:ascii="Calibri" w:hAnsi="Calibri" w:cs="Times New Roman"/>
          <w:i/>
          <w:lang w:eastAsia="en-GB"/>
        </w:rPr>
        <w:t xml:space="preserve">he outcome of the GCC workshop on Accountability is using key actions from the nine CHS commitments to guide cluster and </w:t>
      </w:r>
      <w:proofErr w:type="spellStart"/>
      <w:r w:rsidR="00AD208D" w:rsidRPr="00AD208D">
        <w:rPr>
          <w:rFonts w:ascii="Calibri" w:hAnsi="Calibri" w:cs="Times New Roman"/>
          <w:i/>
          <w:lang w:eastAsia="en-GB"/>
        </w:rPr>
        <w:t>intercluster</w:t>
      </w:r>
      <w:proofErr w:type="spellEnd"/>
      <w:r w:rsidR="00AD208D" w:rsidRPr="00AD208D">
        <w:rPr>
          <w:rFonts w:ascii="Calibri" w:hAnsi="Calibri" w:cs="Times New Roman"/>
          <w:i/>
          <w:lang w:eastAsia="en-GB"/>
        </w:rPr>
        <w:t xml:space="preserve"> </w:t>
      </w:r>
      <w:r w:rsidR="00AD208D">
        <w:rPr>
          <w:rFonts w:ascii="Calibri" w:hAnsi="Calibri" w:cs="Times New Roman"/>
          <w:i/>
          <w:lang w:eastAsia="en-GB"/>
        </w:rPr>
        <w:t xml:space="preserve">operationalising accountability </w:t>
      </w:r>
      <w:r w:rsidR="00AD208D" w:rsidRPr="00AD208D">
        <w:rPr>
          <w:rFonts w:ascii="Calibri" w:hAnsi="Calibri" w:cs="Times New Roman"/>
          <w:i/>
          <w:lang w:eastAsia="en-GB"/>
        </w:rPr>
        <w:t>throughout the HPC)</w:t>
      </w:r>
    </w:p>
    <w:p w:rsidR="00911AB7" w:rsidRPr="00911AB7" w:rsidRDefault="00911AB7" w:rsidP="00911AB7">
      <w:pPr>
        <w:pStyle w:val="Paragraphedeliste"/>
        <w:ind w:hanging="360"/>
        <w:rPr>
          <w:rFonts w:ascii="Calibri" w:hAnsi="Calibri" w:cs="Times New Roman"/>
          <w:lang w:eastAsia="en-GB"/>
        </w:rPr>
      </w:pPr>
      <w:r w:rsidRPr="00911AB7">
        <w:rPr>
          <w:rFonts w:ascii="Calibri" w:hAnsi="Calibri" w:cs="Times New Roman"/>
          <w:lang w:eastAsia="en-GB"/>
        </w:rPr>
        <w:t>-          Two enabling factors will be required for real change:</w:t>
      </w:r>
    </w:p>
    <w:p w:rsidR="00911AB7" w:rsidRPr="00911AB7" w:rsidRDefault="00911AB7" w:rsidP="00911AB7">
      <w:pPr>
        <w:pStyle w:val="Paragraphedeliste"/>
        <w:ind w:left="1440" w:hanging="360"/>
        <w:rPr>
          <w:rFonts w:ascii="Calibri" w:hAnsi="Calibri" w:cs="Times New Roman"/>
          <w:lang w:eastAsia="en-GB"/>
        </w:rPr>
      </w:pPr>
      <w:proofErr w:type="gramStart"/>
      <w:r w:rsidRPr="00911AB7">
        <w:rPr>
          <w:rFonts w:ascii="Calibri" w:hAnsi="Calibri" w:cs="Times New Roman"/>
          <w:lang w:eastAsia="en-GB"/>
        </w:rPr>
        <w:t>o</w:t>
      </w:r>
      <w:proofErr w:type="gramEnd"/>
      <w:r w:rsidRPr="00911AB7">
        <w:rPr>
          <w:rFonts w:ascii="Calibri" w:hAnsi="Calibri" w:cs="Times New Roman"/>
          <w:lang w:eastAsia="en-GB"/>
        </w:rPr>
        <w:t>   Ensure consistent leadership &amp; resources. This includes an individual member of each senior management team dedicated to community engagement.</w:t>
      </w:r>
    </w:p>
    <w:p w:rsidR="00911AB7" w:rsidRPr="00911AB7" w:rsidRDefault="00911AB7" w:rsidP="00911AB7">
      <w:pPr>
        <w:pStyle w:val="Paragraphedeliste"/>
        <w:ind w:left="1440" w:hanging="360"/>
        <w:rPr>
          <w:rFonts w:ascii="Calibri" w:hAnsi="Calibri" w:cs="Times New Roman"/>
          <w:lang w:eastAsia="en-GB"/>
        </w:rPr>
      </w:pPr>
      <w:proofErr w:type="gramStart"/>
      <w:r w:rsidRPr="00911AB7">
        <w:rPr>
          <w:rFonts w:ascii="Calibri" w:hAnsi="Calibri" w:cs="Times New Roman"/>
          <w:lang w:eastAsia="en-GB"/>
        </w:rPr>
        <w:t>o</w:t>
      </w:r>
      <w:proofErr w:type="gramEnd"/>
      <w:r w:rsidRPr="00911AB7">
        <w:rPr>
          <w:rFonts w:ascii="Calibri" w:hAnsi="Calibri" w:cs="Times New Roman"/>
          <w:lang w:eastAsia="en-GB"/>
        </w:rPr>
        <w:t>   Ensure regular review &amp; revision of all strategic and project plans.</w:t>
      </w:r>
    </w:p>
    <w:p w:rsidR="00AD208D" w:rsidRDefault="00AD208D" w:rsidP="00912601">
      <w:r>
        <w:lastRenderedPageBreak/>
        <w:t xml:space="preserve">Ahead of the WHS summit in May, people and organisations need to focus on developing concrete proposals that can be really transformative when operationalising accountability. </w:t>
      </w:r>
    </w:p>
    <w:p w:rsidR="00912601" w:rsidRDefault="00AD208D" w:rsidP="00912601">
      <w:r>
        <w:t xml:space="preserve"> </w:t>
      </w:r>
    </w:p>
    <w:p w:rsidR="00912601" w:rsidRDefault="00912601" w:rsidP="00912601">
      <w:pPr>
        <w:shd w:val="clear" w:color="auto" w:fill="D9D9D9"/>
        <w:rPr>
          <w:b/>
          <w:bCs/>
          <w:u w:val="single"/>
          <w:lang w:val="en-US"/>
        </w:rPr>
      </w:pPr>
      <w:r>
        <w:rPr>
          <w:b/>
          <w:bCs/>
          <w:u w:val="single"/>
          <w:lang w:val="en-US"/>
        </w:rPr>
        <w:t>Save the Dates</w:t>
      </w:r>
    </w:p>
    <w:p w:rsidR="00912601" w:rsidRDefault="00912601" w:rsidP="00912601">
      <w:pPr>
        <w:pStyle w:val="Paragraphedeliste"/>
        <w:numPr>
          <w:ilvl w:val="0"/>
          <w:numId w:val="6"/>
        </w:numPr>
        <w:rPr>
          <w:lang w:val="en-US"/>
        </w:rPr>
      </w:pPr>
      <w:r>
        <w:t xml:space="preserve">The next meeting on PSEA related </w:t>
      </w:r>
      <w:proofErr w:type="spellStart"/>
      <w:proofErr w:type="gramStart"/>
      <w:r>
        <w:t>workstreams</w:t>
      </w:r>
      <w:proofErr w:type="spellEnd"/>
      <w:r>
        <w:t xml:space="preserve"> :</w:t>
      </w:r>
      <w:proofErr w:type="gramEnd"/>
      <w:r>
        <w:t xml:space="preserve"> </w:t>
      </w:r>
      <w:r w:rsidR="004F54EB">
        <w:rPr>
          <w:highlight w:val="yellow"/>
        </w:rPr>
        <w:t>November</w:t>
      </w:r>
      <w:r>
        <w:rPr>
          <w:highlight w:val="yellow"/>
        </w:rPr>
        <w:t xml:space="preserve"> </w:t>
      </w:r>
      <w:r w:rsidR="004F54EB">
        <w:rPr>
          <w:highlight w:val="yellow"/>
        </w:rPr>
        <w:t>9</w:t>
      </w:r>
      <w:r>
        <w:rPr>
          <w:highlight w:val="yellow"/>
          <w:vertAlign w:val="superscript"/>
        </w:rPr>
        <w:t>th</w:t>
      </w:r>
      <w:r>
        <w:rPr>
          <w:highlight w:val="yellow"/>
        </w:rPr>
        <w:t xml:space="preserve"> at 3 PM.</w:t>
      </w:r>
    </w:p>
    <w:p w:rsidR="00912601" w:rsidRDefault="00912601" w:rsidP="00912601">
      <w:pPr>
        <w:pStyle w:val="Paragraphedeliste"/>
        <w:numPr>
          <w:ilvl w:val="0"/>
          <w:numId w:val="6"/>
        </w:numPr>
        <w:rPr>
          <w:b/>
          <w:bCs/>
          <w:i/>
          <w:iCs/>
          <w:color w:val="5A5A5A"/>
          <w:lang w:val="en-US"/>
        </w:rPr>
      </w:pPr>
      <w:r>
        <w:rPr>
          <w:b/>
          <w:bCs/>
          <w:u w:val="single"/>
          <w:lang w:val="en-US"/>
        </w:rPr>
        <w:t xml:space="preserve">Proposed dates for next </w:t>
      </w:r>
      <w:proofErr w:type="gramStart"/>
      <w:r>
        <w:rPr>
          <w:b/>
          <w:bCs/>
          <w:u w:val="single"/>
          <w:lang w:val="en-US"/>
        </w:rPr>
        <w:t>meeting :</w:t>
      </w:r>
      <w:proofErr w:type="gramEnd"/>
      <w:r>
        <w:rPr>
          <w:b/>
          <w:bCs/>
          <w:u w:val="single"/>
          <w:lang w:val="en-US"/>
        </w:rPr>
        <w:t xml:space="preserve"> </w:t>
      </w:r>
      <w:r>
        <w:rPr>
          <w:b/>
          <w:bCs/>
          <w:highlight w:val="yellow"/>
          <w:u w:val="single"/>
          <w:lang w:val="en-US"/>
        </w:rPr>
        <w:t xml:space="preserve">Monday </w:t>
      </w:r>
      <w:r w:rsidR="00911AB7">
        <w:rPr>
          <w:b/>
          <w:bCs/>
          <w:highlight w:val="yellow"/>
          <w:u w:val="single"/>
          <w:lang w:val="en-US"/>
        </w:rPr>
        <w:t>7</w:t>
      </w:r>
      <w:r>
        <w:rPr>
          <w:b/>
          <w:bCs/>
          <w:highlight w:val="yellow"/>
          <w:u w:val="single"/>
          <w:lang w:val="en-US"/>
        </w:rPr>
        <w:t xml:space="preserve">th of </w:t>
      </w:r>
      <w:r w:rsidR="00911AB7">
        <w:rPr>
          <w:b/>
          <w:bCs/>
          <w:highlight w:val="yellow"/>
          <w:u w:val="single"/>
          <w:lang w:val="en-US"/>
        </w:rPr>
        <w:t>December</w:t>
      </w:r>
      <w:r>
        <w:rPr>
          <w:b/>
          <w:bCs/>
          <w:highlight w:val="yellow"/>
          <w:u w:val="single"/>
          <w:lang w:val="en-US"/>
        </w:rPr>
        <w:t xml:space="preserve"> 2015, 3 PM Geneva time.</w:t>
      </w:r>
      <w:r>
        <w:rPr>
          <w:b/>
          <w:bCs/>
          <w:u w:val="single"/>
          <w:lang w:val="en-US"/>
        </w:rPr>
        <w:t xml:space="preserve"> </w:t>
      </w:r>
    </w:p>
    <w:p w:rsidR="00912601" w:rsidRDefault="00E07046" w:rsidP="00912601">
      <w:pPr>
        <w:shd w:val="clear" w:color="auto" w:fill="D9D9D9"/>
        <w:rPr>
          <w:u w:val="single"/>
        </w:rPr>
      </w:pPr>
      <w:r>
        <w:rPr>
          <w:i/>
          <w:iCs/>
          <w:u w:val="single"/>
          <w:lang w:val="en-US"/>
        </w:rPr>
        <w:t>L</w:t>
      </w:r>
      <w:r w:rsidR="00912601">
        <w:rPr>
          <w:i/>
          <w:iCs/>
          <w:u w:val="single"/>
          <w:lang w:val="en-US"/>
        </w:rPr>
        <w:t>ist of Participants</w:t>
      </w:r>
    </w:p>
    <w:p w:rsidR="00912601" w:rsidRDefault="00912601" w:rsidP="00912601">
      <w:pPr>
        <w:rPr>
          <w:b/>
          <w:bCs/>
          <w:i/>
          <w:iCs/>
          <w:color w:val="5A5A5A"/>
          <w:lang w:val="en-US"/>
        </w:rPr>
      </w:pPr>
    </w:p>
    <w:tbl>
      <w:tblPr>
        <w:tblW w:w="0" w:type="auto"/>
        <w:tblCellMar>
          <w:left w:w="0" w:type="dxa"/>
          <w:right w:w="0" w:type="dxa"/>
        </w:tblCellMar>
        <w:tblLook w:val="04A0" w:firstRow="1" w:lastRow="0" w:firstColumn="1" w:lastColumn="0" w:noHBand="0" w:noVBand="1"/>
      </w:tblPr>
      <w:tblGrid>
        <w:gridCol w:w="5592"/>
        <w:gridCol w:w="3588"/>
      </w:tblGrid>
      <w:tr w:rsidR="005A3339" w:rsidRPr="005A3339" w:rsidTr="005A3339">
        <w:tc>
          <w:tcPr>
            <w:tcW w:w="5592"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pPr>
              <w:rPr>
                <w:b/>
                <w:bCs/>
              </w:rPr>
            </w:pPr>
            <w:r w:rsidRPr="005A3339">
              <w:rPr>
                <w:b/>
                <w:bCs/>
              </w:rPr>
              <w:t>Organisation</w:t>
            </w:r>
          </w:p>
        </w:tc>
        <w:tc>
          <w:tcPr>
            <w:tcW w:w="358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pPr>
              <w:rPr>
                <w:b/>
                <w:bCs/>
              </w:rPr>
            </w:pPr>
            <w:r w:rsidRPr="005A3339">
              <w:rPr>
                <w:b/>
                <w:bCs/>
              </w:rPr>
              <w:t>Name</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ALNAP</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rsidRPr="005A3339">
              <w:t>Alexandra Warner</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 xml:space="preserve">CDAC </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pPr>
              <w:rPr>
                <w:color w:val="000000"/>
              </w:rPr>
            </w:pPr>
            <w:r>
              <w:rPr>
                <w:color w:val="000000"/>
              </w:rPr>
              <w:t>?</w:t>
            </w:r>
          </w:p>
        </w:tc>
      </w:tr>
      <w:tr w:rsidR="005A3339" w:rsidRPr="005A3339" w:rsidTr="005A3339">
        <w:trPr>
          <w:trHeight w:val="323"/>
        </w:trPr>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Pr>
              <w:rPr>
                <w:color w:val="000000"/>
              </w:rPr>
            </w:pPr>
            <w:r w:rsidRPr="005A3339">
              <w:rPr>
                <w:color w:val="000000"/>
              </w:rPr>
              <w:t>CHS alliance</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 xml:space="preserve">Genevieve </w:t>
            </w:r>
            <w:proofErr w:type="spellStart"/>
            <w:r w:rsidRPr="005A3339">
              <w:t>Cyvoct</w:t>
            </w:r>
            <w:proofErr w:type="spellEnd"/>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rsidR="005A3339" w:rsidRPr="005A3339" w:rsidRDefault="005A3339">
            <w:pPr>
              <w:rPr>
                <w:color w:val="000000"/>
              </w:rPr>
            </w:pPr>
            <w:r w:rsidRPr="005A3339">
              <w:rPr>
                <w:color w:val="000000"/>
              </w:rPr>
              <w:t xml:space="preserve">CHS alliance </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color w:val="000000"/>
              </w:rPr>
            </w:pPr>
            <w:r w:rsidRPr="005A3339">
              <w:rPr>
                <w:color w:val="000000"/>
              </w:rPr>
              <w:t>Massimo Nicoletti Altimari</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CWC</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proofErr w:type="spellStart"/>
            <w:r w:rsidRPr="005A3339">
              <w:t>Shama</w:t>
            </w:r>
            <w:proofErr w:type="spellEnd"/>
            <w:r w:rsidRPr="005A3339">
              <w:t xml:space="preserve"> Mall</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r w:rsidRPr="005A3339">
              <w:t>FAO</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Bruna Bambini</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roofErr w:type="spellStart"/>
            <w:r w:rsidRPr="005A3339">
              <w:rPr>
                <w:color w:val="000000"/>
              </w:rPr>
              <w:t>GenCap</w:t>
            </w:r>
            <w:proofErr w:type="spellEnd"/>
            <w:r w:rsidRPr="005A3339">
              <w:rPr>
                <w:color w:val="000000"/>
              </w:rPr>
              <w:t xml:space="preserve"> </w:t>
            </w:r>
            <w:proofErr w:type="spellStart"/>
            <w:r w:rsidRPr="005A3339">
              <w:rPr>
                <w:color w:val="000000"/>
              </w:rPr>
              <w:t>Unicef</w:t>
            </w:r>
            <w:proofErr w:type="spellEnd"/>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roofErr w:type="spellStart"/>
            <w:r w:rsidRPr="005A3339">
              <w:t>Merryn</w:t>
            </w:r>
            <w:proofErr w:type="spellEnd"/>
            <w:r w:rsidRPr="005A3339">
              <w:t xml:space="preserve"> Waterhouse</w:t>
            </w:r>
          </w:p>
        </w:tc>
      </w:tr>
      <w:tr w:rsidR="005A3339" w:rsidRPr="005A3339" w:rsidTr="005A3339">
        <w:trPr>
          <w:trHeight w:val="323"/>
        </w:trPr>
        <w:tc>
          <w:tcPr>
            <w:tcW w:w="5592"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5A3339" w:rsidRPr="005A3339" w:rsidRDefault="005A3339">
            <w:pPr>
              <w:rPr>
                <w:color w:val="000000"/>
              </w:rPr>
            </w:pPr>
            <w:r w:rsidRPr="005A3339">
              <w:t>Global Protection Cluster Task Team on Protection Mainstreaming,</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color w:val="000000"/>
              </w:rPr>
            </w:pPr>
            <w:r w:rsidRPr="005A3339">
              <w:t>Julien Marneffe</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Pr>
              <w:rPr>
                <w:rFonts w:ascii="Cambria" w:hAnsi="Cambria"/>
              </w:rPr>
            </w:pPr>
            <w:r w:rsidRPr="005A3339">
              <w:rPr>
                <w:color w:val="000000"/>
              </w:rPr>
              <w:t>IASC AAP PSEA</w:t>
            </w:r>
            <w:r w:rsidRPr="005A3339">
              <w:rPr>
                <w:rFonts w:ascii="Cambria" w:hAnsi="Cambria"/>
              </w:rPr>
              <w:t xml:space="preserve"> </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rFonts w:ascii="Cambria" w:hAnsi="Cambria"/>
              </w:rPr>
            </w:pPr>
            <w:r w:rsidRPr="005A3339">
              <w:t>Astrid de Valon</w:t>
            </w:r>
            <w:r w:rsidRPr="005A3339">
              <w:rPr>
                <w:rFonts w:ascii="Cambria" w:hAnsi="Cambria"/>
              </w:rPr>
              <w:t xml:space="preserve"> </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Interaction</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rsidRPr="005A3339">
              <w:t>Liz Bloomfield</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r w:rsidRPr="005A3339">
              <w:t xml:space="preserve">IOM </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Tristan Burnett</w:t>
            </w:r>
          </w:p>
        </w:tc>
      </w:tr>
      <w:tr w:rsidR="005A3339" w:rsidRPr="005A3339" w:rsidTr="005A3339">
        <w:trPr>
          <w:trHeight w:val="323"/>
        </w:trPr>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r w:rsidRPr="005A3339">
              <w:t>Plan International</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Alex Jacob</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Save the Children</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t>?</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Save the Children</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t>Katie Drew</w:t>
            </w:r>
          </w:p>
        </w:tc>
      </w:tr>
      <w:tr w:rsidR="005A3339" w:rsidRPr="005A3339" w:rsidTr="005A3339">
        <w:trPr>
          <w:trHeight w:val="287"/>
        </w:trPr>
        <w:tc>
          <w:tcPr>
            <w:tcW w:w="5592"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5A3339" w:rsidRPr="005A3339" w:rsidRDefault="005A3339">
            <w:pPr>
              <w:rPr>
                <w:color w:val="000000"/>
              </w:rPr>
            </w:pP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pPr>
              <w:rPr>
                <w:color w:val="000000"/>
              </w:rPr>
            </w:pPr>
            <w:r>
              <w:rPr>
                <w:color w:val="000000"/>
              </w:rPr>
              <w:t>Lucy Heaven Taylor</w:t>
            </w:r>
          </w:p>
        </w:tc>
      </w:tr>
      <w:tr w:rsidR="005A3339" w:rsidRPr="005A3339" w:rsidTr="005A3339">
        <w:trPr>
          <w:trHeight w:val="287"/>
        </w:trPr>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tcPr>
          <w:p w:rsidR="005A3339" w:rsidRPr="005A3339" w:rsidRDefault="005A3339">
            <w:pPr>
              <w:rPr>
                <w:color w:val="000000"/>
              </w:rPr>
            </w:pPr>
            <w:r w:rsidRPr="005A3339">
              <w:rPr>
                <w:color w:val="000000"/>
              </w:rPr>
              <w:t>UNDP</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pPr>
              <w:rPr>
                <w:color w:val="000000"/>
              </w:rPr>
            </w:pPr>
            <w:proofErr w:type="spellStart"/>
            <w:r w:rsidRPr="005A3339">
              <w:rPr>
                <w:color w:val="000000"/>
              </w:rPr>
              <w:t>Rekha</w:t>
            </w:r>
            <w:proofErr w:type="spellEnd"/>
            <w:r w:rsidRPr="005A3339">
              <w:rPr>
                <w:color w:val="000000"/>
              </w:rPr>
              <w:t xml:space="preserve"> Das</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tcPr>
          <w:p w:rsidR="005A3339" w:rsidRPr="005A3339" w:rsidRDefault="005A3339">
            <w:pPr>
              <w:rPr>
                <w:color w:val="000000"/>
              </w:rPr>
            </w:pPr>
            <w:r w:rsidRPr="005A3339">
              <w:rPr>
                <w:color w:val="000000"/>
              </w:rPr>
              <w:t>UNHCR</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pPr>
              <w:rPr>
                <w:color w:val="000000"/>
              </w:rPr>
            </w:pPr>
            <w:r w:rsidRPr="005A3339">
              <w:rPr>
                <w:color w:val="000000"/>
              </w:rPr>
              <w:t>Annika Sandlund</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Pr>
              <w:rPr>
                <w:color w:val="000000"/>
              </w:rPr>
            </w:pPr>
            <w:r w:rsidRPr="005A3339">
              <w:rPr>
                <w:color w:val="000000"/>
              </w:rPr>
              <w:t>UNHCR</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color w:val="000000"/>
              </w:rPr>
            </w:pPr>
            <w:r w:rsidRPr="005A3339">
              <w:rPr>
                <w:color w:val="000000"/>
              </w:rPr>
              <w:t>Michelle Ndhlovu</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Pr>
              <w:rPr>
                <w:color w:val="000000"/>
              </w:rPr>
            </w:pPr>
            <w:r w:rsidRPr="005A3339">
              <w:rPr>
                <w:color w:val="000000"/>
              </w:rPr>
              <w:t>UNHCR</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color w:val="000000"/>
              </w:rPr>
            </w:pPr>
            <w:r w:rsidRPr="005A3339">
              <w:rPr>
                <w:color w:val="000000"/>
              </w:rPr>
              <w:t>Nemia Temporal</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A3339" w:rsidRPr="005A3339" w:rsidRDefault="005A3339">
            <w:pPr>
              <w:rPr>
                <w:color w:val="000000"/>
              </w:rPr>
            </w:pPr>
            <w:r w:rsidRPr="005A3339">
              <w:rPr>
                <w:color w:val="000000"/>
              </w:rPr>
              <w:t>UNHCR</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pPr>
              <w:rPr>
                <w:color w:val="000000"/>
              </w:rPr>
            </w:pPr>
            <w:r w:rsidRPr="005A3339">
              <w:rPr>
                <w:color w:val="000000"/>
              </w:rPr>
              <w:t>Preeta Law</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rsidR="005A3339" w:rsidRPr="005A3339" w:rsidRDefault="005A3339">
            <w:r w:rsidRPr="005A3339">
              <w:t>UNICEF</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 xml:space="preserve">Maria Luisa </w:t>
            </w:r>
            <w:proofErr w:type="spellStart"/>
            <w:r w:rsidRPr="005A3339">
              <w:t>Olavarria</w:t>
            </w:r>
            <w:proofErr w:type="spellEnd"/>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r w:rsidRPr="005A3339">
              <w:t>WFP</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A3339" w:rsidRPr="005A3339" w:rsidRDefault="005A3339">
            <w:r w:rsidRPr="005A3339">
              <w:t>Sarah Mace</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WHO</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rsidRPr="005A3339">
              <w:t xml:space="preserve">Alma </w:t>
            </w:r>
            <w:proofErr w:type="spellStart"/>
            <w:r w:rsidRPr="005A3339">
              <w:t>Lica</w:t>
            </w:r>
            <w:proofErr w:type="spellEnd"/>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World Vision International</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t>?</w:t>
            </w:r>
          </w:p>
        </w:tc>
      </w:tr>
      <w:tr w:rsidR="005A3339" w:rsidRPr="005A3339" w:rsidTr="005A3339">
        <w:tc>
          <w:tcPr>
            <w:tcW w:w="5592"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5A3339" w:rsidRPr="005A3339" w:rsidRDefault="005A3339">
            <w:r w:rsidRPr="005A3339">
              <w:t>World Vision International</w:t>
            </w:r>
          </w:p>
        </w:tc>
        <w:tc>
          <w:tcPr>
            <w:tcW w:w="3588" w:type="dxa"/>
            <w:tcBorders>
              <w:top w:val="nil"/>
              <w:left w:val="nil"/>
              <w:bottom w:val="single" w:sz="8" w:space="0" w:color="auto"/>
              <w:right w:val="single" w:sz="8" w:space="0" w:color="auto"/>
            </w:tcBorders>
            <w:tcMar>
              <w:top w:w="0" w:type="dxa"/>
              <w:left w:w="108" w:type="dxa"/>
              <w:bottom w:w="0" w:type="dxa"/>
              <w:right w:w="108" w:type="dxa"/>
            </w:tcMar>
          </w:tcPr>
          <w:p w:rsidR="005A3339" w:rsidRPr="005A3339" w:rsidRDefault="005A3339">
            <w:r w:rsidRPr="005A3339">
              <w:t>Elie Gasagara</w:t>
            </w:r>
          </w:p>
        </w:tc>
      </w:tr>
    </w:tbl>
    <w:p w:rsidR="00912601" w:rsidRDefault="00912601" w:rsidP="00912601">
      <w:pPr>
        <w:rPr>
          <w:b/>
          <w:bCs/>
          <w:lang w:val="en-US"/>
        </w:rPr>
      </w:pPr>
    </w:p>
    <w:p w:rsidR="00912601" w:rsidRDefault="00912601" w:rsidP="00912601">
      <w:pPr>
        <w:rPr>
          <w:b/>
          <w:bCs/>
          <w:lang w:val="en-US"/>
        </w:rPr>
      </w:pPr>
    </w:p>
    <w:p w:rsidR="00912601" w:rsidRDefault="00912601" w:rsidP="00912601">
      <w:pPr>
        <w:rPr>
          <w:lang w:val="en-US"/>
        </w:rPr>
      </w:pPr>
      <w:r>
        <w:rPr>
          <w:lang w:val="en-US"/>
        </w:rPr>
        <w:t>Astrid de Valon</w:t>
      </w:r>
    </w:p>
    <w:p w:rsidR="00912601" w:rsidRDefault="00912601" w:rsidP="00912601">
      <w:pPr>
        <w:rPr>
          <w:lang w:val="en-US"/>
        </w:rPr>
      </w:pPr>
      <w:r>
        <w:rPr>
          <w:lang w:val="en-US"/>
        </w:rPr>
        <w:t>IASC</w:t>
      </w:r>
      <w:proofErr w:type="gramStart"/>
      <w:r>
        <w:rPr>
          <w:lang w:val="en-US"/>
        </w:rPr>
        <w:t>  AAP</w:t>
      </w:r>
      <w:proofErr w:type="gramEnd"/>
      <w:r>
        <w:rPr>
          <w:lang w:val="en-US"/>
        </w:rPr>
        <w:t xml:space="preserve"> PSEA </w:t>
      </w:r>
      <w:r w:rsidR="004C014E">
        <w:rPr>
          <w:lang w:val="en-US"/>
        </w:rPr>
        <w:t>Task Team</w:t>
      </w:r>
      <w:r>
        <w:rPr>
          <w:lang w:val="en-US"/>
        </w:rPr>
        <w:t xml:space="preserve"> Coordinator</w:t>
      </w:r>
    </w:p>
    <w:p w:rsidR="00912601" w:rsidRDefault="00912601" w:rsidP="00912601">
      <w:pPr>
        <w:rPr>
          <w:sz w:val="16"/>
          <w:szCs w:val="16"/>
          <w:lang w:val="en-US"/>
        </w:rPr>
      </w:pPr>
      <w:r>
        <w:rPr>
          <w:sz w:val="16"/>
          <w:szCs w:val="16"/>
          <w:lang w:val="en-US"/>
        </w:rPr>
        <w:t>Accountability to Affected Populations</w:t>
      </w:r>
    </w:p>
    <w:p w:rsidR="00912601" w:rsidRDefault="00912601" w:rsidP="00912601">
      <w:pPr>
        <w:rPr>
          <w:sz w:val="16"/>
          <w:szCs w:val="16"/>
          <w:lang w:val="en-US"/>
        </w:rPr>
      </w:pPr>
      <w:r>
        <w:rPr>
          <w:sz w:val="16"/>
          <w:szCs w:val="16"/>
          <w:lang w:val="en-US"/>
        </w:rPr>
        <w:t>Prevention of Sexual Exploitation and Abuse</w:t>
      </w:r>
    </w:p>
    <w:p w:rsidR="00912601" w:rsidRDefault="00912601" w:rsidP="00912601">
      <w:pPr>
        <w:rPr>
          <w:sz w:val="16"/>
          <w:szCs w:val="16"/>
          <w:lang w:val="fr-FR"/>
        </w:rPr>
      </w:pPr>
      <w:r>
        <w:rPr>
          <w:sz w:val="16"/>
          <w:szCs w:val="16"/>
          <w:lang w:val="fr-FR"/>
        </w:rPr>
        <w:t xml:space="preserve">Skype : </w:t>
      </w:r>
      <w:proofErr w:type="spellStart"/>
      <w:r>
        <w:rPr>
          <w:sz w:val="16"/>
          <w:szCs w:val="16"/>
          <w:lang w:val="fr-FR"/>
        </w:rPr>
        <w:t>astriddevalon</w:t>
      </w:r>
      <w:proofErr w:type="spellEnd"/>
    </w:p>
    <w:p w:rsidR="00912601" w:rsidRDefault="00912601" w:rsidP="00912601">
      <w:pPr>
        <w:rPr>
          <w:sz w:val="16"/>
          <w:szCs w:val="16"/>
          <w:lang w:val="fr-FR"/>
        </w:rPr>
      </w:pPr>
      <w:r>
        <w:rPr>
          <w:sz w:val="16"/>
          <w:szCs w:val="16"/>
          <w:lang w:val="fr-FR"/>
        </w:rPr>
        <w:t xml:space="preserve">Email </w:t>
      </w:r>
      <w:hyperlink r:id="rId5" w:history="1">
        <w:r>
          <w:rPr>
            <w:rStyle w:val="Lienhypertexte"/>
            <w:sz w:val="16"/>
            <w:szCs w:val="16"/>
            <w:lang w:val="fr-FR"/>
          </w:rPr>
          <w:t>devalon@unhcr.org</w:t>
        </w:r>
      </w:hyperlink>
    </w:p>
    <w:p w:rsidR="00912601" w:rsidRDefault="00912601" w:rsidP="00912601">
      <w:pPr>
        <w:rPr>
          <w:sz w:val="16"/>
          <w:szCs w:val="16"/>
          <w:lang w:val="en-US"/>
        </w:rPr>
      </w:pPr>
      <w:r>
        <w:rPr>
          <w:sz w:val="16"/>
          <w:szCs w:val="16"/>
          <w:lang w:val="en-US"/>
        </w:rPr>
        <w:t>Tel +41 22 739 8607 (landline)</w:t>
      </w:r>
    </w:p>
    <w:p w:rsidR="00912601" w:rsidRDefault="00912601" w:rsidP="00912601">
      <w:pPr>
        <w:rPr>
          <w:sz w:val="16"/>
          <w:szCs w:val="16"/>
          <w:lang w:val="en-US"/>
        </w:rPr>
      </w:pPr>
      <w:r>
        <w:rPr>
          <w:sz w:val="16"/>
          <w:szCs w:val="16"/>
          <w:lang w:val="en-US"/>
        </w:rPr>
        <w:t>Mobile: + 33 6 40 89 00 29</w:t>
      </w:r>
    </w:p>
    <w:p w:rsidR="00912601" w:rsidRDefault="00912601" w:rsidP="00912601">
      <w:pPr>
        <w:rPr>
          <w:lang w:val="en-US"/>
        </w:rPr>
      </w:pPr>
    </w:p>
    <w:p w:rsidR="000C0B11" w:rsidRDefault="000C0B11"/>
    <w:sectPr w:rsidR="000C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547"/>
    <w:multiLevelType w:val="hybridMultilevel"/>
    <w:tmpl w:val="1FBA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DE24E0"/>
    <w:multiLevelType w:val="hybridMultilevel"/>
    <w:tmpl w:val="D25EE4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683226D"/>
    <w:multiLevelType w:val="hybridMultilevel"/>
    <w:tmpl w:val="E70A14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D765D22"/>
    <w:multiLevelType w:val="hybridMultilevel"/>
    <w:tmpl w:val="321A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B5E7A"/>
    <w:multiLevelType w:val="hybridMultilevel"/>
    <w:tmpl w:val="5CF0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D0975CF"/>
    <w:multiLevelType w:val="hybridMultilevel"/>
    <w:tmpl w:val="D54A2F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6156BC"/>
    <w:multiLevelType w:val="hybridMultilevel"/>
    <w:tmpl w:val="6CFC87B4"/>
    <w:lvl w:ilvl="0" w:tplc="08090001">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01"/>
    <w:rsid w:val="00097447"/>
    <w:rsid w:val="000C0B11"/>
    <w:rsid w:val="000C4288"/>
    <w:rsid w:val="0015464E"/>
    <w:rsid w:val="001A6DF3"/>
    <w:rsid w:val="003D6194"/>
    <w:rsid w:val="004C014E"/>
    <w:rsid w:val="004F54EB"/>
    <w:rsid w:val="005A3339"/>
    <w:rsid w:val="005A5AA6"/>
    <w:rsid w:val="00743C37"/>
    <w:rsid w:val="009071B4"/>
    <w:rsid w:val="00911AB7"/>
    <w:rsid w:val="00912601"/>
    <w:rsid w:val="00A77207"/>
    <w:rsid w:val="00AD208D"/>
    <w:rsid w:val="00AE00AF"/>
    <w:rsid w:val="00AE49A9"/>
    <w:rsid w:val="00BF0312"/>
    <w:rsid w:val="00E07046"/>
    <w:rsid w:val="00F17A58"/>
    <w:rsid w:val="00F4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48741-97E8-473F-9F28-8F09F5FF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01"/>
    <w:pPr>
      <w:spacing w:after="0" w:line="240" w:lineRule="auto"/>
    </w:pPr>
    <w:rPr>
      <w:rFonts w:ascii="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2601"/>
    <w:rPr>
      <w:color w:val="0000FF"/>
      <w:u w:val="single"/>
    </w:rPr>
  </w:style>
  <w:style w:type="character" w:styleId="Accentuation">
    <w:name w:val="Emphasis"/>
    <w:basedOn w:val="Policepardfaut"/>
    <w:uiPriority w:val="20"/>
    <w:qFormat/>
    <w:rsid w:val="00912601"/>
    <w:rPr>
      <w:rFonts w:ascii="Times New Roman" w:hAnsi="Times New Roman" w:cs="Times New Roman" w:hint="default"/>
      <w:b/>
      <w:bCs/>
      <w:i/>
      <w:iCs/>
      <w:color w:val="5A5A5A"/>
    </w:rPr>
  </w:style>
  <w:style w:type="character" w:customStyle="1" w:styleId="ParagraphedelisteCar">
    <w:name w:val="Paragraphe de liste Car"/>
    <w:basedOn w:val="Policepardfaut"/>
    <w:link w:val="Paragraphedeliste"/>
    <w:uiPriority w:val="34"/>
    <w:locked/>
    <w:rsid w:val="00912601"/>
  </w:style>
  <w:style w:type="paragraph" w:styleId="Paragraphedeliste">
    <w:name w:val="List Paragraph"/>
    <w:basedOn w:val="Normal"/>
    <w:link w:val="ParagraphedelisteCar"/>
    <w:uiPriority w:val="34"/>
    <w:qFormat/>
    <w:rsid w:val="00912601"/>
    <w:pPr>
      <w:ind w:left="720"/>
    </w:pPr>
    <w:rPr>
      <w:rFonts w:asciiTheme="minorHAnsi" w:hAnsiTheme="minorHAnsi" w:cstheme="minorBidi"/>
      <w:lang w:eastAsia="en-US"/>
    </w:rPr>
  </w:style>
  <w:style w:type="paragraph" w:styleId="NormalWeb">
    <w:name w:val="Normal (Web)"/>
    <w:basedOn w:val="Normal"/>
    <w:uiPriority w:val="99"/>
    <w:semiHidden/>
    <w:unhideWhenUsed/>
    <w:rsid w:val="0009744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813">
      <w:bodyDiv w:val="1"/>
      <w:marLeft w:val="0"/>
      <w:marRight w:val="0"/>
      <w:marTop w:val="0"/>
      <w:marBottom w:val="0"/>
      <w:divBdr>
        <w:top w:val="none" w:sz="0" w:space="0" w:color="auto"/>
        <w:left w:val="none" w:sz="0" w:space="0" w:color="auto"/>
        <w:bottom w:val="none" w:sz="0" w:space="0" w:color="auto"/>
        <w:right w:val="none" w:sz="0" w:space="0" w:color="auto"/>
      </w:divBdr>
    </w:div>
    <w:div w:id="261956382">
      <w:bodyDiv w:val="1"/>
      <w:marLeft w:val="0"/>
      <w:marRight w:val="0"/>
      <w:marTop w:val="0"/>
      <w:marBottom w:val="0"/>
      <w:divBdr>
        <w:top w:val="none" w:sz="0" w:space="0" w:color="auto"/>
        <w:left w:val="none" w:sz="0" w:space="0" w:color="auto"/>
        <w:bottom w:val="none" w:sz="0" w:space="0" w:color="auto"/>
        <w:right w:val="none" w:sz="0" w:space="0" w:color="auto"/>
      </w:divBdr>
    </w:div>
    <w:div w:id="312412518">
      <w:bodyDiv w:val="1"/>
      <w:marLeft w:val="0"/>
      <w:marRight w:val="0"/>
      <w:marTop w:val="0"/>
      <w:marBottom w:val="0"/>
      <w:divBdr>
        <w:top w:val="none" w:sz="0" w:space="0" w:color="auto"/>
        <w:left w:val="none" w:sz="0" w:space="0" w:color="auto"/>
        <w:bottom w:val="none" w:sz="0" w:space="0" w:color="auto"/>
        <w:right w:val="none" w:sz="0" w:space="0" w:color="auto"/>
      </w:divBdr>
    </w:div>
    <w:div w:id="889657343">
      <w:bodyDiv w:val="1"/>
      <w:marLeft w:val="0"/>
      <w:marRight w:val="0"/>
      <w:marTop w:val="0"/>
      <w:marBottom w:val="0"/>
      <w:divBdr>
        <w:top w:val="none" w:sz="0" w:space="0" w:color="auto"/>
        <w:left w:val="none" w:sz="0" w:space="0" w:color="auto"/>
        <w:bottom w:val="none" w:sz="0" w:space="0" w:color="auto"/>
        <w:right w:val="none" w:sz="0" w:space="0" w:color="auto"/>
      </w:divBdr>
    </w:div>
    <w:div w:id="1650018436">
      <w:bodyDiv w:val="1"/>
      <w:marLeft w:val="0"/>
      <w:marRight w:val="0"/>
      <w:marTop w:val="0"/>
      <w:marBottom w:val="0"/>
      <w:divBdr>
        <w:top w:val="none" w:sz="0" w:space="0" w:color="auto"/>
        <w:left w:val="none" w:sz="0" w:space="0" w:color="auto"/>
        <w:bottom w:val="none" w:sz="0" w:space="0" w:color="auto"/>
        <w:right w:val="none" w:sz="0" w:space="0" w:color="auto"/>
      </w:divBdr>
    </w:div>
    <w:div w:id="17120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alon@unh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1279</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6</cp:revision>
  <dcterms:created xsi:type="dcterms:W3CDTF">2015-10-20T09:06:00Z</dcterms:created>
  <dcterms:modified xsi:type="dcterms:W3CDTF">2015-11-13T15:04:00Z</dcterms:modified>
</cp:coreProperties>
</file>