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9" w:type="dxa"/>
        <w:tblInd w:w="113" w:type="dxa"/>
        <w:tblLook w:val="04A0" w:firstRow="1" w:lastRow="0" w:firstColumn="1" w:lastColumn="0" w:noHBand="0" w:noVBand="1"/>
      </w:tblPr>
      <w:tblGrid>
        <w:gridCol w:w="888"/>
        <w:gridCol w:w="2056"/>
        <w:gridCol w:w="3373"/>
        <w:gridCol w:w="1663"/>
        <w:gridCol w:w="3355"/>
        <w:gridCol w:w="1891"/>
        <w:gridCol w:w="2623"/>
      </w:tblGrid>
      <w:tr w:rsidR="00EE41E3" w:rsidRPr="00A85F20" w14:paraId="3ECE9ACD" w14:textId="77777777" w:rsidTr="00F451E1">
        <w:trPr>
          <w:trHeight w:val="2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B5A96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Toc388393479"/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F2A25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BED0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4DE4C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Expected output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0CDF2" w14:textId="7C641A1B" w:rsidR="00A85F20" w:rsidRPr="00A85F20" w:rsidRDefault="00AB1DC4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Output </w:t>
            </w:r>
            <w:r w:rsidR="00A85F20"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98990" w14:textId="77777777" w:rsidR="00A85F20" w:rsidRPr="00A85F20" w:rsidRDefault="00083C6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resources</w:t>
            </w:r>
            <w:r w:rsidR="00A85F20"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needed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528C" w14:textId="193FCE99" w:rsidR="00A85F20" w:rsidRPr="00A85F20" w:rsidRDefault="00F451E1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Agencies</w:t>
            </w:r>
            <w:r w:rsidR="00A85F20"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commitment</w:t>
            </w:r>
          </w:p>
        </w:tc>
      </w:tr>
      <w:tr w:rsidR="00EE41E3" w:rsidRPr="00A85F20" w14:paraId="66F26D80" w14:textId="77777777" w:rsidTr="00F451E1">
        <w:trPr>
          <w:trHeight w:val="2926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1715916D" w14:textId="77777777" w:rsidR="00A85F20" w:rsidRPr="00A85F20" w:rsidRDefault="00A85F20" w:rsidP="00A85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1.Capturing/ Sharing Good Practice on AAP and PSEA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8CC1B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Provision of remote technical support</w:t>
            </w: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28E" w14:textId="77777777" w:rsid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-maintain a system to respond to questions raised by the field or direct requests to specific experts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through the helpdesk or other channels</w:t>
            </w:r>
          </w:p>
          <w:p w14:paraId="11B0513C" w14:textId="77777777" w:rsidR="00AE7673" w:rsidRDefault="00A85F20" w:rsidP="00AE7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organisation </w:t>
            </w:r>
            <w:r w:rsidR="00D4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local partners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 webinars on AAP and PSEA, as the task team and in collaboration with </w:t>
            </w:r>
            <w:r w:rsidR="00D4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others</w:t>
            </w:r>
          </w:p>
          <w:p w14:paraId="5B14BD96" w14:textId="26129A7F" w:rsidR="00A85F20" w:rsidRPr="00A85F20" w:rsidRDefault="00AE7673" w:rsidP="00F45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A85F20"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provide support to task team members projects related to AAP and PSEA </w:t>
            </w:r>
            <w:r w:rsidR="00A85F20" w:rsidRPr="00A85F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</w:t>
            </w:r>
            <w:r w:rsidR="00D449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="00A85F20" w:rsidRPr="00A85F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e. participation of the task team </w:t>
            </w:r>
            <w:r w:rsidR="00D449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="00F451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TI </w:t>
            </w:r>
            <w:r w:rsidR="00A85F20" w:rsidRPr="00A85F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project)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6B2" w14:textId="2A4F1A60" w:rsidR="00A85F20" w:rsidRPr="00A85F20" w:rsidRDefault="00A85F20" w:rsidP="00D44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timely and qualit</w:t>
            </w:r>
            <w:r w:rsidR="00D4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y, concrete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responses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requests raised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763" w14:textId="77777777" w:rsidR="00115493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-Existence of the helpdesk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other channels to raise requests for technical support on AAP and PSEA</w:t>
            </w:r>
          </w:p>
          <w:p w14:paraId="68B0E9F1" w14:textId="77777777" w:rsidR="00115493" w:rsidRDefault="00115493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-% of requests for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remote 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technical support coming from the field</w:t>
            </w:r>
            <w:r w:rsidR="00A85F20"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-# of requests </w:t>
            </w:r>
            <w:r w:rsid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received</w:t>
            </w:r>
            <w:r w:rsidR="00A85F20"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-lead</w:t>
            </w:r>
            <w:r w:rsidR="00D4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85F20"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before response</w:t>
            </w:r>
          </w:p>
          <w:p w14:paraId="660BBF9B" w14:textId="37B3923E" w:rsid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-satisfaction with response</w:t>
            </w:r>
          </w:p>
          <w:p w14:paraId="6BC27D37" w14:textId="77777777" w:rsidR="00A85F20" w:rsidRPr="00A85F20" w:rsidRDefault="00A85F20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#of webinar</w:t>
            </w:r>
            <w:r w:rsidR="00D449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organised /supported by the TT on AAP and PSEA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that include national/field level presenters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9401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-Members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’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time for remote provision of technical support+ TT coordinator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4BE" w14:textId="1DDDF6D3" w:rsidR="00CF50CB" w:rsidRDefault="00A85F20" w:rsidP="00083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083C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CHS</w:t>
            </w:r>
            <w:r w:rsidR="00CF50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alliance</w:t>
            </w:r>
          </w:p>
          <w:p w14:paraId="0B1CA8EF" w14:textId="7BEEE24D" w:rsidR="00A85F20" w:rsidRDefault="00083C60" w:rsidP="00083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-IOM </w:t>
            </w:r>
          </w:p>
          <w:p w14:paraId="5F5D4A61" w14:textId="7428D712" w:rsidR="00083C60" w:rsidRDefault="004F2F86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-ALNAP</w:t>
            </w:r>
          </w:p>
          <w:p w14:paraId="5DCFBE61" w14:textId="6DC6EBEB" w:rsidR="00F94767" w:rsidRDefault="00F94767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-UNICEF </w:t>
            </w:r>
          </w:p>
          <w:p w14:paraId="51C5D59E" w14:textId="77777777" w:rsidR="00F3423A" w:rsidRDefault="00F3423A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-Caritas Internationalis</w:t>
            </w:r>
          </w:p>
          <w:p w14:paraId="5A42CE27" w14:textId="77777777" w:rsidR="00784805" w:rsidRDefault="00CF50CB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-WHO</w:t>
            </w:r>
          </w:p>
          <w:p w14:paraId="5F8A3573" w14:textId="77777777" w:rsidR="00784805" w:rsidRDefault="00784805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Community World Service</w:t>
            </w:r>
          </w:p>
          <w:p w14:paraId="24FAF852" w14:textId="3B590151" w:rsidR="00761E67" w:rsidRDefault="00761E67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-The Sphere Project</w:t>
            </w:r>
            <w:r w:rsidR="00F45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-Transparency International</w:t>
            </w:r>
          </w:p>
          <w:p w14:paraId="65897FA3" w14:textId="73BC5463" w:rsidR="00A52BAE" w:rsidRPr="00A85F20" w:rsidRDefault="00A52BAE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World Vision International</w:t>
            </w:r>
          </w:p>
        </w:tc>
      </w:tr>
      <w:tr w:rsidR="00EE41E3" w:rsidRPr="00A85F20" w14:paraId="086E3BBE" w14:textId="77777777" w:rsidTr="00F451E1">
        <w:trPr>
          <w:trHeight w:val="150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A6CE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8F2ED6" w14:textId="77777777" w:rsidR="00A85F20" w:rsidRPr="00A85F20" w:rsidRDefault="00A85F20" w:rsidP="004F2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1.2 Generate evidence on impact of AAP and PSEA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746" w14:textId="77777777" w:rsid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-agree on a methodology to collect and analyse this information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members to submit examples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results of the evidence generation to inform next steps and underpin advocacy</w:t>
            </w:r>
          </w:p>
          <w:p w14:paraId="7E9218F8" w14:textId="77777777" w:rsidR="00083C60" w:rsidRPr="00A85F20" w:rsidRDefault="00083C6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B8D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additional evidence on the impact of AAP and PSEA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B00" w14:textId="77777777" w:rsidR="00A85F20" w:rsidRPr="00A85F20" w:rsidRDefault="00A85F20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-methodology agreed by task team members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# of TT members contributing to the evidence collection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C41" w14:textId="10E311D1" w:rsidR="00A85F20" w:rsidRPr="00A85F20" w:rsidRDefault="00A85F20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Task Team Coordinator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’s time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relevant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agency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/membership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focal points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47E" w14:textId="77777777" w:rsidR="00A85F20" w:rsidRDefault="00BC7894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'-CHS contribution with </w:t>
            </w:r>
            <w:r w:rsidRPr="00BC7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CHS self-assessment and performance indicators</w:t>
            </w:r>
          </w:p>
          <w:p w14:paraId="30780783" w14:textId="77777777" w:rsidR="004F2F86" w:rsidRDefault="00F3423A" w:rsidP="004F2F8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-ALNAP technical advic</w:t>
            </w:r>
            <w:r w:rsidR="004F2F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  <w:p w14:paraId="304A33D6" w14:textId="77777777" w:rsidR="00CF50CB" w:rsidRDefault="00CF50CB" w:rsidP="004F2F8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-WHO case studies</w:t>
            </w:r>
          </w:p>
          <w:p w14:paraId="400B6CC3" w14:textId="77777777" w:rsidR="00F94767" w:rsidRDefault="00F94767" w:rsidP="004F2F8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-UNICEF OFDA project</w:t>
            </w:r>
          </w:p>
          <w:p w14:paraId="34194FF2" w14:textId="77777777" w:rsidR="007608FC" w:rsidRDefault="007608FC" w:rsidP="004F2F8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ActionAid</w:t>
            </w:r>
          </w:p>
          <w:p w14:paraId="5E373EBA" w14:textId="3E4ECE8F" w:rsidR="00A52BAE" w:rsidRPr="004F2F86" w:rsidRDefault="00A52BAE" w:rsidP="004F2F8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World Vision International</w:t>
            </w:r>
          </w:p>
        </w:tc>
      </w:tr>
      <w:tr w:rsidR="00EE41E3" w:rsidRPr="00A85F20" w14:paraId="0DCA7FA7" w14:textId="77777777" w:rsidTr="00F451E1">
        <w:trPr>
          <w:trHeight w:val="210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9728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96AD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6B7" w14:textId="77777777" w:rsid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-convene a small group to reflect on an AAP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 PSEA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marker</w:t>
            </w:r>
          </w:p>
          <w:p w14:paraId="12B01958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-take into account the lessons learned from the Gender marker and the information already collected for other markers.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Ensure the "marker" or suggested alternative is used beyond the proposal stage.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6CD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Recommendation on the feasibility and utility of having an AAP/PSEA marker + suggestion of a pilot if appropriate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1EF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-minutes from the small group reflections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- minutes from the task team meeting during which the recommendations are discussed and next steps agreed upon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AECA" w14:textId="722F2762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Task Team Co-chairs 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time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small group of 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relevant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task team members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401" w14:textId="0D7B4D2B" w:rsidR="00A85F20" w:rsidRDefault="00C01D57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1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GenCap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–(</w:t>
            </w:r>
            <w:r w:rsidR="004A1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Merrin Waterhouse &amp; </w:t>
            </w:r>
            <w:r w:rsidR="004A1BDB" w:rsidRPr="004A1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Christine Oullette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14:paraId="5F09BEC2" w14:textId="77777777" w:rsidR="004A1BDB" w:rsidRDefault="004A1BDB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-IRC / TTPM</w:t>
            </w:r>
          </w:p>
          <w:p w14:paraId="566DE7A6" w14:textId="77777777" w:rsidR="00BC7894" w:rsidRDefault="00BC7894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-CHS</w:t>
            </w:r>
          </w:p>
          <w:p w14:paraId="08D343DA" w14:textId="77777777" w:rsidR="0015514A" w:rsidRDefault="00761E67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155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WFP</w:t>
            </w:r>
          </w:p>
          <w:p w14:paraId="599A415D" w14:textId="2BDEC99B" w:rsidR="00761E67" w:rsidRPr="00A85F20" w:rsidRDefault="00761E67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-The Sphere Project</w:t>
            </w:r>
          </w:p>
        </w:tc>
      </w:tr>
      <w:tr w:rsidR="00EE41E3" w:rsidRPr="00A85F20" w14:paraId="60863796" w14:textId="77777777" w:rsidTr="00F451E1">
        <w:trPr>
          <w:trHeight w:val="270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EE9A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8C167FB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1.3 Maintain a user friendly and updated information repository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074" w14:textId="1606DE1B" w:rsidR="00A85F20" w:rsidRPr="00A85F20" w:rsidRDefault="00A85F20" w:rsidP="00561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-Ensure the IASC website is updated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-Improve the linkages with the former PSEA Task Force website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Help ensure dissemination of best practices and standards to all relevant stakeholders, in relevant languages, and in a contextually appropriate manner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test a wiki approach to contribute to learning and sharing latest information on AAP 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PSEA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7492" w14:textId="77065AB9" w:rsidR="00A85F20" w:rsidRPr="00A85F20" w:rsidRDefault="00A85F20" w:rsidP="00AE7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AE76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Ensure the IASC website section on AAP and PSEA is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updated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best practices disseminated and lessons learned are captured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C1E2" w14:textId="77777777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# of page viewed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 # of downloads of documents posted on the TT website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175" w14:textId="20835CE5" w:rsidR="00A85F20" w:rsidRPr="00A85F20" w:rsidRDefault="00A85F20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Task team coordinator</w:t>
            </w:r>
            <w:r w:rsidR="005612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’s time </w:t>
            </w:r>
            <w:r w:rsidRPr="00A85F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input from members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F86" w14:textId="47676030" w:rsidR="00115493" w:rsidRPr="00BC7894" w:rsidRDefault="00BC7894" w:rsidP="00BC789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78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Link with CHS alliance resource library</w:t>
            </w:r>
            <w:r w:rsidR="004F2F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ALNAP website</w:t>
            </w:r>
          </w:p>
        </w:tc>
      </w:tr>
    </w:tbl>
    <w:p w14:paraId="1822AD56" w14:textId="28B4B6F6" w:rsidR="00BC7894" w:rsidRDefault="00BC7894"/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894"/>
        <w:gridCol w:w="2341"/>
        <w:gridCol w:w="3356"/>
        <w:gridCol w:w="2268"/>
        <w:gridCol w:w="3199"/>
        <w:gridCol w:w="1364"/>
        <w:gridCol w:w="2308"/>
      </w:tblGrid>
      <w:tr w:rsidR="00EE41E3" w:rsidRPr="00A85F20" w14:paraId="52204095" w14:textId="77777777" w:rsidTr="00EC3B40">
        <w:trPr>
          <w:trHeight w:val="6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F6284" w14:textId="6DBA1E20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32072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07BA0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3642A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Expected output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6A48F" w14:textId="79737ED9" w:rsidR="00A85F20" w:rsidRPr="00A85F20" w:rsidRDefault="00AB1DC4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Output </w:t>
            </w:r>
            <w:r w:rsidR="00A85F20"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3BAD2" w14:textId="77777777" w:rsidR="00A85F20" w:rsidRPr="00A85F20" w:rsidRDefault="00083C6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resources</w:t>
            </w:r>
            <w:r w:rsidR="00A85F20"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needed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2DEF4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Members/ agencies commitment</w:t>
            </w:r>
          </w:p>
        </w:tc>
      </w:tr>
      <w:tr w:rsidR="00EE41E3" w:rsidRPr="0015514A" w14:paraId="4BAC17BF" w14:textId="77777777" w:rsidTr="00EC3B40">
        <w:trPr>
          <w:trHeight w:val="306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3A5A7D67" w14:textId="77777777" w:rsidR="00A85F20" w:rsidRPr="00A85F20" w:rsidRDefault="00A85F20" w:rsidP="00A8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2. Support to operationalisation of AAP and PSEA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89BA20" w14:textId="77777777" w:rsidR="00A85F20" w:rsidRPr="00A85F20" w:rsidRDefault="00A85F20" w:rsidP="004F2F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2.1 Provide </w:t>
            </w:r>
            <w:r w:rsidR="001154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direct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technical assistance </w:t>
            </w: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on AAP/PSEA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0945" w14:textId="77777777" w:rsidR="007043BD" w:rsidRDefault="00A85F20" w:rsidP="007043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="007043BD" w:rsidRPr="007043BD">
              <w:rPr>
                <w:rFonts w:eastAsia="Times New Roman" w:cs="Times New Roman"/>
                <w:color w:val="000000"/>
                <w:sz w:val="20"/>
                <w:szCs w:val="20"/>
              </w:rPr>
              <w:t>sustainable approach to support</w:t>
            </w:r>
            <w:r w:rsidR="007043BD" w:rsidRPr="007043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043BD" w:rsidRPr="007043BD">
              <w:rPr>
                <w:rFonts w:eastAsia="Times New Roman" w:cs="Times New Roman"/>
                <w:color w:val="000000"/>
                <w:sz w:val="20"/>
                <w:szCs w:val="20"/>
              </w:rPr>
              <w:t>operation in response to a request from the concerned Humanitarian Country Team</w:t>
            </w:r>
            <w:r w:rsidR="007043BD" w:rsidRPr="007043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.: </w:t>
            </w:r>
            <w:r w:rsidR="007043BD" w:rsidRPr="007043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Task Team members that are operational in the specific country </w:t>
            </w:r>
            <w:r w:rsidR="007043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 </w:t>
            </w:r>
            <w:r w:rsidR="007043BD" w:rsidRPr="007043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consult with their colleagues on site to determine the type of support they might be able to provide to the HCT in collaboration with the Task team. </w:t>
            </w:r>
          </w:p>
          <w:p w14:paraId="0AB63213" w14:textId="65275BD4" w:rsidR="00A85F20" w:rsidRPr="00A85F20" w:rsidRDefault="00A85F20" w:rsidP="007043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proactive support to field </w:t>
            </w:r>
            <w:r w:rsidR="003C28E7">
              <w:rPr>
                <w:rFonts w:eastAsia="Times New Roman" w:cs="Times New Roman"/>
                <w:color w:val="000000"/>
                <w:sz w:val="20"/>
                <w:szCs w:val="20"/>
              </w:rPr>
              <w:t>during preparedness-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B38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Best practices and standards shared, including global SOPs on interagency </w:t>
            </w:r>
            <w:r w:rsidR="00083C60"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referral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of complaints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challenges and needs are brought back to global level, to inform and prioritise future support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C2D" w14:textId="1DB61C49" w:rsidR="00EE41E3" w:rsidRDefault="00EE41E3" w:rsidP="001154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-# of requests for </w:t>
            </w:r>
            <w:r w:rsidR="007043BD">
              <w:rPr>
                <w:rFonts w:eastAsia="Times New Roman" w:cs="Times New Roman"/>
                <w:color w:val="000000"/>
                <w:sz w:val="20"/>
                <w:szCs w:val="20"/>
              </w:rPr>
              <w:t>support</w:t>
            </w:r>
          </w:p>
          <w:p w14:paraId="2DBCFF31" w14:textId="77777777" w:rsidR="007043BD" w:rsidRDefault="00A85F20" w:rsidP="007043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qualitative review of what has actually changed as a result of a support </w:t>
            </w:r>
          </w:p>
          <w:p w14:paraId="44AFBA53" w14:textId="4696C0C9" w:rsidR="00A85F20" w:rsidRPr="00A85F20" w:rsidRDefault="00A85F20" w:rsidP="007043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-# of case studies documented as result from proactive support during preparedness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549" w14:textId="1A5ED745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-Members time and financial </w:t>
            </w:r>
            <w:r w:rsidR="00083C60"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resources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joint missions</w:t>
            </w:r>
            <w:r w:rsidR="007043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if requested by HCT and our operational members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1A8" w14:textId="77777777" w:rsidR="00A85F20" w:rsidRPr="00270FB6" w:rsidRDefault="004A1BDB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FB6">
              <w:rPr>
                <w:rFonts w:eastAsia="Times New Roman" w:cs="Times New Roman"/>
                <w:color w:val="000000"/>
                <w:sz w:val="20"/>
                <w:szCs w:val="20"/>
              </w:rPr>
              <w:t>- IRC / TTPM / TTL</w:t>
            </w:r>
            <w:r w:rsidR="00F3423A" w:rsidRPr="0027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950C7B" w14:textId="77777777" w:rsidR="00F3423A" w:rsidRPr="00270FB6" w:rsidRDefault="00F3423A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FB6">
              <w:rPr>
                <w:rFonts w:eastAsia="Times New Roman" w:cs="Times New Roman"/>
                <w:color w:val="000000"/>
                <w:sz w:val="20"/>
                <w:szCs w:val="20"/>
              </w:rPr>
              <w:t>- Caritas Internationalis</w:t>
            </w:r>
          </w:p>
          <w:p w14:paraId="086DFA4E" w14:textId="77777777" w:rsidR="00F94767" w:rsidRDefault="00784805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Community World Service</w:t>
            </w:r>
          </w:p>
          <w:p w14:paraId="6E22A64F" w14:textId="77777777" w:rsidR="00F94767" w:rsidRDefault="00F94767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-UNICEF OFDA project</w:t>
            </w:r>
          </w:p>
          <w:p w14:paraId="304F33D7" w14:textId="77777777" w:rsidR="007608FC" w:rsidRDefault="007608FC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-ActionAid</w:t>
            </w:r>
          </w:p>
          <w:p w14:paraId="25E7E0E9" w14:textId="0D8ED610" w:rsidR="00761E67" w:rsidRPr="00F94767" w:rsidRDefault="00761E67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The Sphere Pro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ject</w:t>
            </w:r>
          </w:p>
        </w:tc>
      </w:tr>
      <w:tr w:rsidR="00EC3B40" w:rsidRPr="00A85F20" w14:paraId="4CCE0D0E" w14:textId="77777777" w:rsidTr="00EC3B40">
        <w:trPr>
          <w:trHeight w:val="120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D0B5" w14:textId="77777777" w:rsidR="00EC3B40" w:rsidRPr="00270FB6" w:rsidRDefault="00EC3B4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40AE6CD2" w14:textId="675FD3E1" w:rsidR="00EC3B40" w:rsidRPr="00A85F20" w:rsidRDefault="00EC3B40" w:rsidP="00EC3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provide recommendations on AAP/PSEA placement within humanitarian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procedures and processes in the field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F8C" w14:textId="75BCEABC" w:rsidR="00EC3B40" w:rsidRPr="00A85F2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 Map AAP and PSEA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related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task forces already existing at country level,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including ICC and national networks.  H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ighlight gaps/challenges and opportunities of the different approaches and derive recommendations towards system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at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isation if appropriate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F734" w14:textId="11BC03FA" w:rsidR="00EC3B40" w:rsidRPr="00A85F20" w:rsidRDefault="00EC3B40" w:rsidP="00EE41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report on challenges and opportunities linked with the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different ways to link AAP and 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PSEA within humanitarian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procedures/processes  field structures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DC9" w14:textId="67F5402C" w:rsidR="00EC3B40" w:rsidRPr="00A85F2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-report on the mapping exercise and recommendations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DF7" w14:textId="494C7E37" w:rsidR="00EC3B40" w:rsidRPr="00A85F20" w:rsidRDefault="00EC3B40" w:rsidP="00AE76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-Members time to connect with their focal points in various countries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small group of TT members to draft the report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6FAD" w14:textId="77777777" w:rsidR="00EC3B4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IRC / TTPM </w:t>
            </w:r>
          </w:p>
          <w:p w14:paraId="7586ED07" w14:textId="77777777" w:rsidR="00EC3B4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-ICC OCHA</w:t>
            </w:r>
          </w:p>
          <w:p w14:paraId="544013B0" w14:textId="77777777" w:rsidR="00EC3B4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-CHS </w:t>
            </w:r>
          </w:p>
          <w:p w14:paraId="39402160" w14:textId="77777777" w:rsidR="00EC3B4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UNICEF (TBC)</w:t>
            </w:r>
          </w:p>
          <w:p w14:paraId="6C4D42EE" w14:textId="77777777" w:rsidR="00EC3B4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DFID ( Andy Wheatley)</w:t>
            </w:r>
          </w:p>
          <w:p w14:paraId="525E2379" w14:textId="77777777" w:rsidR="00EC3B40" w:rsidRDefault="00EC3B40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-WHO</w:t>
            </w:r>
          </w:p>
          <w:p w14:paraId="4A9D17AE" w14:textId="77777777" w:rsidR="00F94767" w:rsidRDefault="00761E67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F947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UNICEF OFDA project</w:t>
            </w:r>
          </w:p>
          <w:p w14:paraId="278930AE" w14:textId="320B3142" w:rsidR="00761E67" w:rsidRDefault="00761E67" w:rsidP="00A8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ActionAid</w:t>
            </w:r>
          </w:p>
          <w:p w14:paraId="5E2F048A" w14:textId="5FC478B5" w:rsidR="00761E67" w:rsidRPr="00A85F20" w:rsidRDefault="00761E67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--The Sphere Project</w:t>
            </w:r>
          </w:p>
        </w:tc>
      </w:tr>
    </w:tbl>
    <w:p w14:paraId="66EFDE9F" w14:textId="59F0C5A0" w:rsidR="00F87316" w:rsidRDefault="00F87316"/>
    <w:p w14:paraId="04DA67E4" w14:textId="77777777" w:rsidR="00F87316" w:rsidRDefault="00F87316">
      <w:r>
        <w:br w:type="page"/>
      </w:r>
    </w:p>
    <w:tbl>
      <w:tblPr>
        <w:tblW w:w="23540" w:type="dxa"/>
        <w:tblInd w:w="113" w:type="dxa"/>
        <w:tblLook w:val="04A0" w:firstRow="1" w:lastRow="0" w:firstColumn="1" w:lastColumn="0" w:noHBand="0" w:noVBand="1"/>
      </w:tblPr>
      <w:tblGrid>
        <w:gridCol w:w="892"/>
        <w:gridCol w:w="2060"/>
        <w:gridCol w:w="5832"/>
        <w:gridCol w:w="1843"/>
        <w:gridCol w:w="2693"/>
        <w:gridCol w:w="1196"/>
        <w:gridCol w:w="1292"/>
        <w:gridCol w:w="1933"/>
        <w:gridCol w:w="1933"/>
        <w:gridCol w:w="1933"/>
        <w:gridCol w:w="1933"/>
      </w:tblGrid>
      <w:tr w:rsidR="00E06DAC" w:rsidRPr="00A85F20" w14:paraId="488B0CCC" w14:textId="77777777" w:rsidTr="00E06DAC">
        <w:trPr>
          <w:gridAfter w:val="4"/>
          <w:wAfter w:w="7732" w:type="dxa"/>
          <w:trHeight w:val="6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8DFD5" w14:textId="6D22B112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Priority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E01F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5D4E9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5CBB5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Expected output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A929" w14:textId="56D85229" w:rsidR="00A85F20" w:rsidRPr="00A85F20" w:rsidRDefault="00AB1DC4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Output </w:t>
            </w:r>
            <w:r w:rsidR="00A85F20"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A4B89" w14:textId="77777777" w:rsidR="00A85F20" w:rsidRPr="00A85F20" w:rsidRDefault="00083C6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resources</w:t>
            </w:r>
            <w:r w:rsidR="00A85F20"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needed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07EBD" w14:textId="77777777" w:rsidR="00A85F20" w:rsidRPr="00A85F20" w:rsidRDefault="00A85F20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Members/ agencies commitment</w:t>
            </w:r>
          </w:p>
        </w:tc>
      </w:tr>
      <w:tr w:rsidR="00E06DAC" w:rsidRPr="00A85F20" w14:paraId="536AE3F0" w14:textId="77777777" w:rsidTr="00E06DAC">
        <w:trPr>
          <w:gridAfter w:val="4"/>
          <w:wAfter w:w="7732" w:type="dxa"/>
          <w:trHeight w:val="2502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976DCC8" w14:textId="77777777" w:rsidR="00E06DAC" w:rsidRPr="00A85F20" w:rsidRDefault="00E06DAC" w:rsidP="00A8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3. Inter-agency collaboration on PSEA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00A300" w14:textId="693FE829" w:rsidR="00E06DAC" w:rsidRPr="00A85F20" w:rsidRDefault="00E06DAC" w:rsidP="00A85F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3.1 Ensure the PSEA workstream complements other PSEA-related initiatives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and addresses gaps at the field and global levels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0843" w14:textId="77777777" w:rsidR="00E06DAC" w:rsidRDefault="00E06DAC" w:rsidP="002D50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-map out PSEA related initiatives</w:t>
            </w:r>
          </w:p>
          <w:p w14:paraId="46C79A94" w14:textId="07566E24" w:rsidR="00E06DAC" w:rsidRDefault="00E06DAC" w:rsidP="002D50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define the scope of the PSEA workstream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 complement these initiatives and issue 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 revised statement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purpose</w:t>
            </w:r>
          </w:p>
          <w:p w14:paraId="311AD3B7" w14:textId="24C83E7D" w:rsidR="00E06DAC" w:rsidRDefault="00E06DAC" w:rsidP="003F02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advocate on the unique nature of the PSEA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work stream 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(technical and inter agency, tasked by the IASC WG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for PSEA experts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) to reach out to NGOs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additional/ former members</w:t>
            </w:r>
          </w:p>
          <w:p w14:paraId="3379EF46" w14:textId="4416EE71" w:rsidR="00E06DAC" w:rsidRPr="00A85F20" w:rsidRDefault="00E06DAC" w:rsidP="003F02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Ensure communication channels are established with the new UN coordinator on improving UN response to SEA and other initiatives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C2C" w14:textId="3E8C8A4A" w:rsidR="00E06DAC" w:rsidRDefault="00E06DAC" w:rsidP="006C06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 mapping of existing PSEA initiatives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-and mutual awareness on status </w:t>
            </w:r>
          </w:p>
          <w:p w14:paraId="5702BB84" w14:textId="4BEEC215" w:rsidR="00E06DAC" w:rsidRDefault="00E06DAC" w:rsidP="006C06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 revised statement on purpose</w:t>
            </w:r>
            <w:r w:rsidRPr="003F02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DD13B7" w14:textId="4A86A11F" w:rsidR="00E06DAC" w:rsidRPr="00A85F20" w:rsidRDefault="00E06DAC" w:rsidP="002C0B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049" w14:textId="77777777" w:rsidR="00E06DAC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-report on the mapping including recommendations on engagement/ coordination with other initiatives</w:t>
            </w:r>
          </w:p>
          <w:p w14:paraId="616FA050" w14:textId="6F19726E" w:rsidR="00E06DAC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statement disseminated to TT and potential additional members </w:t>
            </w:r>
          </w:p>
          <w:p w14:paraId="3851EE13" w14:textId="7B50AFA7" w:rsidR="00E06DAC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-#of additional NGOs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members</w:t>
            </w: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actively contributing to the PSEA workstream</w:t>
            </w:r>
          </w:p>
          <w:p w14:paraId="378FCF36" w14:textId="77777777" w:rsidR="00E06DAC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74A3F74" w14:textId="02DB7631" w:rsidR="00E06DAC" w:rsidRPr="00A85F20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529" w14:textId="77777777" w:rsidR="00E06DAC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-members time </w:t>
            </w:r>
          </w:p>
          <w:p w14:paraId="1B45C5CD" w14:textId="77777777" w:rsidR="00E06DAC" w:rsidRPr="00A85F20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availability of participants to other PSEA forums to share information with the PSEA workstream of the TT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3B6" w14:textId="77777777" w:rsidR="00405C77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-IOM,</w:t>
            </w:r>
          </w:p>
          <w:p w14:paraId="66AEA8E5" w14:textId="585E30A2" w:rsidR="00E06DAC" w:rsidRDefault="00E06DAC" w:rsidP="00A85F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05C7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795C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UNHCR </w:t>
            </w:r>
          </w:p>
          <w:p w14:paraId="2AD1D693" w14:textId="77777777" w:rsidR="00EA7425" w:rsidRDefault="00112CE2" w:rsidP="00112C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-UNDF</w:t>
            </w:r>
            <w:r w:rsidR="00EA7425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</w:p>
          <w:p w14:paraId="5EC1FF45" w14:textId="7993D03C" w:rsidR="003649FE" w:rsidRPr="00A85F20" w:rsidRDefault="003649FE" w:rsidP="00112C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UNICEF</w:t>
            </w:r>
          </w:p>
        </w:tc>
      </w:tr>
      <w:tr w:rsidR="00E06DAC" w:rsidRPr="00A85F20" w14:paraId="2855EFDB" w14:textId="77777777" w:rsidTr="00E06DAC">
        <w:trPr>
          <w:gridAfter w:val="4"/>
          <w:wAfter w:w="7732" w:type="dxa"/>
          <w:trHeight w:val="114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76147" w14:textId="77777777" w:rsidR="00E06DAC" w:rsidRPr="00A85F20" w:rsidRDefault="00E06DAC" w:rsidP="00F873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41BBAA3" w14:textId="77DF8051" w:rsidR="00E06DAC" w:rsidRPr="00A85F20" w:rsidRDefault="00E06DAC" w:rsidP="00F873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3.2 Strengthen investigation and protection responses to SEA allegations 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AA32" w14:textId="30C08409" w:rsidR="00E06DAC" w:rsidRDefault="00E06DAC" w:rsidP="00F87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Develop and share best practices on enforcing Code of Conduct breaches and on referring SEA cases that may arise to criminal misconduct to competent authorities </w:t>
            </w:r>
          </w:p>
          <w:p w14:paraId="36D3AA86" w14:textId="31C6F42A" w:rsidR="00E06DAC" w:rsidRPr="00A85F20" w:rsidRDefault="00E06DAC" w:rsidP="00F873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Compile/draft guidance on operationalizing the recommendations for preventing the re-recruitment of individuals disciplined for SEA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B011" w14:textId="3891CB58" w:rsidR="00E06DAC" w:rsidRPr="00A85F20" w:rsidRDefault="00E06DAC" w:rsidP="00F873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Best practices compiled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0F16" w14:textId="77777777" w:rsidR="00E06DAC" w:rsidRDefault="00E06DAC" w:rsidP="00F87316">
            <w:pPr>
              <w:pStyle w:val="Paragraphedeliste"/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-#of best practices related to investigation and protection responses to SEA allegations developed and compiled</w:t>
            </w:r>
          </w:p>
          <w:p w14:paraId="000C70C5" w14:textId="62C435C3" w:rsidR="00E06DAC" w:rsidRPr="003128B6" w:rsidRDefault="00E06DAC" w:rsidP="00F87316">
            <w:pPr>
              <w:pStyle w:val="Paragraphedeliste"/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-#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DAF4" w14:textId="70B294BB" w:rsidR="00E06DAC" w:rsidRPr="00A85F20" w:rsidRDefault="00E06DAC" w:rsidP="00F873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238D" w14:textId="77777777" w:rsidR="00405C77" w:rsidRDefault="00E06DAC" w:rsidP="00F873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IOM </w:t>
            </w:r>
          </w:p>
          <w:p w14:paraId="7862AA17" w14:textId="77777777" w:rsidR="00E06DAC" w:rsidRDefault="00E06DAC" w:rsidP="00F873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OHCHR</w:t>
            </w:r>
          </w:p>
          <w:p w14:paraId="3A007759" w14:textId="77777777" w:rsidR="003649FE" w:rsidRDefault="003649FE" w:rsidP="00F873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UNICEF</w:t>
            </w:r>
          </w:p>
          <w:p w14:paraId="0432B4FD" w14:textId="1BFF137B" w:rsidR="00795C25" w:rsidRPr="00A85F20" w:rsidRDefault="00795C25" w:rsidP="00F873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UNHCR</w:t>
            </w:r>
          </w:p>
        </w:tc>
      </w:tr>
      <w:tr w:rsidR="00E06DAC" w:rsidRPr="00A85F20" w14:paraId="3F7F393C" w14:textId="77777777" w:rsidTr="00E06DAC">
        <w:trPr>
          <w:trHeight w:val="141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39AC" w14:textId="77777777" w:rsidR="00E06DAC" w:rsidRPr="00A85F20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F63507" w14:textId="515F9E5D" w:rsidR="00E06DAC" w:rsidRDefault="00E06DAC" w:rsidP="00E06D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3.3</w:t>
            </w: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incorporate lessons learned from the PSEA CBCM pilot project into the IASC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AAP </w:t>
            </w: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Operational Framework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E048" w14:textId="77777777" w:rsidR="00E06DAC" w:rsidRDefault="00E06DAC" w:rsidP="00F87316">
            <w:pPr>
              <w:pStyle w:val="Commentaire"/>
              <w:ind w:firstLine="0"/>
              <w:rPr>
                <w:color w:val="000000"/>
              </w:rPr>
            </w:pPr>
            <w:r w:rsidRPr="00A85F20">
              <w:rPr>
                <w:color w:val="000000"/>
              </w:rPr>
              <w:t xml:space="preserve">-review the lessons learned from the PSEA CBCM pilot. </w:t>
            </w:r>
          </w:p>
          <w:p w14:paraId="1C5D3A91" w14:textId="503F05BC" w:rsidR="00E06DAC" w:rsidRDefault="00E06DAC" w:rsidP="00F87316">
            <w:pPr>
              <w:pStyle w:val="Commentaire"/>
              <w:ind w:firstLine="0"/>
              <w:rPr>
                <w:b/>
                <w:bCs/>
                <w:color w:val="000000"/>
              </w:rPr>
            </w:pPr>
            <w:r w:rsidRPr="00A85F20">
              <w:rPr>
                <w:color w:val="000000"/>
              </w:rPr>
              <w:t>- advise on changes to be brought to the IASC AAP framework</w:t>
            </w:r>
            <w:r>
              <w:rPr>
                <w:i/>
                <w:iCs/>
                <w:color w:val="000000"/>
              </w:rPr>
              <w:t xml:space="preserve"> (</w:t>
            </w:r>
            <w:r w:rsidRPr="00A85F20">
              <w:rPr>
                <w:i/>
                <w:iCs/>
                <w:color w:val="000000"/>
              </w:rPr>
              <w:t>and to the CHS ?)</w:t>
            </w:r>
            <w:r w:rsidRPr="00A85F20">
              <w:rPr>
                <w:color w:val="000000"/>
              </w:rPr>
              <w:t xml:space="preserve"> based on the lessons learned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8B2B" w14:textId="46DB472D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 updated IASC AAP operational framework presented to the senior focal points on PSEA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6D3" w14:textId="6546589F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lessons learned from PSEA CBCM incorporated into IASC AAP operational framework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AC58" w14:textId="77777777" w:rsidR="00E06DAC" w:rsidRDefault="00E06DAC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color w:val="000000"/>
                <w:sz w:val="20"/>
                <w:szCs w:val="20"/>
              </w:rPr>
              <w:t>-Members time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TT coordinator to compile inputs</w:t>
            </w:r>
          </w:p>
          <w:p w14:paraId="04D9C46D" w14:textId="77777777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2FE8" w14:textId="77777777" w:rsidR="00E06DAC" w:rsidRDefault="00E06DAC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-IOM</w:t>
            </w:r>
          </w:p>
          <w:p w14:paraId="3151422B" w14:textId="59852643" w:rsidR="003649FE" w:rsidRPr="00A85F20" w:rsidRDefault="003649FE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UNICEF</w:t>
            </w:r>
          </w:p>
        </w:tc>
        <w:tc>
          <w:tcPr>
            <w:tcW w:w="1933" w:type="dxa"/>
            <w:vAlign w:val="center"/>
          </w:tcPr>
          <w:p w14:paraId="15644AC8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4395A85B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5F6892C2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49D3054D" w14:textId="77777777" w:rsidR="00E06DAC" w:rsidRPr="00A85F20" w:rsidRDefault="00E06DAC" w:rsidP="004A5EE8"/>
        </w:tc>
      </w:tr>
      <w:tr w:rsidR="00E06DAC" w:rsidRPr="00A85F20" w14:paraId="392449B0" w14:textId="781DB747" w:rsidTr="00E06DAC">
        <w:trPr>
          <w:trHeight w:val="141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538C" w14:textId="77777777" w:rsidR="00E06DAC" w:rsidRPr="00A85F20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EBCCCA" w14:textId="13D9D6E4" w:rsidR="00E06DAC" w:rsidRPr="00A85F20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3.4 Support issues raised following the CBCM pilots and during the discussion on global SOPs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ADFA" w14:textId="05C0A7A3" w:rsidR="00E06DAC" w:rsidRPr="00F87316" w:rsidRDefault="00E06DAC" w:rsidP="004A5EE8">
            <w:pPr>
              <w:pStyle w:val="Commentaire"/>
              <w:ind w:firstLine="0"/>
              <w:rPr>
                <w:color w:val="000000"/>
              </w:rPr>
            </w:pPr>
            <w:r>
              <w:rPr>
                <w:color w:val="000000"/>
                <w:lang w:val="en-GB"/>
              </w:rPr>
              <w:t xml:space="preserve">- </w:t>
            </w:r>
            <w:r w:rsidRPr="00F87316">
              <w:rPr>
                <w:color w:val="000000"/>
              </w:rPr>
              <w:t xml:space="preserve">Identify </w:t>
            </w:r>
            <w:r w:rsidRPr="00F87316">
              <w:t xml:space="preserve">entry points in the humanitarian programme cycle to promote and implement PSEA with linkages across advocacy, gender equality and GBV, AAP, and </w:t>
            </w:r>
            <w:r>
              <w:t>CWC</w:t>
            </w:r>
            <w:r w:rsidRPr="00F87316">
              <w:t xml:space="preserve"> initiatives to raise awareness, build capacity and support effective implementation of the CBCMs with full partner engagement.</w:t>
            </w:r>
          </w:p>
          <w:p w14:paraId="0058341D" w14:textId="0B5BDFB3" w:rsidR="00E06DAC" w:rsidRPr="00F87316" w:rsidRDefault="00E06DAC" w:rsidP="004A5EE8">
            <w:pPr>
              <w:pStyle w:val="Commentaire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87316">
              <w:rPr>
                <w:color w:val="000000"/>
              </w:rPr>
              <w:t>Continue developing/compiling best practices on how to set up CBCMs in diverse humanitarian settings i.e. non-camp settings, remote sites, in transit</w:t>
            </w:r>
            <w:r>
              <w:rPr>
                <w:color w:val="000000"/>
              </w:rPr>
              <w:t xml:space="preserve"> populations</w:t>
            </w:r>
            <w:r w:rsidRPr="00F87316">
              <w:rPr>
                <w:color w:val="000000"/>
              </w:rPr>
              <w:t xml:space="preserve"> </w:t>
            </w:r>
          </w:p>
          <w:p w14:paraId="661C64A8" w14:textId="73FD815C" w:rsidR="00E06DAC" w:rsidRPr="00F87316" w:rsidRDefault="00E06DAC" w:rsidP="00F87316">
            <w:pPr>
              <w:pStyle w:val="Commentaire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87316">
              <w:rPr>
                <w:color w:val="000000"/>
              </w:rPr>
              <w:t xml:space="preserve">Put forward recommendations/options/guidance on resourcing country-level PSEA response systems i.e. PSEA network, prevention activities, CBCM.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AF0" w14:textId="529457BC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3755" w14:textId="77777777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22B" w14:textId="77777777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3485" w14:textId="77777777" w:rsidR="00E06DAC" w:rsidRDefault="00E06DAC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IOM</w:t>
            </w:r>
            <w:r w:rsidR="003649F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1650BC" w14:textId="6ACCF78A" w:rsidR="003649FE" w:rsidRPr="00A85F20" w:rsidRDefault="003649FE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UNICEF</w:t>
            </w:r>
          </w:p>
        </w:tc>
        <w:tc>
          <w:tcPr>
            <w:tcW w:w="1933" w:type="dxa"/>
            <w:vAlign w:val="center"/>
          </w:tcPr>
          <w:p w14:paraId="270D1915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3C87EF9B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45FFD0E5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01FDB4E4" w14:textId="77777777" w:rsidR="00E06DAC" w:rsidRPr="00A85F20" w:rsidRDefault="00E06DAC" w:rsidP="004A5EE8"/>
        </w:tc>
      </w:tr>
      <w:tr w:rsidR="00E06DAC" w:rsidRPr="00A85F20" w14:paraId="5572A917" w14:textId="77777777" w:rsidTr="00E06DAC">
        <w:trPr>
          <w:trHeight w:val="981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DAE" w14:textId="77777777" w:rsidR="00E06DAC" w:rsidRPr="00A85F20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65EB30" w14:textId="0450A00B" w:rsidR="00E06DAC" w:rsidRDefault="00E06DAC" w:rsidP="00F873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85F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Interagency Awareness campaign 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8CE4" w14:textId="642A59A1" w:rsidR="00062B11" w:rsidRDefault="00D8640C" w:rsidP="00062B11">
            <w:pPr>
              <w:pStyle w:val="Commentaire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2B11">
              <w:rPr>
                <w:color w:val="000000"/>
              </w:rPr>
              <w:t>map out awareness activities carried out by agencies for staff / partners/ communities.</w:t>
            </w:r>
          </w:p>
          <w:p w14:paraId="732D5105" w14:textId="758E2618" w:rsidR="00062B11" w:rsidRDefault="00062B11" w:rsidP="00062B11">
            <w:pPr>
              <w:pStyle w:val="Commentaire"/>
              <w:ind w:firstLine="0"/>
              <w:rPr>
                <w:color w:val="000000"/>
              </w:rPr>
            </w:pPr>
            <w:r>
              <w:rPr>
                <w:color w:val="000000"/>
              </w:rPr>
              <w:t>- identify the gaps and determine a target group for an interagency awareness campaign</w:t>
            </w:r>
          </w:p>
          <w:p w14:paraId="6958633F" w14:textId="38D25179" w:rsidR="00062B11" w:rsidRDefault="00062B11" w:rsidP="00062B11">
            <w:pPr>
              <w:pStyle w:val="Commentaire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agree upon the campaign objectives and evaluate the most appropriate communication/ capacity building tools to reach the objectives. </w:t>
            </w:r>
          </w:p>
          <w:p w14:paraId="73FC5525" w14:textId="778C6A24" w:rsidR="00E06DAC" w:rsidRDefault="00E06DAC" w:rsidP="00062B11">
            <w:pPr>
              <w:pStyle w:val="Commentaire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5BF0" w14:textId="72D8AA2C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 interagency awareness raising campaign on PSEA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4F65" w14:textId="34ADF057" w:rsidR="00E06DAC" w:rsidRDefault="00E06DAC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# of agencies </w:t>
            </w:r>
            <w:r w:rsidR="00062B11">
              <w:rPr>
                <w:rFonts w:eastAsia="Times New Roman" w:cs="Times New Roman"/>
                <w:color w:val="000000"/>
                <w:sz w:val="20"/>
                <w:szCs w:val="20"/>
              </w:rPr>
              <w:t>using the campaign to raise awareness on PSEA</w:t>
            </w:r>
          </w:p>
          <w:p w14:paraId="75E2C473" w14:textId="37C0A11D" w:rsidR="00E06DAC" w:rsidRPr="002C0BBC" w:rsidRDefault="00E06DAC" w:rsidP="004A5E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6DCF" w14:textId="53E329F1" w:rsidR="00E06DAC" w:rsidRPr="002C0BBC" w:rsidRDefault="00E06DAC" w:rsidP="00062B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Time, </w:t>
            </w:r>
            <w:r w:rsidR="00062B11">
              <w:rPr>
                <w:rFonts w:eastAsia="Times New Roman" w:cs="Times New Roman"/>
                <w:color w:val="000000"/>
                <w:sz w:val="20"/>
                <w:szCs w:val="20"/>
              </w:rPr>
              <w:t>resources depending on the strategy and selected tools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3DD" w14:textId="77777777" w:rsidR="00E06DAC" w:rsidRDefault="00E302FE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 UNHCR</w:t>
            </w:r>
          </w:p>
          <w:p w14:paraId="275C65C2" w14:textId="090596CB" w:rsidR="00E302FE" w:rsidRPr="00A85F20" w:rsidRDefault="00E302FE" w:rsidP="004A5E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-UNICEF</w:t>
            </w:r>
          </w:p>
        </w:tc>
        <w:tc>
          <w:tcPr>
            <w:tcW w:w="1933" w:type="dxa"/>
            <w:vAlign w:val="center"/>
          </w:tcPr>
          <w:p w14:paraId="1EB888DD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28674168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1C44F253" w14:textId="77777777" w:rsidR="00E06DAC" w:rsidRPr="00A85F20" w:rsidRDefault="00E06DAC" w:rsidP="004A5EE8"/>
        </w:tc>
        <w:tc>
          <w:tcPr>
            <w:tcW w:w="1933" w:type="dxa"/>
            <w:vAlign w:val="center"/>
          </w:tcPr>
          <w:p w14:paraId="1C110ED4" w14:textId="77777777" w:rsidR="00E06DAC" w:rsidRPr="00A85F20" w:rsidRDefault="00E06DAC" w:rsidP="004A5EE8"/>
        </w:tc>
      </w:tr>
      <w:bookmarkEnd w:id="0"/>
    </w:tbl>
    <w:p w14:paraId="3B4524BB" w14:textId="06D997E1" w:rsidR="00033761" w:rsidRPr="0015514A" w:rsidRDefault="00033761" w:rsidP="00C01D57"/>
    <w:sectPr w:rsidR="00033761" w:rsidRPr="0015514A" w:rsidSect="004A1BD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47854" w14:textId="77777777" w:rsidR="00E654D6" w:rsidRDefault="00E654D6" w:rsidP="009E6A8F">
      <w:pPr>
        <w:spacing w:after="0" w:line="240" w:lineRule="auto"/>
      </w:pPr>
      <w:r>
        <w:separator/>
      </w:r>
    </w:p>
  </w:endnote>
  <w:endnote w:type="continuationSeparator" w:id="0">
    <w:p w14:paraId="7809198E" w14:textId="77777777" w:rsidR="00E654D6" w:rsidRDefault="00E654D6" w:rsidP="009E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FA1C" w14:textId="77777777" w:rsidR="00E654D6" w:rsidRDefault="00E654D6" w:rsidP="009E6A8F">
      <w:pPr>
        <w:spacing w:after="0" w:line="240" w:lineRule="auto"/>
      </w:pPr>
      <w:r>
        <w:separator/>
      </w:r>
    </w:p>
  </w:footnote>
  <w:footnote w:type="continuationSeparator" w:id="0">
    <w:p w14:paraId="081B3896" w14:textId="77777777" w:rsidR="00E654D6" w:rsidRDefault="00E654D6" w:rsidP="009E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AD"/>
    <w:multiLevelType w:val="hybridMultilevel"/>
    <w:tmpl w:val="90BC0530"/>
    <w:lvl w:ilvl="0" w:tplc="7E5AE9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C6F"/>
    <w:multiLevelType w:val="hybridMultilevel"/>
    <w:tmpl w:val="DA74408C"/>
    <w:lvl w:ilvl="0" w:tplc="BFB402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214F"/>
    <w:multiLevelType w:val="hybridMultilevel"/>
    <w:tmpl w:val="D02A9A3E"/>
    <w:lvl w:ilvl="0" w:tplc="6FDCBA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C11"/>
    <w:multiLevelType w:val="hybridMultilevel"/>
    <w:tmpl w:val="15188B22"/>
    <w:lvl w:ilvl="0" w:tplc="2278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E6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80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65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8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6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8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0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8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6F0782"/>
    <w:multiLevelType w:val="hybridMultilevel"/>
    <w:tmpl w:val="91F2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467F"/>
    <w:multiLevelType w:val="hybridMultilevel"/>
    <w:tmpl w:val="5A1690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904138"/>
    <w:multiLevelType w:val="hybridMultilevel"/>
    <w:tmpl w:val="6762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C8F"/>
    <w:multiLevelType w:val="hybridMultilevel"/>
    <w:tmpl w:val="A3FA5E0C"/>
    <w:lvl w:ilvl="0" w:tplc="63F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A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8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2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F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3412FF"/>
    <w:multiLevelType w:val="hybridMultilevel"/>
    <w:tmpl w:val="02C0DC4C"/>
    <w:lvl w:ilvl="0" w:tplc="DCD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21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CF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C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4A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8B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2B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06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05153"/>
    <w:multiLevelType w:val="hybridMultilevel"/>
    <w:tmpl w:val="88361D54"/>
    <w:lvl w:ilvl="0" w:tplc="A3AC90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A5362"/>
    <w:multiLevelType w:val="hybridMultilevel"/>
    <w:tmpl w:val="5036B058"/>
    <w:lvl w:ilvl="0" w:tplc="517425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61BC4"/>
    <w:multiLevelType w:val="hybridMultilevel"/>
    <w:tmpl w:val="D18EE67A"/>
    <w:lvl w:ilvl="0" w:tplc="8C9A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2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C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08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0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6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6F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0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0E06F8"/>
    <w:multiLevelType w:val="hybridMultilevel"/>
    <w:tmpl w:val="2BF4A81C"/>
    <w:lvl w:ilvl="0" w:tplc="00AC258E">
      <w:start w:val="3"/>
      <w:numFmt w:val="bullet"/>
      <w:lvlText w:val="-"/>
      <w:lvlJc w:val="left"/>
      <w:pPr>
        <w:ind w:left="56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3" w15:restartNumberingAfterBreak="0">
    <w:nsid w:val="2AE96A6F"/>
    <w:multiLevelType w:val="hybridMultilevel"/>
    <w:tmpl w:val="E91C9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A6D"/>
    <w:multiLevelType w:val="hybridMultilevel"/>
    <w:tmpl w:val="B5AE52EE"/>
    <w:lvl w:ilvl="0" w:tplc="63145B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34CEB"/>
    <w:multiLevelType w:val="hybridMultilevel"/>
    <w:tmpl w:val="4B9606CE"/>
    <w:lvl w:ilvl="0" w:tplc="67EA1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A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E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61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2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A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C6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B44C68"/>
    <w:multiLevelType w:val="hybridMultilevel"/>
    <w:tmpl w:val="E26C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D10CF"/>
    <w:multiLevelType w:val="hybridMultilevel"/>
    <w:tmpl w:val="33AEEEF8"/>
    <w:lvl w:ilvl="0" w:tplc="5174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473EA"/>
    <w:multiLevelType w:val="hybridMultilevel"/>
    <w:tmpl w:val="62524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641D"/>
    <w:multiLevelType w:val="hybridMultilevel"/>
    <w:tmpl w:val="EA5C9156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0" w15:restartNumberingAfterBreak="0">
    <w:nsid w:val="3BC11DF6"/>
    <w:multiLevelType w:val="hybridMultilevel"/>
    <w:tmpl w:val="320A34F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1617146"/>
    <w:multiLevelType w:val="hybridMultilevel"/>
    <w:tmpl w:val="4B240642"/>
    <w:lvl w:ilvl="0" w:tplc="486A97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2D4"/>
    <w:multiLevelType w:val="hybridMultilevel"/>
    <w:tmpl w:val="E7982E00"/>
    <w:lvl w:ilvl="0" w:tplc="37DEC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C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4F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8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4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4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D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7E12D1"/>
    <w:multiLevelType w:val="hybridMultilevel"/>
    <w:tmpl w:val="0708132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7A91"/>
    <w:multiLevelType w:val="hybridMultilevel"/>
    <w:tmpl w:val="E594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224AB"/>
    <w:multiLevelType w:val="hybridMultilevel"/>
    <w:tmpl w:val="D8EC8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4564C1"/>
    <w:multiLevelType w:val="hybridMultilevel"/>
    <w:tmpl w:val="5CD60AD2"/>
    <w:lvl w:ilvl="0" w:tplc="BA361C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E7B92"/>
    <w:multiLevelType w:val="hybridMultilevel"/>
    <w:tmpl w:val="E40062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224A3"/>
    <w:multiLevelType w:val="hybridMultilevel"/>
    <w:tmpl w:val="7A1AD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737E3"/>
    <w:multiLevelType w:val="hybridMultilevel"/>
    <w:tmpl w:val="0708132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E458C"/>
    <w:multiLevelType w:val="hybridMultilevel"/>
    <w:tmpl w:val="0708132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761D"/>
    <w:multiLevelType w:val="hybridMultilevel"/>
    <w:tmpl w:val="0708132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45825"/>
    <w:multiLevelType w:val="hybridMultilevel"/>
    <w:tmpl w:val="1B864F42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9E20A650">
      <w:numFmt w:val="bullet"/>
      <w:lvlText w:val="•"/>
      <w:lvlJc w:val="left"/>
      <w:pPr>
        <w:ind w:left="1620" w:hanging="720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6C7744E"/>
    <w:multiLevelType w:val="hybridMultilevel"/>
    <w:tmpl w:val="263C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28"/>
  </w:num>
  <w:num w:numId="5">
    <w:abstractNumId w:val="8"/>
  </w:num>
  <w:num w:numId="6">
    <w:abstractNumId w:val="32"/>
  </w:num>
  <w:num w:numId="7">
    <w:abstractNumId w:val="27"/>
  </w:num>
  <w:num w:numId="8">
    <w:abstractNumId w:val="10"/>
  </w:num>
  <w:num w:numId="9">
    <w:abstractNumId w:val="3"/>
  </w:num>
  <w:num w:numId="10">
    <w:abstractNumId w:val="7"/>
  </w:num>
  <w:num w:numId="11">
    <w:abstractNumId w:val="22"/>
  </w:num>
  <w:num w:numId="12">
    <w:abstractNumId w:val="11"/>
  </w:num>
  <w:num w:numId="13">
    <w:abstractNumId w:val="33"/>
  </w:num>
  <w:num w:numId="14">
    <w:abstractNumId w:val="15"/>
  </w:num>
  <w:num w:numId="15">
    <w:abstractNumId w:val="13"/>
  </w:num>
  <w:num w:numId="16">
    <w:abstractNumId w:val="17"/>
  </w:num>
  <w:num w:numId="17">
    <w:abstractNumId w:val="18"/>
  </w:num>
  <w:num w:numId="18">
    <w:abstractNumId w:val="16"/>
  </w:num>
  <w:num w:numId="19">
    <w:abstractNumId w:val="4"/>
  </w:num>
  <w:num w:numId="20">
    <w:abstractNumId w:val="23"/>
  </w:num>
  <w:num w:numId="21">
    <w:abstractNumId w:val="5"/>
  </w:num>
  <w:num w:numId="22">
    <w:abstractNumId w:val="30"/>
  </w:num>
  <w:num w:numId="23">
    <w:abstractNumId w:val="6"/>
  </w:num>
  <w:num w:numId="24">
    <w:abstractNumId w:val="25"/>
  </w:num>
  <w:num w:numId="25">
    <w:abstractNumId w:val="29"/>
  </w:num>
  <w:num w:numId="26">
    <w:abstractNumId w:val="19"/>
  </w:num>
  <w:num w:numId="27">
    <w:abstractNumId w:val="1"/>
  </w:num>
  <w:num w:numId="28">
    <w:abstractNumId w:val="0"/>
  </w:num>
  <w:num w:numId="29">
    <w:abstractNumId w:val="9"/>
  </w:num>
  <w:num w:numId="30">
    <w:abstractNumId w:val="2"/>
  </w:num>
  <w:num w:numId="31">
    <w:abstractNumId w:val="14"/>
  </w:num>
  <w:num w:numId="32">
    <w:abstractNumId w:val="26"/>
  </w:num>
  <w:num w:numId="33">
    <w:abstractNumId w:val="21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e1c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2"/>
    <w:rsid w:val="00002898"/>
    <w:rsid w:val="00005271"/>
    <w:rsid w:val="000067CA"/>
    <w:rsid w:val="00016F09"/>
    <w:rsid w:val="00020379"/>
    <w:rsid w:val="00020946"/>
    <w:rsid w:val="0002564D"/>
    <w:rsid w:val="00033761"/>
    <w:rsid w:val="0004154E"/>
    <w:rsid w:val="00042AD3"/>
    <w:rsid w:val="00051395"/>
    <w:rsid w:val="00051EB1"/>
    <w:rsid w:val="00052700"/>
    <w:rsid w:val="00060666"/>
    <w:rsid w:val="00062B11"/>
    <w:rsid w:val="00065222"/>
    <w:rsid w:val="00067142"/>
    <w:rsid w:val="00070D69"/>
    <w:rsid w:val="00083C60"/>
    <w:rsid w:val="0008442C"/>
    <w:rsid w:val="000851C4"/>
    <w:rsid w:val="00086CB0"/>
    <w:rsid w:val="00087372"/>
    <w:rsid w:val="000A13FC"/>
    <w:rsid w:val="000A3E1E"/>
    <w:rsid w:val="000A46BD"/>
    <w:rsid w:val="000C481D"/>
    <w:rsid w:val="000C764C"/>
    <w:rsid w:val="000D531E"/>
    <w:rsid w:val="000D58EA"/>
    <w:rsid w:val="00112CE2"/>
    <w:rsid w:val="00115493"/>
    <w:rsid w:val="001328E2"/>
    <w:rsid w:val="00134159"/>
    <w:rsid w:val="00141C66"/>
    <w:rsid w:val="00143000"/>
    <w:rsid w:val="00150072"/>
    <w:rsid w:val="0015514A"/>
    <w:rsid w:val="00174934"/>
    <w:rsid w:val="0017527A"/>
    <w:rsid w:val="001822F5"/>
    <w:rsid w:val="001877FA"/>
    <w:rsid w:val="00192B9E"/>
    <w:rsid w:val="00192E19"/>
    <w:rsid w:val="001938A5"/>
    <w:rsid w:val="001A4557"/>
    <w:rsid w:val="001B058E"/>
    <w:rsid w:val="001C1ECD"/>
    <w:rsid w:val="001D4B25"/>
    <w:rsid w:val="001D5D02"/>
    <w:rsid w:val="001E2578"/>
    <w:rsid w:val="001F1495"/>
    <w:rsid w:val="001F18CF"/>
    <w:rsid w:val="00203393"/>
    <w:rsid w:val="00207B4A"/>
    <w:rsid w:val="0021475E"/>
    <w:rsid w:val="00216570"/>
    <w:rsid w:val="00234D2C"/>
    <w:rsid w:val="0023666F"/>
    <w:rsid w:val="00240623"/>
    <w:rsid w:val="00242E07"/>
    <w:rsid w:val="00243171"/>
    <w:rsid w:val="002517B3"/>
    <w:rsid w:val="00253FFF"/>
    <w:rsid w:val="00264F32"/>
    <w:rsid w:val="00270FB6"/>
    <w:rsid w:val="00271C00"/>
    <w:rsid w:val="00290298"/>
    <w:rsid w:val="00296A14"/>
    <w:rsid w:val="002A3CF2"/>
    <w:rsid w:val="002B2B57"/>
    <w:rsid w:val="002B2D49"/>
    <w:rsid w:val="002B4470"/>
    <w:rsid w:val="002B6A03"/>
    <w:rsid w:val="002C08ED"/>
    <w:rsid w:val="002C0BBC"/>
    <w:rsid w:val="002C201A"/>
    <w:rsid w:val="002C2BF6"/>
    <w:rsid w:val="002C47A3"/>
    <w:rsid w:val="002C62F0"/>
    <w:rsid w:val="002D5037"/>
    <w:rsid w:val="002D7547"/>
    <w:rsid w:val="002E1685"/>
    <w:rsid w:val="003007A7"/>
    <w:rsid w:val="00300AE8"/>
    <w:rsid w:val="00310489"/>
    <w:rsid w:val="003128B6"/>
    <w:rsid w:val="00320C7F"/>
    <w:rsid w:val="00320D69"/>
    <w:rsid w:val="00326DEA"/>
    <w:rsid w:val="00331715"/>
    <w:rsid w:val="003506C7"/>
    <w:rsid w:val="00357D15"/>
    <w:rsid w:val="00363C6D"/>
    <w:rsid w:val="003649FE"/>
    <w:rsid w:val="00377E26"/>
    <w:rsid w:val="0038657B"/>
    <w:rsid w:val="0038773E"/>
    <w:rsid w:val="003922AC"/>
    <w:rsid w:val="00395802"/>
    <w:rsid w:val="00396950"/>
    <w:rsid w:val="00397705"/>
    <w:rsid w:val="003A04BB"/>
    <w:rsid w:val="003A3F1C"/>
    <w:rsid w:val="003A44F4"/>
    <w:rsid w:val="003A5586"/>
    <w:rsid w:val="003A64AD"/>
    <w:rsid w:val="003A78FE"/>
    <w:rsid w:val="003B4F1A"/>
    <w:rsid w:val="003C28E7"/>
    <w:rsid w:val="003D072C"/>
    <w:rsid w:val="003D79AC"/>
    <w:rsid w:val="003F023B"/>
    <w:rsid w:val="003F24BC"/>
    <w:rsid w:val="00400E28"/>
    <w:rsid w:val="00405C77"/>
    <w:rsid w:val="00411251"/>
    <w:rsid w:val="00412BE3"/>
    <w:rsid w:val="00412DF4"/>
    <w:rsid w:val="00420C54"/>
    <w:rsid w:val="00421107"/>
    <w:rsid w:val="00437605"/>
    <w:rsid w:val="00442A84"/>
    <w:rsid w:val="004509AA"/>
    <w:rsid w:val="0045213E"/>
    <w:rsid w:val="00464AF7"/>
    <w:rsid w:val="004915BB"/>
    <w:rsid w:val="00493F0E"/>
    <w:rsid w:val="00495EAB"/>
    <w:rsid w:val="004A1BDB"/>
    <w:rsid w:val="004A5EE8"/>
    <w:rsid w:val="004B1188"/>
    <w:rsid w:val="004B21DF"/>
    <w:rsid w:val="004B5464"/>
    <w:rsid w:val="004C270E"/>
    <w:rsid w:val="004C5824"/>
    <w:rsid w:val="004C77FE"/>
    <w:rsid w:val="004D03DC"/>
    <w:rsid w:val="004D7162"/>
    <w:rsid w:val="004E33E3"/>
    <w:rsid w:val="004F2F86"/>
    <w:rsid w:val="004F32A8"/>
    <w:rsid w:val="004F4ABC"/>
    <w:rsid w:val="00502252"/>
    <w:rsid w:val="005120D4"/>
    <w:rsid w:val="0052356D"/>
    <w:rsid w:val="00530645"/>
    <w:rsid w:val="00537D29"/>
    <w:rsid w:val="005453ED"/>
    <w:rsid w:val="005479D7"/>
    <w:rsid w:val="005558B9"/>
    <w:rsid w:val="00561251"/>
    <w:rsid w:val="00562226"/>
    <w:rsid w:val="0056502E"/>
    <w:rsid w:val="00565F55"/>
    <w:rsid w:val="00571D59"/>
    <w:rsid w:val="005765C4"/>
    <w:rsid w:val="005837A2"/>
    <w:rsid w:val="0058694B"/>
    <w:rsid w:val="005909BD"/>
    <w:rsid w:val="005A0F65"/>
    <w:rsid w:val="005A2544"/>
    <w:rsid w:val="005B47DE"/>
    <w:rsid w:val="005B7A40"/>
    <w:rsid w:val="005D20E0"/>
    <w:rsid w:val="005D26A1"/>
    <w:rsid w:val="005E2597"/>
    <w:rsid w:val="005F048C"/>
    <w:rsid w:val="0060065A"/>
    <w:rsid w:val="006016DF"/>
    <w:rsid w:val="00604062"/>
    <w:rsid w:val="00606A9A"/>
    <w:rsid w:val="00612365"/>
    <w:rsid w:val="006129A2"/>
    <w:rsid w:val="006156F0"/>
    <w:rsid w:val="0062551C"/>
    <w:rsid w:val="00632A41"/>
    <w:rsid w:val="00637EC6"/>
    <w:rsid w:val="00640AA2"/>
    <w:rsid w:val="00644978"/>
    <w:rsid w:val="00644CF2"/>
    <w:rsid w:val="006500E3"/>
    <w:rsid w:val="00653DC2"/>
    <w:rsid w:val="006630A3"/>
    <w:rsid w:val="006639ED"/>
    <w:rsid w:val="00685D80"/>
    <w:rsid w:val="006907A8"/>
    <w:rsid w:val="00693711"/>
    <w:rsid w:val="00696684"/>
    <w:rsid w:val="00696C3A"/>
    <w:rsid w:val="006A58E4"/>
    <w:rsid w:val="006B4AE3"/>
    <w:rsid w:val="006C06B8"/>
    <w:rsid w:val="006C18C8"/>
    <w:rsid w:val="006C27EE"/>
    <w:rsid w:val="006C6CE5"/>
    <w:rsid w:val="006D09E1"/>
    <w:rsid w:val="006D6A31"/>
    <w:rsid w:val="006E310A"/>
    <w:rsid w:val="006E3125"/>
    <w:rsid w:val="006E62AE"/>
    <w:rsid w:val="006F4FA8"/>
    <w:rsid w:val="006F5928"/>
    <w:rsid w:val="006F69D8"/>
    <w:rsid w:val="00702F34"/>
    <w:rsid w:val="007043BD"/>
    <w:rsid w:val="00714339"/>
    <w:rsid w:val="00715EDE"/>
    <w:rsid w:val="00717563"/>
    <w:rsid w:val="0072414D"/>
    <w:rsid w:val="007316BF"/>
    <w:rsid w:val="00744463"/>
    <w:rsid w:val="0074651E"/>
    <w:rsid w:val="0075003C"/>
    <w:rsid w:val="007608FC"/>
    <w:rsid w:val="00761E67"/>
    <w:rsid w:val="0076261B"/>
    <w:rsid w:val="00762A91"/>
    <w:rsid w:val="007636A6"/>
    <w:rsid w:val="0077743E"/>
    <w:rsid w:val="00784805"/>
    <w:rsid w:val="0078605A"/>
    <w:rsid w:val="00794C4C"/>
    <w:rsid w:val="00795C25"/>
    <w:rsid w:val="007A7FC1"/>
    <w:rsid w:val="007B4953"/>
    <w:rsid w:val="007B6F3F"/>
    <w:rsid w:val="007C1567"/>
    <w:rsid w:val="007C37BD"/>
    <w:rsid w:val="007E1574"/>
    <w:rsid w:val="007F07DA"/>
    <w:rsid w:val="007F3C96"/>
    <w:rsid w:val="00800254"/>
    <w:rsid w:val="00800440"/>
    <w:rsid w:val="00806EF3"/>
    <w:rsid w:val="00806EF5"/>
    <w:rsid w:val="0081000F"/>
    <w:rsid w:val="00817ECA"/>
    <w:rsid w:val="008329B5"/>
    <w:rsid w:val="008367C2"/>
    <w:rsid w:val="00840CBC"/>
    <w:rsid w:val="00843A6D"/>
    <w:rsid w:val="0085061B"/>
    <w:rsid w:val="00861DA6"/>
    <w:rsid w:val="00864A9A"/>
    <w:rsid w:val="0086566E"/>
    <w:rsid w:val="008672A5"/>
    <w:rsid w:val="00872F88"/>
    <w:rsid w:val="008A5A79"/>
    <w:rsid w:val="008A741A"/>
    <w:rsid w:val="008C5AD7"/>
    <w:rsid w:val="008D42F3"/>
    <w:rsid w:val="008D447D"/>
    <w:rsid w:val="008D7704"/>
    <w:rsid w:val="008E5230"/>
    <w:rsid w:val="008F0A09"/>
    <w:rsid w:val="008F0F44"/>
    <w:rsid w:val="008F1CC7"/>
    <w:rsid w:val="008F6113"/>
    <w:rsid w:val="008F6EE0"/>
    <w:rsid w:val="0090022C"/>
    <w:rsid w:val="00911076"/>
    <w:rsid w:val="00912013"/>
    <w:rsid w:val="00912D77"/>
    <w:rsid w:val="00915236"/>
    <w:rsid w:val="009223F6"/>
    <w:rsid w:val="00930EC2"/>
    <w:rsid w:val="00936317"/>
    <w:rsid w:val="009428B0"/>
    <w:rsid w:val="00946970"/>
    <w:rsid w:val="009636E5"/>
    <w:rsid w:val="009718AB"/>
    <w:rsid w:val="0098497B"/>
    <w:rsid w:val="009853FF"/>
    <w:rsid w:val="00990866"/>
    <w:rsid w:val="00994673"/>
    <w:rsid w:val="009A6C72"/>
    <w:rsid w:val="009A76CF"/>
    <w:rsid w:val="009B00D5"/>
    <w:rsid w:val="009B3124"/>
    <w:rsid w:val="009C2685"/>
    <w:rsid w:val="009C6732"/>
    <w:rsid w:val="009D1EF4"/>
    <w:rsid w:val="009D2CBF"/>
    <w:rsid w:val="009E6A8F"/>
    <w:rsid w:val="009F2B3A"/>
    <w:rsid w:val="009F5EAF"/>
    <w:rsid w:val="00A062C3"/>
    <w:rsid w:val="00A15851"/>
    <w:rsid w:val="00A273AB"/>
    <w:rsid w:val="00A30FD0"/>
    <w:rsid w:val="00A3517F"/>
    <w:rsid w:val="00A52BAE"/>
    <w:rsid w:val="00A57757"/>
    <w:rsid w:val="00A612D0"/>
    <w:rsid w:val="00A622F0"/>
    <w:rsid w:val="00A756C8"/>
    <w:rsid w:val="00A80980"/>
    <w:rsid w:val="00A823DB"/>
    <w:rsid w:val="00A8391B"/>
    <w:rsid w:val="00A85F20"/>
    <w:rsid w:val="00A8614B"/>
    <w:rsid w:val="00A954C4"/>
    <w:rsid w:val="00AA7EDE"/>
    <w:rsid w:val="00AB1DC4"/>
    <w:rsid w:val="00AB33DA"/>
    <w:rsid w:val="00AC0C82"/>
    <w:rsid w:val="00AC276F"/>
    <w:rsid w:val="00AC46DE"/>
    <w:rsid w:val="00AD3FF1"/>
    <w:rsid w:val="00AD686A"/>
    <w:rsid w:val="00AE602A"/>
    <w:rsid w:val="00AE7673"/>
    <w:rsid w:val="00AF1735"/>
    <w:rsid w:val="00AF429E"/>
    <w:rsid w:val="00AF5FC6"/>
    <w:rsid w:val="00B00EB7"/>
    <w:rsid w:val="00B235A0"/>
    <w:rsid w:val="00B522C9"/>
    <w:rsid w:val="00B55C16"/>
    <w:rsid w:val="00B6139D"/>
    <w:rsid w:val="00B62CB1"/>
    <w:rsid w:val="00B76DC8"/>
    <w:rsid w:val="00B82707"/>
    <w:rsid w:val="00B84861"/>
    <w:rsid w:val="00B86EAC"/>
    <w:rsid w:val="00B91D80"/>
    <w:rsid w:val="00B97E18"/>
    <w:rsid w:val="00BA0C8E"/>
    <w:rsid w:val="00BB25DE"/>
    <w:rsid w:val="00BC0D0A"/>
    <w:rsid w:val="00BC1ED6"/>
    <w:rsid w:val="00BC7894"/>
    <w:rsid w:val="00BD31FA"/>
    <w:rsid w:val="00BE0EE1"/>
    <w:rsid w:val="00BE1273"/>
    <w:rsid w:val="00BF00F6"/>
    <w:rsid w:val="00BF17DA"/>
    <w:rsid w:val="00BF1A11"/>
    <w:rsid w:val="00BF24A9"/>
    <w:rsid w:val="00BF3B86"/>
    <w:rsid w:val="00BF6637"/>
    <w:rsid w:val="00C01D57"/>
    <w:rsid w:val="00C01F77"/>
    <w:rsid w:val="00C0591E"/>
    <w:rsid w:val="00C06B7D"/>
    <w:rsid w:val="00C1456E"/>
    <w:rsid w:val="00C26C08"/>
    <w:rsid w:val="00C37B9D"/>
    <w:rsid w:val="00C52AA1"/>
    <w:rsid w:val="00C66D56"/>
    <w:rsid w:val="00C75D89"/>
    <w:rsid w:val="00C82FF7"/>
    <w:rsid w:val="00C84D88"/>
    <w:rsid w:val="00C97015"/>
    <w:rsid w:val="00CA2A0C"/>
    <w:rsid w:val="00CA4946"/>
    <w:rsid w:val="00CB1D09"/>
    <w:rsid w:val="00CB26FD"/>
    <w:rsid w:val="00CC1CC2"/>
    <w:rsid w:val="00CD6065"/>
    <w:rsid w:val="00CE0BCD"/>
    <w:rsid w:val="00CE3FA7"/>
    <w:rsid w:val="00CF242D"/>
    <w:rsid w:val="00CF2B1F"/>
    <w:rsid w:val="00CF3CE9"/>
    <w:rsid w:val="00CF50CB"/>
    <w:rsid w:val="00D13E93"/>
    <w:rsid w:val="00D15E77"/>
    <w:rsid w:val="00D16F17"/>
    <w:rsid w:val="00D30F4C"/>
    <w:rsid w:val="00D31C61"/>
    <w:rsid w:val="00D40ED1"/>
    <w:rsid w:val="00D43DE3"/>
    <w:rsid w:val="00D44948"/>
    <w:rsid w:val="00D512DB"/>
    <w:rsid w:val="00D518F3"/>
    <w:rsid w:val="00D54523"/>
    <w:rsid w:val="00D5455D"/>
    <w:rsid w:val="00D60D78"/>
    <w:rsid w:val="00D6219B"/>
    <w:rsid w:val="00D67FAC"/>
    <w:rsid w:val="00D76BB2"/>
    <w:rsid w:val="00D818C5"/>
    <w:rsid w:val="00D8640C"/>
    <w:rsid w:val="00D9399B"/>
    <w:rsid w:val="00D950B9"/>
    <w:rsid w:val="00DA530A"/>
    <w:rsid w:val="00DB6E97"/>
    <w:rsid w:val="00DC3231"/>
    <w:rsid w:val="00DC6849"/>
    <w:rsid w:val="00DC7015"/>
    <w:rsid w:val="00DD1E65"/>
    <w:rsid w:val="00DD3199"/>
    <w:rsid w:val="00DE0CA5"/>
    <w:rsid w:val="00DE1C44"/>
    <w:rsid w:val="00DE4677"/>
    <w:rsid w:val="00E01BFB"/>
    <w:rsid w:val="00E0331F"/>
    <w:rsid w:val="00E03688"/>
    <w:rsid w:val="00E06DAC"/>
    <w:rsid w:val="00E175FA"/>
    <w:rsid w:val="00E21C62"/>
    <w:rsid w:val="00E302FE"/>
    <w:rsid w:val="00E423F9"/>
    <w:rsid w:val="00E461BC"/>
    <w:rsid w:val="00E535B9"/>
    <w:rsid w:val="00E55604"/>
    <w:rsid w:val="00E64E13"/>
    <w:rsid w:val="00E654D6"/>
    <w:rsid w:val="00E74152"/>
    <w:rsid w:val="00E84868"/>
    <w:rsid w:val="00E86EA0"/>
    <w:rsid w:val="00EA3C08"/>
    <w:rsid w:val="00EA5B0C"/>
    <w:rsid w:val="00EA7425"/>
    <w:rsid w:val="00EB1301"/>
    <w:rsid w:val="00EC3B40"/>
    <w:rsid w:val="00EC4033"/>
    <w:rsid w:val="00EC67A8"/>
    <w:rsid w:val="00EC67F6"/>
    <w:rsid w:val="00ED3A36"/>
    <w:rsid w:val="00ED4E10"/>
    <w:rsid w:val="00EE41E3"/>
    <w:rsid w:val="00EF0D87"/>
    <w:rsid w:val="00F00C01"/>
    <w:rsid w:val="00F05EC1"/>
    <w:rsid w:val="00F063D1"/>
    <w:rsid w:val="00F1489E"/>
    <w:rsid w:val="00F25071"/>
    <w:rsid w:val="00F27D7B"/>
    <w:rsid w:val="00F3139F"/>
    <w:rsid w:val="00F33790"/>
    <w:rsid w:val="00F3423A"/>
    <w:rsid w:val="00F34D6E"/>
    <w:rsid w:val="00F35823"/>
    <w:rsid w:val="00F373F0"/>
    <w:rsid w:val="00F41FE9"/>
    <w:rsid w:val="00F44E38"/>
    <w:rsid w:val="00F451E1"/>
    <w:rsid w:val="00F46F75"/>
    <w:rsid w:val="00F47449"/>
    <w:rsid w:val="00F77C98"/>
    <w:rsid w:val="00F844BB"/>
    <w:rsid w:val="00F8460A"/>
    <w:rsid w:val="00F85C22"/>
    <w:rsid w:val="00F87316"/>
    <w:rsid w:val="00F9225E"/>
    <w:rsid w:val="00F94767"/>
    <w:rsid w:val="00FC4035"/>
    <w:rsid w:val="00FC7122"/>
    <w:rsid w:val="00FD0131"/>
    <w:rsid w:val="00FE5130"/>
    <w:rsid w:val="00FF0805"/>
    <w:rsid w:val="00FF2B81"/>
    <w:rsid w:val="00FF393A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1c4a"/>
    </o:shapedefaults>
    <o:shapelayout v:ext="edit">
      <o:idmap v:ext="edit" data="1"/>
    </o:shapelayout>
  </w:shapeDefaults>
  <w:decimalSymbol w:val="."/>
  <w:listSeparator w:val=","/>
  <w14:docId w14:val="6FCB2BAB"/>
  <w15:docId w15:val="{0AD543A3-D755-4D33-A4F0-7CA1C0E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07A8"/>
    <w:pPr>
      <w:keepNext/>
      <w:keepLines/>
      <w:pBdr>
        <w:bottom w:val="single" w:sz="4" w:space="5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07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07A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90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0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0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0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0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0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1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90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907A8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07A8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690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90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90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90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907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90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99"/>
    <w:unhideWhenUsed/>
    <w:qFormat/>
    <w:rsid w:val="006907A8"/>
    <w:pPr>
      <w:spacing w:after="180"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907A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07A8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0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0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907A8"/>
    <w:rPr>
      <w:b/>
      <w:bCs/>
    </w:rPr>
  </w:style>
  <w:style w:type="character" w:styleId="Accentuation">
    <w:name w:val="Emphasis"/>
    <w:basedOn w:val="Policepardfaut"/>
    <w:uiPriority w:val="20"/>
    <w:qFormat/>
    <w:rsid w:val="006907A8"/>
    <w:rPr>
      <w:i/>
      <w:iCs/>
    </w:rPr>
  </w:style>
  <w:style w:type="paragraph" w:styleId="Sansinterligne">
    <w:name w:val="No Spacing"/>
    <w:link w:val="SansinterligneCar"/>
    <w:uiPriority w:val="1"/>
    <w:qFormat/>
    <w:rsid w:val="006907A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907A8"/>
  </w:style>
  <w:style w:type="paragraph" w:styleId="Paragraphedeliste">
    <w:name w:val="List Paragraph"/>
    <w:aliases w:val="References,List Paragraph1"/>
    <w:basedOn w:val="Normal"/>
    <w:link w:val="ParagraphedelisteCar"/>
    <w:uiPriority w:val="34"/>
    <w:qFormat/>
    <w:rsid w:val="006907A8"/>
    <w:pPr>
      <w:spacing w:after="180"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907A8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907A8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07A8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07A8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Emphaseple">
    <w:name w:val="Subtle Emphasis"/>
    <w:basedOn w:val="Policepardfaut"/>
    <w:uiPriority w:val="19"/>
    <w:qFormat/>
    <w:rsid w:val="006907A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907A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907A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907A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907A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07A8"/>
    <w:pPr>
      <w:outlineLvl w:val="9"/>
    </w:pPr>
  </w:style>
  <w:style w:type="table" w:styleId="Grilledutableau">
    <w:name w:val="Table Grid"/>
    <w:basedOn w:val="TableauNormal"/>
    <w:uiPriority w:val="39"/>
    <w:rsid w:val="009E6A8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E6A8F"/>
    <w:pPr>
      <w:tabs>
        <w:tab w:val="center" w:pos="4680"/>
        <w:tab w:val="right" w:pos="9360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9E6A8F"/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rsid w:val="009E6A8F"/>
    <w:pPr>
      <w:tabs>
        <w:tab w:val="center" w:pos="4680"/>
        <w:tab w:val="right" w:pos="9360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9E6A8F"/>
    <w:rPr>
      <w:rFonts w:ascii="Calibri" w:eastAsia="Times New Roman" w:hAnsi="Calibri" w:cs="Times New Roman"/>
      <w:lang w:val="en-US"/>
    </w:rPr>
  </w:style>
  <w:style w:type="paragraph" w:styleId="TM1">
    <w:name w:val="toc 1"/>
    <w:basedOn w:val="Normal"/>
    <w:next w:val="Normal"/>
    <w:autoRedefine/>
    <w:uiPriority w:val="39"/>
    <w:rsid w:val="009E6A8F"/>
    <w:pPr>
      <w:spacing w:after="10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styleId="Lienhypertexte">
    <w:name w:val="Hyperlink"/>
    <w:basedOn w:val="Policepardfaut"/>
    <w:uiPriority w:val="99"/>
    <w:rsid w:val="009E6A8F"/>
    <w:rPr>
      <w:rFonts w:cs="Times New Roman"/>
      <w:color w:val="E2D700"/>
      <w:u w:val="single"/>
    </w:rPr>
  </w:style>
  <w:style w:type="paragraph" w:styleId="TM2">
    <w:name w:val="toc 2"/>
    <w:basedOn w:val="Normal"/>
    <w:next w:val="Normal"/>
    <w:autoRedefine/>
    <w:uiPriority w:val="39"/>
    <w:rsid w:val="009E6A8F"/>
    <w:pPr>
      <w:spacing w:after="100" w:line="240" w:lineRule="auto"/>
      <w:ind w:left="220" w:firstLine="360"/>
    </w:pPr>
    <w:rPr>
      <w:rFonts w:ascii="Calibri" w:eastAsia="Times New Roman" w:hAnsi="Calibri" w:cs="Times New Roman"/>
      <w:lang w:val="en-US"/>
    </w:rPr>
  </w:style>
  <w:style w:type="table" w:styleId="Trameclaire-Accent2">
    <w:name w:val="Light Shading Accent 2"/>
    <w:basedOn w:val="TableauNormal"/>
    <w:uiPriority w:val="99"/>
    <w:rsid w:val="009E6A8F"/>
    <w:pPr>
      <w:spacing w:after="0" w:line="240" w:lineRule="auto"/>
    </w:pPr>
    <w:rPr>
      <w:rFonts w:ascii="Calibri" w:eastAsia="Times New Roman" w:hAnsi="Calibri" w:cs="Times New Roman"/>
      <w:color w:val="0075A2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9DD9"/>
        <w:bottom w:val="single" w:sz="8" w:space="0" w:color="009DD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</w:style>
  <w:style w:type="table" w:customStyle="1" w:styleId="LightShading-Accent11">
    <w:name w:val="Light Shading - Accent 11"/>
    <w:uiPriority w:val="99"/>
    <w:rsid w:val="009E6A8F"/>
    <w:pPr>
      <w:spacing w:after="0" w:line="240" w:lineRule="auto"/>
    </w:pPr>
    <w:rPr>
      <w:rFonts w:ascii="Calibri" w:eastAsia="Times New Roman" w:hAnsi="Calibri" w:cs="Times New Roman"/>
      <w:color w:val="0B529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F6FC6"/>
        <w:bottom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</w:style>
  <w:style w:type="table" w:customStyle="1" w:styleId="LightGrid-Accent11">
    <w:name w:val="Light Grid - Accent 11"/>
    <w:uiPriority w:val="99"/>
    <w:rsid w:val="009E6A8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  <w:insideH w:val="single" w:sz="8" w:space="0" w:color="0F6FC6"/>
        <w:insideV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F6FC6"/>
          <w:left w:val="single" w:sz="8" w:space="0" w:color="0F6FC6"/>
          <w:bottom w:val="single" w:sz="18" w:space="0" w:color="0F6FC6"/>
          <w:right w:val="single" w:sz="8" w:space="0" w:color="0F6FC6"/>
          <w:insideH w:val="nil"/>
          <w:insideV w:val="single" w:sz="8" w:space="0" w:color="0F6F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  <w:insideH w:val="nil"/>
          <w:insideV w:val="single" w:sz="8" w:space="0" w:color="0F6F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V w:val="single" w:sz="8" w:space="0" w:color="0F6FC6"/>
        </w:tcBorders>
        <w:shd w:val="clear" w:color="auto" w:fill="BADBF9"/>
      </w:tcPr>
    </w:tblStylePr>
    <w:tblStylePr w:type="band2Horz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V w:val="single" w:sz="8" w:space="0" w:color="0F6FC6"/>
        </w:tcBorders>
      </w:tcPr>
    </w:tblStylePr>
  </w:style>
  <w:style w:type="paragraph" w:styleId="NormalWeb">
    <w:name w:val="Normal (Web)"/>
    <w:basedOn w:val="Normal"/>
    <w:uiPriority w:val="99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rsid w:val="009E6A8F"/>
    <w:pPr>
      <w:spacing w:after="100" w:line="240" w:lineRule="auto"/>
      <w:ind w:left="440" w:firstLine="360"/>
    </w:pPr>
    <w:rPr>
      <w:rFonts w:ascii="Calibri" w:eastAsia="Times New Roman" w:hAnsi="Calibri" w:cs="Times New Roman"/>
      <w:lang w:val="en-US"/>
    </w:rPr>
  </w:style>
  <w:style w:type="character" w:styleId="Marquedecommentaire">
    <w:name w:val="annotation reference"/>
    <w:basedOn w:val="Policepardfaut"/>
    <w:uiPriority w:val="99"/>
    <w:semiHidden/>
    <w:rsid w:val="009E6A8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E6A8F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A8F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9E6A8F"/>
    <w:rPr>
      <w:rFonts w:cs="Times New Roman"/>
    </w:rPr>
  </w:style>
  <w:style w:type="table" w:customStyle="1" w:styleId="LightShading-Accent12">
    <w:name w:val="Light Shading - Accent 12"/>
    <w:uiPriority w:val="99"/>
    <w:rsid w:val="009E6A8F"/>
    <w:pPr>
      <w:spacing w:after="0" w:line="240" w:lineRule="auto"/>
    </w:pPr>
    <w:rPr>
      <w:rFonts w:ascii="Calibri" w:eastAsia="Times New Roman" w:hAnsi="Calibri" w:cs="Times New Roman"/>
      <w:color w:val="0B529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F6FC6"/>
        <w:bottom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F6FC6"/>
          <w:left w:val="nil"/>
          <w:bottom w:val="single" w:sz="8" w:space="0" w:color="0F6F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E6A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A8F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E6A8F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6A8F"/>
    <w:rPr>
      <w:rFonts w:ascii="Calibri" w:eastAsia="Times New Roman" w:hAnsi="Calibri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9E6A8F"/>
    <w:rPr>
      <w:vertAlign w:val="superscript"/>
    </w:rPr>
  </w:style>
  <w:style w:type="table" w:customStyle="1" w:styleId="LightList-Accent11">
    <w:name w:val="Light List - Accent 11"/>
    <w:basedOn w:val="TableauNormal"/>
    <w:uiPriority w:val="61"/>
    <w:rsid w:val="009E6A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rsid w:val="009E6A8F"/>
    <w:pPr>
      <w:tabs>
        <w:tab w:val="decimal" w:pos="360"/>
      </w:tabs>
    </w:pPr>
    <w:rPr>
      <w:lang w:val="en-US"/>
    </w:rPr>
  </w:style>
  <w:style w:type="table" w:styleId="Tramemoyenne2-Accent5">
    <w:name w:val="Medium Shading 2 Accent 5"/>
    <w:basedOn w:val="TableauNormal"/>
    <w:uiPriority w:val="64"/>
    <w:rsid w:val="009E6A8F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9E6A8F"/>
    <w:pPr>
      <w:spacing w:after="0" w:line="240" w:lineRule="auto"/>
    </w:pPr>
    <w:rPr>
      <w:rFonts w:ascii="Calibri" w:eastAsia="Times New Roman" w:hAnsi="Calibri" w:cs="Times New Roman"/>
      <w:color w:val="000000" w:themeColor="text1"/>
      <w:lang w:val="es-ES" w:eastAsia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ParagraphedelisteCar">
    <w:name w:val="Paragraphe de liste Car"/>
    <w:aliases w:val="References Car,List Paragraph1 Car"/>
    <w:basedOn w:val="Policepardfaut"/>
    <w:link w:val="Paragraphedeliste"/>
    <w:uiPriority w:val="34"/>
    <w:locked/>
    <w:rsid w:val="006907A8"/>
    <w:rPr>
      <w:color w:val="1F497D" w:themeColor="text2"/>
    </w:rPr>
  </w:style>
  <w:style w:type="table" w:customStyle="1" w:styleId="LightShading-Accent13">
    <w:name w:val="Light Shading - Accent 13"/>
    <w:basedOn w:val="TableauNormal"/>
    <w:uiPriority w:val="60"/>
    <w:rsid w:val="009E6A8F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auNormal"/>
    <w:uiPriority w:val="64"/>
    <w:rsid w:val="009E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01F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ps">
    <w:name w:val="hps"/>
    <w:rsid w:val="003506C7"/>
  </w:style>
  <w:style w:type="table" w:customStyle="1" w:styleId="TableauGrille6Couleur-Accentuation21">
    <w:name w:val="Tableau Grille 6 Couleur - Accentuation 21"/>
    <w:basedOn w:val="TableauNormal"/>
    <w:uiPriority w:val="51"/>
    <w:rsid w:val="00BC1E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5">
    <w:name w:val="A5"/>
    <w:rsid w:val="002C0BBC"/>
    <w:rPr>
      <w:color w:val="0B0B0B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7B19-111A-4870-80AC-E49FAE6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 Valon</dc:creator>
  <cp:lastModifiedBy>Astrid de Valon</cp:lastModifiedBy>
  <cp:revision>6</cp:revision>
  <cp:lastPrinted>2016-02-02T18:00:00Z</cp:lastPrinted>
  <dcterms:created xsi:type="dcterms:W3CDTF">2016-03-11T12:43:00Z</dcterms:created>
  <dcterms:modified xsi:type="dcterms:W3CDTF">2016-04-08T12:01:00Z</dcterms:modified>
</cp:coreProperties>
</file>