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5FCCF60" w14:textId="77777777" w:rsidR="00206064" w:rsidRDefault="00206064">
      <w:pPr>
        <w:jc w:val="center"/>
        <w:rPr>
          <w:rFonts w:ascii="Calibri" w:eastAsia="Calibri" w:hAnsi="Calibri" w:cs="Calibri"/>
          <w:b/>
          <w:i/>
          <w:color w:val="1F497D"/>
          <w:sz w:val="32"/>
          <w:szCs w:val="32"/>
        </w:rPr>
      </w:pPr>
      <w:r>
        <w:rPr>
          <w:rFonts w:ascii="Calibri" w:eastAsia="Calibri" w:hAnsi="Calibri" w:cs="Calibri"/>
          <w:b/>
          <w:i/>
          <w:color w:val="1F497D"/>
          <w:sz w:val="32"/>
          <w:szCs w:val="32"/>
        </w:rPr>
        <w:t>Reference Group on Risk, Early Warning and Preparedness</w:t>
      </w:r>
    </w:p>
    <w:p w14:paraId="4EAC4EF8" w14:textId="77777777" w:rsidR="00B6494C" w:rsidRDefault="00774533">
      <w:pPr>
        <w:jc w:val="center"/>
      </w:pPr>
      <w:r>
        <w:rPr>
          <w:rFonts w:ascii="Calibri" w:eastAsia="Calibri" w:hAnsi="Calibri" w:cs="Calibri"/>
          <w:b/>
          <w:color w:val="1F497D"/>
          <w:sz w:val="32"/>
          <w:szCs w:val="32"/>
        </w:rPr>
        <w:t xml:space="preserve">Work Plan </w:t>
      </w:r>
    </w:p>
    <w:p w14:paraId="435E69AB" w14:textId="77777777" w:rsidR="00B6494C" w:rsidRDefault="00206064">
      <w:pPr>
        <w:jc w:val="center"/>
      </w:pPr>
      <w:r>
        <w:rPr>
          <w:rFonts w:ascii="Calibri" w:eastAsia="Calibri" w:hAnsi="Calibri" w:cs="Calibri"/>
          <w:b/>
          <w:color w:val="1F497D"/>
          <w:sz w:val="32"/>
          <w:szCs w:val="32"/>
        </w:rPr>
        <w:t>January</w:t>
      </w:r>
      <w:r w:rsidR="00774533">
        <w:rPr>
          <w:rFonts w:ascii="Calibri" w:eastAsia="Calibri" w:hAnsi="Calibri" w:cs="Calibri"/>
          <w:b/>
          <w:color w:val="1F497D"/>
          <w:sz w:val="32"/>
          <w:szCs w:val="32"/>
        </w:rPr>
        <w:t xml:space="preserve"> 2016-December 2017</w:t>
      </w:r>
    </w:p>
    <w:p w14:paraId="18089C57" w14:textId="77777777" w:rsidR="00B6494C" w:rsidRDefault="00774533">
      <w:pPr>
        <w:jc w:val="center"/>
      </w:pPr>
      <w:r>
        <w:rPr>
          <w:rFonts w:ascii="Calibri" w:eastAsia="Calibri" w:hAnsi="Calibri" w:cs="Calibri"/>
          <w:b/>
          <w:i/>
          <w:color w:val="1F497D"/>
        </w:rPr>
        <w:t>Date circulated: [Insert date]</w:t>
      </w:r>
    </w:p>
    <w:p w14:paraId="1D627991" w14:textId="77777777" w:rsidR="00B6494C" w:rsidRDefault="00B6494C"/>
    <w:p w14:paraId="65DE7FD9" w14:textId="77777777" w:rsidR="00B6494C" w:rsidRDefault="00774533">
      <w:r>
        <w:rPr>
          <w:rFonts w:ascii="Calibri" w:eastAsia="Calibri" w:hAnsi="Calibri" w:cs="Calibri"/>
          <w:i/>
        </w:rPr>
        <w:t>NB: This Work Plan should be read in conjunction with the 2016-2017 IASC Working Group priorities and the Task Team’s Terms of Reference.</w:t>
      </w:r>
    </w:p>
    <w:p w14:paraId="23DB8F4F" w14:textId="77777777" w:rsidR="00B6494C" w:rsidRDefault="00B6494C">
      <w:bookmarkStart w:id="0" w:name="h.gjdgxs" w:colFirst="0" w:colLast="0"/>
      <w:bookmarkEnd w:id="0"/>
    </w:p>
    <w:p w14:paraId="39159D9F" w14:textId="77777777" w:rsidR="00B6494C" w:rsidRDefault="00774533">
      <w:r>
        <w:rPr>
          <w:rFonts w:ascii="Calibri" w:eastAsia="Calibri" w:hAnsi="Calibri" w:cs="Calibri"/>
          <w:i/>
          <w:highlight w:val="yellow"/>
        </w:rPr>
        <w:t>* Please highlight any activities that have potential crossover with other IASC priorities, Task Teams (TTs), or Reference Groups (RGs), indicating the particular priority/TT/RG.</w:t>
      </w:r>
      <w:r>
        <w:rPr>
          <w:rFonts w:ascii="Calibri" w:eastAsia="Calibri" w:hAnsi="Calibri" w:cs="Calibri"/>
          <w:i/>
        </w:rPr>
        <w:t xml:space="preserve">  </w:t>
      </w:r>
    </w:p>
    <w:p w14:paraId="0D4CA106" w14:textId="77777777" w:rsidR="00B6494C" w:rsidRDefault="00B6494C"/>
    <w:tbl>
      <w:tblPr>
        <w:tblStyle w:val="a"/>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0"/>
        <w:gridCol w:w="5528"/>
        <w:gridCol w:w="3544"/>
      </w:tblGrid>
      <w:tr w:rsidR="00B6494C" w14:paraId="198E7D48" w14:textId="77777777" w:rsidTr="00AC091A">
        <w:tc>
          <w:tcPr>
            <w:tcW w:w="14122" w:type="dxa"/>
            <w:gridSpan w:val="3"/>
          </w:tcPr>
          <w:p w14:paraId="4FCA28DD" w14:textId="77777777" w:rsidR="00B6494C" w:rsidRDefault="00AC091A" w:rsidP="00AC091A">
            <w:pPr>
              <w:contextualSpacing w:val="0"/>
            </w:pPr>
            <w:r>
              <w:rPr>
                <w:rFonts w:ascii="Calibri" w:eastAsia="Calibri" w:hAnsi="Calibri" w:cs="Calibri"/>
                <w:b/>
                <w:sz w:val="28"/>
                <w:szCs w:val="28"/>
              </w:rPr>
              <w:t>Output 1</w:t>
            </w:r>
            <w:r w:rsidR="00774533">
              <w:rPr>
                <w:rFonts w:ascii="Calibri" w:eastAsia="Calibri" w:hAnsi="Calibri" w:cs="Calibri"/>
                <w:b/>
                <w:sz w:val="28"/>
                <w:szCs w:val="28"/>
              </w:rPr>
              <w:t>:</w:t>
            </w:r>
            <w:r>
              <w:rPr>
                <w:rFonts w:ascii="Calibri" w:eastAsia="Calibri" w:hAnsi="Calibri" w:cs="Calibri"/>
                <w:b/>
                <w:sz w:val="28"/>
                <w:szCs w:val="28"/>
              </w:rPr>
              <w:t xml:space="preserve"> C</w:t>
            </w:r>
            <w:r w:rsidRPr="00AC091A">
              <w:rPr>
                <w:rFonts w:ascii="Calibri" w:eastAsia="Calibri" w:hAnsi="Calibri" w:cs="Calibri"/>
                <w:b/>
                <w:sz w:val="28"/>
                <w:szCs w:val="28"/>
              </w:rPr>
              <w:t>ommon risk-informed understanding of current and potential operational contexts</w:t>
            </w:r>
            <w:r>
              <w:rPr>
                <w:rFonts w:ascii="Calibri" w:eastAsia="Calibri" w:hAnsi="Calibri" w:cs="Calibri"/>
                <w:b/>
                <w:sz w:val="28"/>
                <w:szCs w:val="28"/>
              </w:rPr>
              <w:t xml:space="preserve"> promoted</w:t>
            </w:r>
          </w:p>
        </w:tc>
      </w:tr>
      <w:tr w:rsidR="00B6494C" w14:paraId="6B57D0F3" w14:textId="77777777" w:rsidTr="00AC091A">
        <w:tc>
          <w:tcPr>
            <w:tcW w:w="5050" w:type="dxa"/>
          </w:tcPr>
          <w:p w14:paraId="0A68E237" w14:textId="77777777" w:rsidR="00B6494C" w:rsidRDefault="00774533">
            <w:pPr>
              <w:contextualSpacing w:val="0"/>
            </w:pPr>
            <w:r>
              <w:rPr>
                <w:rFonts w:ascii="Calibri" w:eastAsia="Calibri" w:hAnsi="Calibri" w:cs="Calibri"/>
                <w:b/>
                <w:sz w:val="26"/>
                <w:szCs w:val="26"/>
              </w:rPr>
              <w:t>Activities</w:t>
            </w:r>
          </w:p>
        </w:tc>
        <w:tc>
          <w:tcPr>
            <w:tcW w:w="5528" w:type="dxa"/>
          </w:tcPr>
          <w:p w14:paraId="74BB0E27" w14:textId="77777777" w:rsidR="00B6494C" w:rsidRDefault="00774533">
            <w:pPr>
              <w:contextualSpacing w:val="0"/>
            </w:pPr>
            <w:r>
              <w:rPr>
                <w:rFonts w:ascii="Calibri" w:eastAsia="Calibri" w:hAnsi="Calibri" w:cs="Calibri"/>
                <w:b/>
                <w:sz w:val="26"/>
                <w:szCs w:val="26"/>
              </w:rPr>
              <w:t>Focal Points (lead and supporting organizations)</w:t>
            </w:r>
          </w:p>
        </w:tc>
        <w:tc>
          <w:tcPr>
            <w:tcW w:w="3544" w:type="dxa"/>
          </w:tcPr>
          <w:p w14:paraId="471AD485" w14:textId="77777777" w:rsidR="00B6494C" w:rsidRDefault="00774533">
            <w:pPr>
              <w:contextualSpacing w:val="0"/>
            </w:pPr>
            <w:r>
              <w:rPr>
                <w:rFonts w:ascii="Calibri" w:eastAsia="Calibri" w:hAnsi="Calibri" w:cs="Calibri"/>
                <w:b/>
                <w:sz w:val="26"/>
                <w:szCs w:val="26"/>
              </w:rPr>
              <w:t>Timeframe</w:t>
            </w:r>
          </w:p>
        </w:tc>
      </w:tr>
      <w:tr w:rsidR="00B6494C" w14:paraId="73E8BEC0" w14:textId="77777777" w:rsidTr="00AC091A">
        <w:tc>
          <w:tcPr>
            <w:tcW w:w="5050" w:type="dxa"/>
          </w:tcPr>
          <w:p w14:paraId="22F7E3EE" w14:textId="77777777" w:rsidR="00B6494C" w:rsidRPr="00AC091A" w:rsidRDefault="00AC091A" w:rsidP="00AC091A">
            <w:pPr>
              <w:pStyle w:val="ListParagraph"/>
              <w:numPr>
                <w:ilvl w:val="0"/>
                <w:numId w:val="4"/>
              </w:numPr>
              <w:rPr>
                <w:rFonts w:ascii="Calibri" w:eastAsia="Calibri" w:hAnsi="Calibri" w:cs="Calibri"/>
              </w:rPr>
            </w:pPr>
            <w:r w:rsidRPr="00AC091A">
              <w:rPr>
                <w:rFonts w:ascii="Calibri" w:eastAsia="Calibri" w:hAnsi="Calibri" w:cs="Calibri"/>
              </w:rPr>
              <w:t xml:space="preserve">Conduct risk analysis and produce IASC global level early warning – early action products.  </w:t>
            </w:r>
          </w:p>
        </w:tc>
        <w:tc>
          <w:tcPr>
            <w:tcW w:w="5528" w:type="dxa"/>
          </w:tcPr>
          <w:p w14:paraId="1AEFD96F" w14:textId="77777777" w:rsidR="00B6494C" w:rsidRDefault="005900A7" w:rsidP="004B1727">
            <w:pPr>
              <w:contextualSpacing w:val="0"/>
            </w:pPr>
            <w:r w:rsidRPr="002477E7">
              <w:t>WFP</w:t>
            </w:r>
            <w:r w:rsidR="004B1727">
              <w:t xml:space="preserve"> +</w:t>
            </w:r>
            <w:r w:rsidRPr="002477E7">
              <w:t>UNICEF/FAO</w:t>
            </w:r>
            <w:r>
              <w:t>/UNDP</w:t>
            </w:r>
          </w:p>
        </w:tc>
        <w:tc>
          <w:tcPr>
            <w:tcW w:w="3544" w:type="dxa"/>
          </w:tcPr>
          <w:p w14:paraId="7E754519" w14:textId="77777777" w:rsidR="00B6494C" w:rsidRDefault="004B1727">
            <w:pPr>
              <w:contextualSpacing w:val="0"/>
            </w:pPr>
            <w:r>
              <w:t>Twice a year</w:t>
            </w:r>
          </w:p>
        </w:tc>
      </w:tr>
      <w:tr w:rsidR="00B6494C" w14:paraId="5561970B" w14:textId="77777777" w:rsidTr="00AC091A">
        <w:tc>
          <w:tcPr>
            <w:tcW w:w="5050" w:type="dxa"/>
          </w:tcPr>
          <w:p w14:paraId="42EAB087" w14:textId="55621458" w:rsidR="00B6494C" w:rsidRPr="00AC091A" w:rsidRDefault="001801B3" w:rsidP="001E5C16">
            <w:pPr>
              <w:pStyle w:val="ListParagraph"/>
              <w:numPr>
                <w:ilvl w:val="0"/>
                <w:numId w:val="4"/>
              </w:numPr>
              <w:rPr>
                <w:rFonts w:ascii="Calibri" w:eastAsia="Calibri" w:hAnsi="Calibri" w:cs="Calibri"/>
              </w:rPr>
            </w:pPr>
            <w:r>
              <w:t>Develop effective linkages with non-humanitarian risk analysis entities, including entities highlighted in WHS as well as EOSG.</w:t>
            </w:r>
          </w:p>
        </w:tc>
        <w:tc>
          <w:tcPr>
            <w:tcW w:w="5528" w:type="dxa"/>
          </w:tcPr>
          <w:p w14:paraId="408310B9" w14:textId="2EB346D7" w:rsidR="00B6494C" w:rsidRDefault="001801B3">
            <w:pPr>
              <w:contextualSpacing w:val="0"/>
            </w:pPr>
            <w:bookmarkStart w:id="1" w:name="_GoBack"/>
            <w:r w:rsidRPr="009C4B6E">
              <w:rPr>
                <w:color w:val="auto"/>
              </w:rPr>
              <w:t xml:space="preserve">Co-Chairs, </w:t>
            </w:r>
            <w:bookmarkEnd w:id="1"/>
            <w:r w:rsidRPr="002477E7">
              <w:t>WFP</w:t>
            </w:r>
            <w:r>
              <w:t xml:space="preserve"> +</w:t>
            </w:r>
            <w:r w:rsidRPr="002477E7">
              <w:t>UNICEF/FAO</w:t>
            </w:r>
            <w:r>
              <w:t>/UNDP</w:t>
            </w:r>
          </w:p>
        </w:tc>
        <w:tc>
          <w:tcPr>
            <w:tcW w:w="3544" w:type="dxa"/>
          </w:tcPr>
          <w:p w14:paraId="7F254F56" w14:textId="77777777" w:rsidR="00B6494C" w:rsidRDefault="00B6494C">
            <w:pPr>
              <w:contextualSpacing w:val="0"/>
            </w:pPr>
          </w:p>
        </w:tc>
      </w:tr>
      <w:tr w:rsidR="00B6494C" w14:paraId="081B0AED" w14:textId="77777777" w:rsidTr="00AC091A">
        <w:tc>
          <w:tcPr>
            <w:tcW w:w="5050" w:type="dxa"/>
          </w:tcPr>
          <w:p w14:paraId="1BEC6421" w14:textId="77777777" w:rsidR="00B6494C" w:rsidRPr="00AC091A" w:rsidRDefault="00AC091A" w:rsidP="00AC091A">
            <w:pPr>
              <w:pStyle w:val="ListParagraph"/>
              <w:numPr>
                <w:ilvl w:val="0"/>
                <w:numId w:val="4"/>
              </w:numPr>
              <w:rPr>
                <w:rFonts w:ascii="Calibri" w:eastAsia="Calibri" w:hAnsi="Calibri" w:cs="Calibri"/>
              </w:rPr>
            </w:pPr>
            <w:r w:rsidRPr="00AC091A">
              <w:rPr>
                <w:rFonts w:ascii="Calibri" w:eastAsia="Calibri" w:hAnsi="Calibri" w:cs="Calibri"/>
              </w:rPr>
              <w:t>Conduct pilots of INFORM regional/sub-national models, tailored to local context and supported by the global INFORM initiative</w:t>
            </w:r>
          </w:p>
        </w:tc>
        <w:tc>
          <w:tcPr>
            <w:tcW w:w="5528" w:type="dxa"/>
          </w:tcPr>
          <w:p w14:paraId="56CA0560" w14:textId="77777777" w:rsidR="00B6494C" w:rsidRDefault="005900A7">
            <w:pPr>
              <w:contextualSpacing w:val="0"/>
            </w:pPr>
            <w:r>
              <w:t>UNOCHA/UNDP + INFORM partners</w:t>
            </w:r>
          </w:p>
        </w:tc>
        <w:tc>
          <w:tcPr>
            <w:tcW w:w="3544" w:type="dxa"/>
          </w:tcPr>
          <w:p w14:paraId="1F3D2758" w14:textId="77777777" w:rsidR="00B6494C" w:rsidRDefault="004B1727" w:rsidP="00287CD8">
            <w:pPr>
              <w:contextualSpacing w:val="0"/>
            </w:pPr>
            <w:r>
              <w:t xml:space="preserve">5 countries by </w:t>
            </w:r>
            <w:r w:rsidR="00287CD8">
              <w:t>mid-2018</w:t>
            </w:r>
          </w:p>
        </w:tc>
      </w:tr>
      <w:tr w:rsidR="00B6494C" w14:paraId="6EDD9D85" w14:textId="77777777" w:rsidTr="00AC091A">
        <w:tc>
          <w:tcPr>
            <w:tcW w:w="14122" w:type="dxa"/>
            <w:gridSpan w:val="3"/>
          </w:tcPr>
          <w:p w14:paraId="107EE32B" w14:textId="77777777" w:rsidR="00B6494C" w:rsidRDefault="00774533" w:rsidP="004B1727">
            <w:pPr>
              <w:contextualSpacing w:val="0"/>
            </w:pPr>
            <w:r>
              <w:rPr>
                <w:rFonts w:ascii="Calibri" w:eastAsia="Calibri" w:hAnsi="Calibri" w:cs="Calibri"/>
                <w:b/>
                <w:sz w:val="28"/>
                <w:szCs w:val="28"/>
              </w:rPr>
              <w:t xml:space="preserve">Output </w:t>
            </w:r>
            <w:r w:rsidR="004B1727">
              <w:rPr>
                <w:rFonts w:ascii="Calibri" w:eastAsia="Calibri" w:hAnsi="Calibri" w:cs="Calibri"/>
                <w:b/>
                <w:sz w:val="28"/>
                <w:szCs w:val="28"/>
              </w:rPr>
              <w:t>2. Better preparedness to respond developed</w:t>
            </w:r>
          </w:p>
        </w:tc>
      </w:tr>
      <w:tr w:rsidR="00B6494C" w14:paraId="20E53403" w14:textId="77777777" w:rsidTr="00AC091A">
        <w:tc>
          <w:tcPr>
            <w:tcW w:w="5050" w:type="dxa"/>
          </w:tcPr>
          <w:p w14:paraId="46F0DA4C" w14:textId="77777777" w:rsidR="00B6494C" w:rsidRDefault="00774533">
            <w:pPr>
              <w:contextualSpacing w:val="0"/>
            </w:pPr>
            <w:r>
              <w:rPr>
                <w:rFonts w:ascii="Calibri" w:eastAsia="Calibri" w:hAnsi="Calibri" w:cs="Calibri"/>
                <w:b/>
                <w:sz w:val="26"/>
                <w:szCs w:val="26"/>
              </w:rPr>
              <w:lastRenderedPageBreak/>
              <w:t>Activities</w:t>
            </w:r>
          </w:p>
        </w:tc>
        <w:tc>
          <w:tcPr>
            <w:tcW w:w="5528" w:type="dxa"/>
          </w:tcPr>
          <w:p w14:paraId="20F36D81" w14:textId="77777777" w:rsidR="00B6494C" w:rsidRDefault="00774533">
            <w:pPr>
              <w:contextualSpacing w:val="0"/>
            </w:pPr>
            <w:r>
              <w:rPr>
                <w:rFonts w:ascii="Calibri" w:eastAsia="Calibri" w:hAnsi="Calibri" w:cs="Calibri"/>
                <w:b/>
                <w:sz w:val="26"/>
                <w:szCs w:val="26"/>
              </w:rPr>
              <w:t>Focal Points (lead and supporting organizations)</w:t>
            </w:r>
          </w:p>
        </w:tc>
        <w:tc>
          <w:tcPr>
            <w:tcW w:w="3544" w:type="dxa"/>
          </w:tcPr>
          <w:p w14:paraId="35BCA3D0" w14:textId="77777777" w:rsidR="00B6494C" w:rsidRDefault="00774533">
            <w:pPr>
              <w:contextualSpacing w:val="0"/>
            </w:pPr>
            <w:r>
              <w:rPr>
                <w:rFonts w:ascii="Calibri" w:eastAsia="Calibri" w:hAnsi="Calibri" w:cs="Calibri"/>
                <w:b/>
                <w:sz w:val="26"/>
                <w:szCs w:val="26"/>
              </w:rPr>
              <w:t>Timeframe</w:t>
            </w:r>
          </w:p>
        </w:tc>
      </w:tr>
      <w:tr w:rsidR="00B6494C" w14:paraId="38C9D676" w14:textId="77777777" w:rsidTr="00AC091A">
        <w:tc>
          <w:tcPr>
            <w:tcW w:w="5050" w:type="dxa"/>
          </w:tcPr>
          <w:p w14:paraId="14091B94" w14:textId="77777777" w:rsidR="00B6494C" w:rsidRPr="0026302E" w:rsidRDefault="0026302E" w:rsidP="0026302E">
            <w:pPr>
              <w:pStyle w:val="ListParagraph"/>
              <w:numPr>
                <w:ilvl w:val="0"/>
                <w:numId w:val="3"/>
              </w:numPr>
              <w:ind w:left="399" w:hanging="399"/>
              <w:rPr>
                <w:rFonts w:ascii="Calibri" w:eastAsia="Calibri" w:hAnsi="Calibri" w:cs="Calibri"/>
              </w:rPr>
            </w:pPr>
            <w:r w:rsidRPr="0026302E">
              <w:rPr>
                <w:rFonts w:ascii="Calibri" w:eastAsia="Calibri" w:hAnsi="Calibri" w:cs="Calibri"/>
              </w:rPr>
              <w:t xml:space="preserve">Promote, support and monitor the ongoing implementation of the IASC Emergency Response Preparedness (ERP) approach. </w:t>
            </w:r>
          </w:p>
        </w:tc>
        <w:tc>
          <w:tcPr>
            <w:tcW w:w="5528" w:type="dxa"/>
          </w:tcPr>
          <w:p w14:paraId="3C73B0FE" w14:textId="77777777" w:rsidR="00B6494C" w:rsidRDefault="00260E1D">
            <w:pPr>
              <w:contextualSpacing w:val="0"/>
            </w:pPr>
            <w:r>
              <w:t xml:space="preserve">UNOCHA </w:t>
            </w:r>
            <w:r>
              <w:rPr>
                <w:rFonts w:asciiTheme="majorHAnsi" w:hAnsiTheme="majorHAnsi"/>
              </w:rPr>
              <w:t xml:space="preserve">with WFP, </w:t>
            </w:r>
            <w:r>
              <w:rPr>
                <w:rFonts w:asciiTheme="majorHAnsi" w:hAnsiTheme="majorHAnsi" w:hint="eastAsia"/>
                <w:lang w:eastAsia="ja-JP"/>
              </w:rPr>
              <w:t xml:space="preserve">WHO, </w:t>
            </w:r>
            <w:r>
              <w:rPr>
                <w:rFonts w:asciiTheme="majorHAnsi" w:hAnsiTheme="majorHAnsi"/>
              </w:rPr>
              <w:t>UNICEF and UNHCR</w:t>
            </w:r>
          </w:p>
        </w:tc>
        <w:tc>
          <w:tcPr>
            <w:tcW w:w="3544" w:type="dxa"/>
          </w:tcPr>
          <w:p w14:paraId="3D59CAE7" w14:textId="77777777" w:rsidR="00B6494C" w:rsidRDefault="00287CD8">
            <w:pPr>
              <w:contextualSpacing w:val="0"/>
            </w:pPr>
            <w:r>
              <w:t>End 2017</w:t>
            </w:r>
          </w:p>
        </w:tc>
      </w:tr>
      <w:tr w:rsidR="00B6494C" w14:paraId="59571FD8" w14:textId="77777777" w:rsidTr="00AC091A">
        <w:tc>
          <w:tcPr>
            <w:tcW w:w="5050" w:type="dxa"/>
          </w:tcPr>
          <w:p w14:paraId="32353ED7" w14:textId="2EB17BE6" w:rsidR="00B6494C" w:rsidRPr="0026302E" w:rsidRDefault="0026302E" w:rsidP="009050CA">
            <w:pPr>
              <w:pStyle w:val="ListParagraph"/>
              <w:numPr>
                <w:ilvl w:val="0"/>
                <w:numId w:val="3"/>
              </w:numPr>
              <w:ind w:hanging="360"/>
              <w:rPr>
                <w:rFonts w:ascii="Calibri" w:eastAsia="Calibri" w:hAnsi="Calibri" w:cs="Calibri"/>
              </w:rPr>
            </w:pPr>
            <w:r w:rsidRPr="0026302E">
              <w:rPr>
                <w:rFonts w:ascii="Calibri" w:eastAsia="Calibri" w:hAnsi="Calibri" w:cs="Calibri"/>
              </w:rPr>
              <w:t xml:space="preserve">Adjust the IASC ERP, including adaptation to protracted crises as well as ensuring continuing interoperability with approaches used for refugee </w:t>
            </w:r>
            <w:proofErr w:type="gramStart"/>
            <w:r w:rsidRPr="0026302E">
              <w:rPr>
                <w:rFonts w:ascii="Calibri" w:eastAsia="Calibri" w:hAnsi="Calibri" w:cs="Calibri"/>
              </w:rPr>
              <w:t xml:space="preserve">situations </w:t>
            </w:r>
            <w:r w:rsidR="004B4F5B">
              <w:rPr>
                <w:rFonts w:ascii="Calibri" w:eastAsia="Calibri" w:hAnsi="Calibri" w:cs="Calibri"/>
              </w:rPr>
              <w:t>,</w:t>
            </w:r>
            <w:proofErr w:type="gramEnd"/>
            <w:r w:rsidRPr="0026302E">
              <w:rPr>
                <w:rFonts w:ascii="Calibri" w:eastAsia="Calibri" w:hAnsi="Calibri" w:cs="Calibri"/>
              </w:rPr>
              <w:t xml:space="preserve"> the International Health Regulations</w:t>
            </w:r>
            <w:r w:rsidR="004B4F5B">
              <w:rPr>
                <w:rFonts w:ascii="Calibri" w:eastAsia="Calibri" w:hAnsi="Calibri" w:cs="Calibri"/>
              </w:rPr>
              <w:t xml:space="preserve"> and </w:t>
            </w:r>
            <w:r w:rsidR="009050CA">
              <w:rPr>
                <w:rFonts w:ascii="Calibri" w:eastAsia="Calibri" w:hAnsi="Calibri" w:cs="Calibri"/>
              </w:rPr>
              <w:t>UNISDR-managed efforts to develop early warning and preparedness norms</w:t>
            </w:r>
            <w:r w:rsidRPr="0026302E">
              <w:rPr>
                <w:rFonts w:ascii="Calibri" w:eastAsia="Calibri" w:hAnsi="Calibri" w:cs="Calibri"/>
              </w:rPr>
              <w:t xml:space="preserve">.  </w:t>
            </w:r>
          </w:p>
        </w:tc>
        <w:tc>
          <w:tcPr>
            <w:tcW w:w="5528" w:type="dxa"/>
          </w:tcPr>
          <w:p w14:paraId="3FB88D01" w14:textId="77777777" w:rsidR="00B6494C" w:rsidRDefault="00904718">
            <w:pPr>
              <w:contextualSpacing w:val="0"/>
            </w:pPr>
            <w:r>
              <w:t xml:space="preserve">UNOCHA </w:t>
            </w:r>
            <w:r>
              <w:rPr>
                <w:rFonts w:asciiTheme="majorHAnsi" w:hAnsiTheme="majorHAnsi"/>
              </w:rPr>
              <w:t xml:space="preserve">with WFP, </w:t>
            </w:r>
            <w:r>
              <w:rPr>
                <w:rFonts w:asciiTheme="majorHAnsi" w:hAnsiTheme="majorHAnsi" w:hint="eastAsia"/>
                <w:lang w:eastAsia="ja-JP"/>
              </w:rPr>
              <w:t xml:space="preserve">WHO, </w:t>
            </w:r>
            <w:r>
              <w:rPr>
                <w:rFonts w:asciiTheme="majorHAnsi" w:hAnsiTheme="majorHAnsi"/>
              </w:rPr>
              <w:t>UNICEF and UNHCR</w:t>
            </w:r>
          </w:p>
        </w:tc>
        <w:tc>
          <w:tcPr>
            <w:tcW w:w="3544" w:type="dxa"/>
          </w:tcPr>
          <w:p w14:paraId="26064378" w14:textId="77777777" w:rsidR="00B6494C" w:rsidRDefault="00287CD8">
            <w:pPr>
              <w:contextualSpacing w:val="0"/>
            </w:pPr>
            <w:r>
              <w:t>End 2017</w:t>
            </w:r>
          </w:p>
        </w:tc>
      </w:tr>
      <w:tr w:rsidR="009050CA" w14:paraId="7735C832" w14:textId="77777777" w:rsidTr="00AC091A">
        <w:tc>
          <w:tcPr>
            <w:tcW w:w="5050" w:type="dxa"/>
          </w:tcPr>
          <w:p w14:paraId="7E6D85B8" w14:textId="77777777" w:rsidR="009050CA" w:rsidRPr="0026302E" w:rsidRDefault="009050CA" w:rsidP="009050CA">
            <w:pPr>
              <w:pStyle w:val="ListParagraph"/>
              <w:numPr>
                <w:ilvl w:val="0"/>
                <w:numId w:val="3"/>
              </w:numPr>
              <w:ind w:hanging="360"/>
              <w:rPr>
                <w:rFonts w:ascii="Calibri" w:eastAsia="Calibri" w:hAnsi="Calibri" w:cs="Calibri"/>
              </w:rPr>
            </w:pPr>
            <w:r>
              <w:rPr>
                <w:rFonts w:ascii="Calibri" w:eastAsia="Calibri" w:hAnsi="Calibri" w:cs="Calibri"/>
              </w:rPr>
              <w:t>Develop interagency guidance on preparedness action related to cash-based transfers</w:t>
            </w:r>
          </w:p>
        </w:tc>
        <w:tc>
          <w:tcPr>
            <w:tcW w:w="5528" w:type="dxa"/>
          </w:tcPr>
          <w:p w14:paraId="4AAFE565" w14:textId="77777777" w:rsidR="009050CA" w:rsidRDefault="009050CA" w:rsidP="009050CA">
            <w:r>
              <w:t>WFP with ?</w:t>
            </w:r>
          </w:p>
        </w:tc>
        <w:tc>
          <w:tcPr>
            <w:tcW w:w="3544" w:type="dxa"/>
          </w:tcPr>
          <w:p w14:paraId="59002FC7" w14:textId="77777777" w:rsidR="009050CA" w:rsidRDefault="009050CA"/>
        </w:tc>
      </w:tr>
      <w:tr w:rsidR="00B6494C" w14:paraId="48A83CFF" w14:textId="77777777" w:rsidTr="00AC091A">
        <w:tc>
          <w:tcPr>
            <w:tcW w:w="5050" w:type="dxa"/>
          </w:tcPr>
          <w:p w14:paraId="654E1D5F" w14:textId="77777777" w:rsidR="00B6494C" w:rsidRPr="0026302E" w:rsidRDefault="0026302E" w:rsidP="0026302E">
            <w:pPr>
              <w:pStyle w:val="ListParagraph"/>
              <w:numPr>
                <w:ilvl w:val="0"/>
                <w:numId w:val="3"/>
              </w:numPr>
              <w:ind w:hanging="387"/>
              <w:rPr>
                <w:rFonts w:ascii="Calibri" w:eastAsia="Calibri" w:hAnsi="Calibri" w:cs="Calibri"/>
              </w:rPr>
            </w:pPr>
            <w:r w:rsidRPr="0026302E">
              <w:rPr>
                <w:rFonts w:ascii="Calibri" w:eastAsia="Calibri" w:hAnsi="Calibri" w:cs="Calibri"/>
              </w:rPr>
              <w:t xml:space="preserve">Promote, support and monitor the ongoing implementation of the IASC Common Framework on Preparedness.  </w:t>
            </w:r>
          </w:p>
        </w:tc>
        <w:tc>
          <w:tcPr>
            <w:tcW w:w="5528" w:type="dxa"/>
          </w:tcPr>
          <w:p w14:paraId="00C9C56B" w14:textId="77777777" w:rsidR="00B6494C" w:rsidRDefault="00904718" w:rsidP="00904718">
            <w:r w:rsidRPr="00904718">
              <w:t>WFP and UNICEF with UNDP, OCHA, FAO, WHO, GFDRR, IFRC, and other NGOs (TBD)</w:t>
            </w:r>
          </w:p>
        </w:tc>
        <w:tc>
          <w:tcPr>
            <w:tcW w:w="3544" w:type="dxa"/>
          </w:tcPr>
          <w:p w14:paraId="57A74FAB" w14:textId="77777777" w:rsidR="00B6494C" w:rsidRDefault="00287CD8">
            <w:pPr>
              <w:contextualSpacing w:val="0"/>
            </w:pPr>
            <w:r>
              <w:t>End 2017</w:t>
            </w:r>
          </w:p>
        </w:tc>
      </w:tr>
      <w:tr w:rsidR="00FE5557" w14:paraId="22E2E22F" w14:textId="77777777" w:rsidTr="009C4B6E">
        <w:trPr>
          <w:trHeight w:val="1171"/>
        </w:trPr>
        <w:tc>
          <w:tcPr>
            <w:tcW w:w="5050" w:type="dxa"/>
          </w:tcPr>
          <w:p w14:paraId="7938DAD3" w14:textId="69EAFF91" w:rsidR="00FE5557" w:rsidRDefault="00FE5557" w:rsidP="009050CA">
            <w:pPr>
              <w:pStyle w:val="ListParagraph"/>
              <w:numPr>
                <w:ilvl w:val="0"/>
                <w:numId w:val="3"/>
              </w:numPr>
              <w:ind w:hanging="387"/>
            </w:pPr>
            <w:r>
              <w:t>Promote and monitor the implementation of the Global Preparedness Partnership</w:t>
            </w:r>
            <w:r w:rsidR="00904718">
              <w:t xml:space="preserve">, which </w:t>
            </w:r>
            <w:r w:rsidR="009050CA">
              <w:t>uses</w:t>
            </w:r>
            <w:r w:rsidR="00904718">
              <w:t xml:space="preserve"> </w:t>
            </w:r>
            <w:r w:rsidR="009050CA">
              <w:t xml:space="preserve">approach contained in </w:t>
            </w:r>
            <w:r w:rsidR="00904718">
              <w:t>the CFP</w:t>
            </w:r>
          </w:p>
        </w:tc>
        <w:tc>
          <w:tcPr>
            <w:tcW w:w="5528" w:type="dxa"/>
          </w:tcPr>
          <w:p w14:paraId="152FC8D7" w14:textId="77777777" w:rsidR="00FE5557" w:rsidRDefault="00260E1D">
            <w:r>
              <w:t>FAO, WFP, UNOCHA, UNDP</w:t>
            </w:r>
          </w:p>
        </w:tc>
        <w:tc>
          <w:tcPr>
            <w:tcW w:w="3544" w:type="dxa"/>
          </w:tcPr>
          <w:p w14:paraId="6538A111" w14:textId="77777777" w:rsidR="00287CD8" w:rsidRDefault="00287CD8">
            <w:r>
              <w:t>Concept Note launched at WHS in May 2016</w:t>
            </w:r>
          </w:p>
          <w:p w14:paraId="4887F586" w14:textId="77777777" w:rsidR="00FE5557" w:rsidRDefault="00287CD8">
            <w:r>
              <w:t>Proposal to be developed in 3</w:t>
            </w:r>
            <w:r w:rsidRPr="00287CD8">
              <w:rPr>
                <w:vertAlign w:val="superscript"/>
              </w:rPr>
              <w:t>rd</w:t>
            </w:r>
            <w:r>
              <w:t xml:space="preserve"> Quarter 2016</w:t>
            </w:r>
          </w:p>
        </w:tc>
      </w:tr>
      <w:tr w:rsidR="009050CA" w14:paraId="79457D77" w14:textId="77777777" w:rsidTr="00AC091A">
        <w:tc>
          <w:tcPr>
            <w:tcW w:w="5050" w:type="dxa"/>
          </w:tcPr>
          <w:p w14:paraId="750BEA01" w14:textId="77777777" w:rsidR="009050CA" w:rsidRDefault="009050CA" w:rsidP="009050CA">
            <w:pPr>
              <w:pStyle w:val="ListParagraph"/>
              <w:numPr>
                <w:ilvl w:val="0"/>
                <w:numId w:val="3"/>
              </w:numPr>
              <w:ind w:hanging="387"/>
            </w:pPr>
            <w:r>
              <w:t>Develop the ALERT early warning and preparedness support tool</w:t>
            </w:r>
          </w:p>
        </w:tc>
        <w:tc>
          <w:tcPr>
            <w:tcW w:w="5528" w:type="dxa"/>
          </w:tcPr>
          <w:p w14:paraId="651D2CC2" w14:textId="77777777" w:rsidR="009050CA" w:rsidRDefault="009050CA">
            <w:proofErr w:type="spellStart"/>
            <w:r>
              <w:t>HelpAge</w:t>
            </w:r>
            <w:proofErr w:type="spellEnd"/>
            <w:r>
              <w:t xml:space="preserve"> International </w:t>
            </w:r>
          </w:p>
        </w:tc>
        <w:tc>
          <w:tcPr>
            <w:tcW w:w="3544" w:type="dxa"/>
          </w:tcPr>
          <w:p w14:paraId="2B4B0D2F" w14:textId="77777777" w:rsidR="009050CA" w:rsidRDefault="009050CA">
            <w:r>
              <w:t>End 2017 with design workshop Oct 2016</w:t>
            </w:r>
          </w:p>
        </w:tc>
      </w:tr>
      <w:tr w:rsidR="00B6494C" w14:paraId="51903104" w14:textId="77777777" w:rsidTr="00AC091A">
        <w:tc>
          <w:tcPr>
            <w:tcW w:w="14122" w:type="dxa"/>
            <w:gridSpan w:val="3"/>
          </w:tcPr>
          <w:p w14:paraId="79EB43AD" w14:textId="77777777" w:rsidR="00B6494C" w:rsidRDefault="00774533" w:rsidP="0026302E">
            <w:pPr>
              <w:contextualSpacing w:val="0"/>
            </w:pPr>
            <w:r>
              <w:rPr>
                <w:rFonts w:ascii="Calibri" w:eastAsia="Calibri" w:hAnsi="Calibri" w:cs="Calibri"/>
                <w:b/>
                <w:sz w:val="28"/>
                <w:szCs w:val="28"/>
              </w:rPr>
              <w:t>Output #:</w:t>
            </w:r>
            <w:r w:rsidR="0026302E">
              <w:rPr>
                <w:rFonts w:ascii="Calibri" w:eastAsia="Calibri" w:hAnsi="Calibri" w:cs="Calibri"/>
                <w:b/>
                <w:sz w:val="28"/>
                <w:szCs w:val="28"/>
              </w:rPr>
              <w:t xml:space="preserve"> </w:t>
            </w:r>
            <w:r w:rsidR="0026302E" w:rsidRPr="0026302E">
              <w:rPr>
                <w:rFonts w:ascii="Calibri" w:eastAsia="Calibri" w:hAnsi="Calibri" w:cs="Calibri"/>
                <w:b/>
                <w:sz w:val="28"/>
                <w:szCs w:val="28"/>
              </w:rPr>
              <w:t>Advocacy and advice on the importance of consideration of risk, early warning, and preparedness, including through inclusion in discussions and outcomes of relevant global processes and support to the design and implementation of platforms that link risk with readiness and financing.</w:t>
            </w:r>
          </w:p>
        </w:tc>
      </w:tr>
      <w:tr w:rsidR="00B6494C" w14:paraId="7253B8DC" w14:textId="77777777" w:rsidTr="00AC091A">
        <w:tc>
          <w:tcPr>
            <w:tcW w:w="5050" w:type="dxa"/>
          </w:tcPr>
          <w:p w14:paraId="23B55952" w14:textId="77777777" w:rsidR="00B6494C" w:rsidRDefault="00774533">
            <w:pPr>
              <w:contextualSpacing w:val="0"/>
            </w:pPr>
            <w:r>
              <w:rPr>
                <w:rFonts w:ascii="Calibri" w:eastAsia="Calibri" w:hAnsi="Calibri" w:cs="Calibri"/>
                <w:b/>
                <w:sz w:val="26"/>
                <w:szCs w:val="26"/>
              </w:rPr>
              <w:t>Activities</w:t>
            </w:r>
          </w:p>
        </w:tc>
        <w:tc>
          <w:tcPr>
            <w:tcW w:w="5528" w:type="dxa"/>
          </w:tcPr>
          <w:p w14:paraId="7F3063B8" w14:textId="77777777" w:rsidR="00B6494C" w:rsidRDefault="00774533">
            <w:pPr>
              <w:contextualSpacing w:val="0"/>
            </w:pPr>
            <w:r>
              <w:rPr>
                <w:rFonts w:ascii="Calibri" w:eastAsia="Calibri" w:hAnsi="Calibri" w:cs="Calibri"/>
                <w:b/>
                <w:sz w:val="26"/>
                <w:szCs w:val="26"/>
              </w:rPr>
              <w:t>Focal Points (lead and supporting organizations)</w:t>
            </w:r>
          </w:p>
        </w:tc>
        <w:tc>
          <w:tcPr>
            <w:tcW w:w="3544" w:type="dxa"/>
          </w:tcPr>
          <w:p w14:paraId="7E6E8E3D" w14:textId="77777777" w:rsidR="00B6494C" w:rsidRDefault="00774533">
            <w:pPr>
              <w:contextualSpacing w:val="0"/>
            </w:pPr>
            <w:r>
              <w:rPr>
                <w:rFonts w:ascii="Calibri" w:eastAsia="Calibri" w:hAnsi="Calibri" w:cs="Calibri"/>
                <w:b/>
                <w:sz w:val="26"/>
                <w:szCs w:val="26"/>
              </w:rPr>
              <w:t>Timeframe</w:t>
            </w:r>
          </w:p>
        </w:tc>
      </w:tr>
      <w:tr w:rsidR="00B6494C" w14:paraId="45CCC656" w14:textId="77777777" w:rsidTr="00AC091A">
        <w:tc>
          <w:tcPr>
            <w:tcW w:w="5050" w:type="dxa"/>
          </w:tcPr>
          <w:p w14:paraId="10E7D61F" w14:textId="77777777" w:rsidR="00B6494C" w:rsidRPr="0026302E" w:rsidRDefault="0026302E" w:rsidP="0026302E">
            <w:pPr>
              <w:pStyle w:val="ListParagraph"/>
              <w:numPr>
                <w:ilvl w:val="0"/>
                <w:numId w:val="1"/>
              </w:numPr>
              <w:ind w:hanging="360"/>
              <w:rPr>
                <w:rFonts w:ascii="Calibri" w:eastAsia="Calibri" w:hAnsi="Calibri" w:cs="Calibri"/>
              </w:rPr>
            </w:pPr>
            <w:r w:rsidRPr="0026302E">
              <w:rPr>
                <w:rFonts w:ascii="Calibri" w:eastAsia="Calibri" w:hAnsi="Calibri" w:cs="Calibri"/>
              </w:rPr>
              <w:lastRenderedPageBreak/>
              <w:t>Promote and support innovative solutions to financing risk analysis, early warning and preparedness</w:t>
            </w:r>
          </w:p>
        </w:tc>
        <w:tc>
          <w:tcPr>
            <w:tcW w:w="5528" w:type="dxa"/>
          </w:tcPr>
          <w:p w14:paraId="290E2307" w14:textId="77777777" w:rsidR="00B6494C" w:rsidRDefault="00B6494C">
            <w:pPr>
              <w:contextualSpacing w:val="0"/>
            </w:pPr>
          </w:p>
        </w:tc>
        <w:tc>
          <w:tcPr>
            <w:tcW w:w="3544" w:type="dxa"/>
          </w:tcPr>
          <w:p w14:paraId="1E628D20" w14:textId="77777777" w:rsidR="00B6494C" w:rsidRDefault="00B6494C">
            <w:pPr>
              <w:contextualSpacing w:val="0"/>
            </w:pPr>
          </w:p>
        </w:tc>
      </w:tr>
      <w:tr w:rsidR="00B6494C" w14:paraId="6628EA2E" w14:textId="77777777" w:rsidTr="00AC091A">
        <w:tc>
          <w:tcPr>
            <w:tcW w:w="5050" w:type="dxa"/>
          </w:tcPr>
          <w:p w14:paraId="5BE1B68B" w14:textId="77777777" w:rsidR="00B6494C" w:rsidRPr="0026302E" w:rsidRDefault="0026302E" w:rsidP="0026302E">
            <w:pPr>
              <w:pStyle w:val="ListParagraph"/>
              <w:numPr>
                <w:ilvl w:val="0"/>
                <w:numId w:val="1"/>
              </w:numPr>
              <w:ind w:hanging="360"/>
              <w:rPr>
                <w:rFonts w:ascii="Calibri" w:eastAsia="Calibri" w:hAnsi="Calibri" w:cs="Calibri"/>
              </w:rPr>
            </w:pPr>
            <w:r w:rsidRPr="0026302E">
              <w:rPr>
                <w:rFonts w:ascii="Calibri" w:eastAsia="Calibri" w:hAnsi="Calibri" w:cs="Calibri"/>
              </w:rPr>
              <w:t>Provide inputs as required to other IASC bodies</w:t>
            </w:r>
          </w:p>
        </w:tc>
        <w:tc>
          <w:tcPr>
            <w:tcW w:w="5528" w:type="dxa"/>
          </w:tcPr>
          <w:p w14:paraId="7D24E283" w14:textId="77777777" w:rsidR="00B6494C" w:rsidRDefault="00FE5557">
            <w:pPr>
              <w:contextualSpacing w:val="0"/>
            </w:pPr>
            <w:r>
              <w:t>Co-Chairs</w:t>
            </w:r>
          </w:p>
        </w:tc>
        <w:tc>
          <w:tcPr>
            <w:tcW w:w="3544" w:type="dxa"/>
          </w:tcPr>
          <w:p w14:paraId="0B12AAA3" w14:textId="77777777" w:rsidR="00B6494C" w:rsidRDefault="00FE5557">
            <w:pPr>
              <w:contextualSpacing w:val="0"/>
            </w:pPr>
            <w:r>
              <w:t>Continuous, as required</w:t>
            </w:r>
          </w:p>
        </w:tc>
      </w:tr>
      <w:tr w:rsidR="00B6494C" w14:paraId="585EB91A" w14:textId="77777777" w:rsidTr="00AC091A">
        <w:tc>
          <w:tcPr>
            <w:tcW w:w="5050" w:type="dxa"/>
          </w:tcPr>
          <w:p w14:paraId="4AACE50A" w14:textId="77777777" w:rsidR="00B6494C" w:rsidRPr="0026302E" w:rsidRDefault="0026302E" w:rsidP="0026302E">
            <w:pPr>
              <w:pStyle w:val="ListParagraph"/>
              <w:numPr>
                <w:ilvl w:val="0"/>
                <w:numId w:val="1"/>
              </w:numPr>
              <w:ind w:hanging="360"/>
              <w:rPr>
                <w:rFonts w:ascii="Calibri" w:eastAsia="Calibri" w:hAnsi="Calibri" w:cs="Calibri"/>
              </w:rPr>
            </w:pPr>
            <w:r w:rsidRPr="0026302E">
              <w:rPr>
                <w:rFonts w:ascii="Calibri" w:eastAsia="Calibri" w:hAnsi="Calibri" w:cs="Calibri"/>
              </w:rPr>
              <w:t>Act as a Community of Practice in relation to Risk, Early Warning and Preparedness</w:t>
            </w:r>
          </w:p>
        </w:tc>
        <w:tc>
          <w:tcPr>
            <w:tcW w:w="5528" w:type="dxa"/>
          </w:tcPr>
          <w:p w14:paraId="65DB93E9" w14:textId="77777777" w:rsidR="00B6494C" w:rsidRDefault="0026302E">
            <w:pPr>
              <w:contextualSpacing w:val="0"/>
            </w:pPr>
            <w:r>
              <w:t>Co-Chairs + all agencies</w:t>
            </w:r>
          </w:p>
        </w:tc>
        <w:tc>
          <w:tcPr>
            <w:tcW w:w="3544" w:type="dxa"/>
          </w:tcPr>
          <w:p w14:paraId="33C64556" w14:textId="77777777" w:rsidR="00B6494C" w:rsidRDefault="00FE5557">
            <w:pPr>
              <w:contextualSpacing w:val="0"/>
            </w:pPr>
            <w:r>
              <w:t>Continuous</w:t>
            </w:r>
          </w:p>
        </w:tc>
      </w:tr>
      <w:tr w:rsidR="00260E1D" w14:paraId="17F5422B" w14:textId="77777777" w:rsidTr="00AC091A">
        <w:tc>
          <w:tcPr>
            <w:tcW w:w="5050" w:type="dxa"/>
          </w:tcPr>
          <w:p w14:paraId="44EFF183" w14:textId="77777777" w:rsidR="00260E1D" w:rsidRPr="0026302E" w:rsidRDefault="00260E1D" w:rsidP="009C1C71">
            <w:pPr>
              <w:pStyle w:val="ListParagraph"/>
              <w:numPr>
                <w:ilvl w:val="0"/>
                <w:numId w:val="1"/>
              </w:numPr>
              <w:ind w:hanging="360"/>
              <w:rPr>
                <w:rFonts w:ascii="Calibri" w:eastAsia="Calibri" w:hAnsi="Calibri" w:cs="Calibri"/>
              </w:rPr>
            </w:pPr>
            <w:r>
              <w:rPr>
                <w:rFonts w:ascii="Calibri" w:eastAsia="Calibri" w:hAnsi="Calibri" w:cs="Calibri"/>
              </w:rPr>
              <w:t xml:space="preserve">Develop linkages and, where appropriate, synergies with a number of related actors and initiatives </w:t>
            </w:r>
          </w:p>
        </w:tc>
        <w:tc>
          <w:tcPr>
            <w:tcW w:w="5528" w:type="dxa"/>
          </w:tcPr>
          <w:p w14:paraId="44110AFA" w14:textId="77777777" w:rsidR="00EA081A" w:rsidRDefault="00EA081A">
            <w:pPr>
              <w:rPr>
                <w:rFonts w:ascii="Calibri" w:eastAsia="Calibri" w:hAnsi="Calibri" w:cs="Calibri"/>
              </w:rPr>
            </w:pPr>
            <w:r>
              <w:rPr>
                <w:rFonts w:ascii="Calibri" w:eastAsia="Calibri" w:hAnsi="Calibri" w:cs="Calibri"/>
              </w:rPr>
              <w:t>GRP</w:t>
            </w:r>
          </w:p>
          <w:p w14:paraId="5CDEF13C" w14:textId="77777777" w:rsidR="00EA081A" w:rsidRDefault="00EA081A">
            <w:pPr>
              <w:rPr>
                <w:rFonts w:ascii="Calibri" w:eastAsia="Calibri" w:hAnsi="Calibri" w:cs="Calibri"/>
              </w:rPr>
            </w:pPr>
            <w:r>
              <w:rPr>
                <w:rFonts w:ascii="Calibri" w:eastAsia="Calibri" w:hAnsi="Calibri" w:cs="Calibri"/>
              </w:rPr>
              <w:t>A2R: FAO</w:t>
            </w:r>
          </w:p>
          <w:p w14:paraId="6FD97185" w14:textId="77777777" w:rsidR="00EA081A" w:rsidRDefault="00EA081A">
            <w:pPr>
              <w:rPr>
                <w:rFonts w:ascii="Calibri" w:eastAsia="Calibri" w:hAnsi="Calibri" w:cs="Calibri"/>
              </w:rPr>
            </w:pPr>
            <w:r>
              <w:rPr>
                <w:rFonts w:ascii="Calibri" w:eastAsia="Calibri" w:hAnsi="Calibri" w:cs="Calibri"/>
              </w:rPr>
              <w:t>CREWS: GFDRR</w:t>
            </w:r>
          </w:p>
          <w:p w14:paraId="03E4FCA6" w14:textId="77777777" w:rsidR="00EA081A" w:rsidRDefault="00EA081A">
            <w:pPr>
              <w:rPr>
                <w:rFonts w:ascii="Calibri" w:eastAsia="Calibri" w:hAnsi="Calibri" w:cs="Calibri"/>
              </w:rPr>
            </w:pPr>
            <w:r>
              <w:rPr>
                <w:rFonts w:ascii="Calibri" w:eastAsia="Calibri" w:hAnsi="Calibri" w:cs="Calibri"/>
              </w:rPr>
              <w:t>IN-MHEWS</w:t>
            </w:r>
          </w:p>
          <w:p w14:paraId="02BD0D34" w14:textId="77777777" w:rsidR="00EA081A" w:rsidRPr="009C4B6E" w:rsidRDefault="00EA081A">
            <w:pPr>
              <w:rPr>
                <w:rFonts w:ascii="Calibri" w:eastAsia="Calibri" w:hAnsi="Calibri" w:cs="Calibri"/>
                <w:lang w:val="fr-FR"/>
              </w:rPr>
            </w:pPr>
            <w:r w:rsidRPr="009C4B6E">
              <w:rPr>
                <w:rFonts w:ascii="Calibri" w:eastAsia="Calibri" w:hAnsi="Calibri" w:cs="Calibri"/>
                <w:lang w:val="fr-FR"/>
              </w:rPr>
              <w:t>CADRI: UNDP/FAO</w:t>
            </w:r>
          </w:p>
          <w:p w14:paraId="29B02D67" w14:textId="77777777" w:rsidR="00EA081A" w:rsidRPr="009C4B6E" w:rsidRDefault="00EA081A">
            <w:pPr>
              <w:rPr>
                <w:rFonts w:ascii="Calibri" w:eastAsia="Calibri" w:hAnsi="Calibri" w:cs="Calibri"/>
                <w:lang w:val="fr-FR"/>
              </w:rPr>
            </w:pPr>
            <w:r w:rsidRPr="009C4B6E">
              <w:rPr>
                <w:rFonts w:ascii="Calibri" w:eastAsia="Calibri" w:hAnsi="Calibri" w:cs="Calibri"/>
                <w:lang w:val="fr-FR"/>
              </w:rPr>
              <w:t>UNDAC: UNOCHA</w:t>
            </w:r>
          </w:p>
          <w:p w14:paraId="66CA9405" w14:textId="77777777" w:rsidR="00EA081A" w:rsidRPr="009C4B6E" w:rsidRDefault="00EA081A">
            <w:pPr>
              <w:rPr>
                <w:rFonts w:ascii="Calibri" w:eastAsia="Calibri" w:hAnsi="Calibri" w:cs="Calibri"/>
                <w:lang w:val="fr-FR"/>
              </w:rPr>
            </w:pPr>
            <w:r w:rsidRPr="009C4B6E">
              <w:rPr>
                <w:rFonts w:ascii="Calibri" w:eastAsia="Calibri" w:hAnsi="Calibri" w:cs="Calibri"/>
                <w:lang w:val="fr-FR"/>
              </w:rPr>
              <w:t>INSARAG</w:t>
            </w:r>
          </w:p>
          <w:p w14:paraId="049D7F3A" w14:textId="77777777" w:rsidR="00EA081A" w:rsidRDefault="00EA081A">
            <w:pPr>
              <w:rPr>
                <w:rFonts w:ascii="Calibri" w:eastAsia="Calibri" w:hAnsi="Calibri" w:cs="Calibri"/>
              </w:rPr>
            </w:pPr>
            <w:r>
              <w:rPr>
                <w:rFonts w:ascii="Calibri" w:eastAsia="Calibri" w:hAnsi="Calibri" w:cs="Calibri"/>
              </w:rPr>
              <w:t>TT on Hum/Dev Nexus</w:t>
            </w:r>
          </w:p>
          <w:p w14:paraId="29268DC4" w14:textId="77777777" w:rsidR="00EA081A" w:rsidRDefault="00EA081A">
            <w:pPr>
              <w:rPr>
                <w:rFonts w:ascii="Calibri" w:eastAsia="Calibri" w:hAnsi="Calibri" w:cs="Calibri"/>
              </w:rPr>
            </w:pPr>
            <w:r>
              <w:rPr>
                <w:rFonts w:ascii="Calibri" w:eastAsia="Calibri" w:hAnsi="Calibri" w:cs="Calibri"/>
              </w:rPr>
              <w:t>UN Plan of Action on DRR</w:t>
            </w:r>
          </w:p>
          <w:p w14:paraId="47196CCC" w14:textId="77777777" w:rsidR="00260E1D" w:rsidRPr="009C4B6E" w:rsidRDefault="00EA081A" w:rsidP="00EA081A">
            <w:pPr>
              <w:rPr>
                <w:lang w:val="fr-FR"/>
              </w:rPr>
            </w:pPr>
            <w:r w:rsidRPr="009C4B6E">
              <w:rPr>
                <w:rFonts w:ascii="Calibri" w:eastAsia="Calibri" w:hAnsi="Calibri" w:cs="Calibri"/>
                <w:lang w:val="fr-FR"/>
              </w:rPr>
              <w:t>El-Nino/El-Nina groups</w:t>
            </w:r>
          </w:p>
        </w:tc>
        <w:tc>
          <w:tcPr>
            <w:tcW w:w="3544" w:type="dxa"/>
          </w:tcPr>
          <w:p w14:paraId="356FAAB9" w14:textId="77777777" w:rsidR="00260E1D" w:rsidRDefault="00287CD8">
            <w:r>
              <w:t>Continuous</w:t>
            </w:r>
          </w:p>
        </w:tc>
      </w:tr>
      <w:tr w:rsidR="00260E1D" w14:paraId="08D12BEC" w14:textId="77777777" w:rsidTr="00AC091A">
        <w:tc>
          <w:tcPr>
            <w:tcW w:w="5050" w:type="dxa"/>
          </w:tcPr>
          <w:p w14:paraId="36F81F9F" w14:textId="77777777" w:rsidR="00260E1D" w:rsidRPr="00260E1D" w:rsidRDefault="00260E1D" w:rsidP="00260E1D">
            <w:pPr>
              <w:pStyle w:val="ListParagraph"/>
              <w:numPr>
                <w:ilvl w:val="0"/>
                <w:numId w:val="3"/>
              </w:numPr>
              <w:ind w:hanging="360"/>
              <w:rPr>
                <w:rFonts w:ascii="Calibri" w:eastAsia="Calibri" w:hAnsi="Calibri" w:cs="Calibri"/>
              </w:rPr>
            </w:pPr>
            <w:r w:rsidRPr="00260E1D">
              <w:rPr>
                <w:rFonts w:ascii="Calibri" w:eastAsia="Calibri" w:hAnsi="Calibri" w:cs="Calibri"/>
              </w:rPr>
              <w:t>Engage in global processes to advocate and advise on appropriate inclusion of coherent national and international preparedness and resilience in both inputs to and outputs from these events.</w:t>
            </w:r>
          </w:p>
        </w:tc>
        <w:tc>
          <w:tcPr>
            <w:tcW w:w="5528" w:type="dxa"/>
          </w:tcPr>
          <w:p w14:paraId="67E1F2D9" w14:textId="77777777" w:rsidR="00EA081A" w:rsidRDefault="00EA081A" w:rsidP="00EA081A">
            <w:pPr>
              <w:rPr>
                <w:rFonts w:asciiTheme="majorHAnsi" w:hAnsiTheme="majorHAnsi"/>
                <w:lang w:eastAsia="ja-JP"/>
              </w:rPr>
            </w:pPr>
            <w:r w:rsidRPr="007C36F4">
              <w:rPr>
                <w:rFonts w:asciiTheme="majorHAnsi" w:hAnsiTheme="majorHAnsi"/>
                <w:lang w:eastAsia="ja-JP"/>
              </w:rPr>
              <w:t>Co</w:t>
            </w:r>
            <w:r>
              <w:rPr>
                <w:rFonts w:asciiTheme="majorHAnsi" w:hAnsiTheme="majorHAnsi"/>
                <w:lang w:eastAsia="ja-JP"/>
              </w:rPr>
              <w:t>-</w:t>
            </w:r>
            <w:r w:rsidRPr="007C36F4">
              <w:rPr>
                <w:rFonts w:asciiTheme="majorHAnsi" w:hAnsiTheme="majorHAnsi"/>
                <w:lang w:eastAsia="ja-JP"/>
              </w:rPr>
              <w:t>chairs</w:t>
            </w:r>
            <w:r>
              <w:rPr>
                <w:rFonts w:asciiTheme="majorHAnsi" w:hAnsiTheme="majorHAnsi"/>
                <w:lang w:eastAsia="ja-JP"/>
              </w:rPr>
              <w:t>:</w:t>
            </w:r>
          </w:p>
          <w:p w14:paraId="622E51BC" w14:textId="77777777" w:rsidR="00EA081A" w:rsidRDefault="00EA081A" w:rsidP="00EA081A">
            <w:pPr>
              <w:rPr>
                <w:rFonts w:asciiTheme="majorHAnsi" w:hAnsiTheme="majorHAnsi"/>
                <w:lang w:eastAsia="ja-JP"/>
              </w:rPr>
            </w:pPr>
            <w:r>
              <w:rPr>
                <w:rFonts w:asciiTheme="majorHAnsi" w:hAnsiTheme="majorHAnsi"/>
                <w:lang w:eastAsia="ja-JP"/>
              </w:rPr>
              <w:t xml:space="preserve">WCDRR: </w:t>
            </w:r>
            <w:r w:rsidRPr="007C36F4">
              <w:rPr>
                <w:rFonts w:asciiTheme="majorHAnsi" w:hAnsiTheme="majorHAnsi"/>
                <w:lang w:eastAsia="ja-JP"/>
              </w:rPr>
              <w:t xml:space="preserve"> OCHA, WFP</w:t>
            </w:r>
            <w:r>
              <w:rPr>
                <w:rFonts w:asciiTheme="majorHAnsi" w:hAnsiTheme="majorHAnsi"/>
                <w:lang w:eastAsia="ja-JP"/>
              </w:rPr>
              <w:t xml:space="preserve"> </w:t>
            </w:r>
          </w:p>
          <w:p w14:paraId="26029082" w14:textId="77777777" w:rsidR="00EA081A" w:rsidRPr="007C36F4" w:rsidRDefault="00EA081A" w:rsidP="00EA081A">
            <w:pPr>
              <w:rPr>
                <w:rFonts w:asciiTheme="majorHAnsi" w:hAnsiTheme="majorHAnsi"/>
                <w:lang w:eastAsia="ja-JP"/>
              </w:rPr>
            </w:pPr>
            <w:r>
              <w:rPr>
                <w:rFonts w:asciiTheme="majorHAnsi" w:hAnsiTheme="majorHAnsi"/>
                <w:lang w:eastAsia="ja-JP"/>
              </w:rPr>
              <w:t>SDG:  UNDP</w:t>
            </w:r>
          </w:p>
          <w:p w14:paraId="4B6EA4B1" w14:textId="77777777" w:rsidR="00EA081A" w:rsidRPr="007C36F4" w:rsidRDefault="00EA081A" w:rsidP="00EA081A">
            <w:pPr>
              <w:rPr>
                <w:rFonts w:asciiTheme="majorHAnsi" w:hAnsiTheme="majorHAnsi"/>
                <w:lang w:eastAsia="ja-JP"/>
              </w:rPr>
            </w:pPr>
            <w:r>
              <w:rPr>
                <w:rFonts w:asciiTheme="majorHAnsi" w:hAnsiTheme="majorHAnsi"/>
                <w:lang w:eastAsia="ja-JP"/>
              </w:rPr>
              <w:t>UNFCCC: UNDP</w:t>
            </w:r>
            <w:r w:rsidRPr="007C36F4">
              <w:rPr>
                <w:rFonts w:asciiTheme="majorHAnsi" w:hAnsiTheme="majorHAnsi"/>
                <w:lang w:eastAsia="ja-JP"/>
              </w:rPr>
              <w:t xml:space="preserve"> and IFRC</w:t>
            </w:r>
          </w:p>
          <w:p w14:paraId="6EB0EF7E" w14:textId="77777777" w:rsidR="00260E1D" w:rsidRPr="00EA081A" w:rsidRDefault="00EA081A" w:rsidP="00EA081A">
            <w:pPr>
              <w:rPr>
                <w:rFonts w:asciiTheme="majorHAnsi" w:hAnsiTheme="majorHAnsi"/>
                <w:lang w:eastAsia="ja-JP"/>
              </w:rPr>
            </w:pPr>
            <w:r>
              <w:rPr>
                <w:rFonts w:asciiTheme="majorHAnsi" w:hAnsiTheme="majorHAnsi"/>
                <w:lang w:eastAsia="ja-JP"/>
              </w:rPr>
              <w:t xml:space="preserve">WHS follow-up:  </w:t>
            </w:r>
            <w:r w:rsidRPr="007C36F4">
              <w:rPr>
                <w:rFonts w:asciiTheme="majorHAnsi" w:hAnsiTheme="majorHAnsi"/>
                <w:lang w:eastAsia="ja-JP"/>
              </w:rPr>
              <w:t>OCHA</w:t>
            </w:r>
            <w:r>
              <w:rPr>
                <w:rFonts w:asciiTheme="majorHAnsi" w:hAnsiTheme="majorHAnsi"/>
                <w:lang w:eastAsia="ja-JP"/>
              </w:rPr>
              <w:t xml:space="preserve"> and UNDP</w:t>
            </w:r>
          </w:p>
        </w:tc>
        <w:tc>
          <w:tcPr>
            <w:tcW w:w="3544" w:type="dxa"/>
          </w:tcPr>
          <w:p w14:paraId="14E0A2C5" w14:textId="77777777" w:rsidR="00260E1D" w:rsidRDefault="00EA081A">
            <w:r>
              <w:t>As required</w:t>
            </w:r>
          </w:p>
        </w:tc>
      </w:tr>
    </w:tbl>
    <w:p w14:paraId="5B8EB3BB" w14:textId="77777777" w:rsidR="00B6494C" w:rsidRDefault="00B6494C"/>
    <w:sectPr w:rsidR="00B6494C" w:rsidSect="00EE633C">
      <w:headerReference w:type="default" r:id="rId10"/>
      <w:pgSz w:w="16820" w:h="11900" w:orient="landscape"/>
      <w:pgMar w:top="141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0304" w14:textId="77777777" w:rsidR="00385EBF" w:rsidRDefault="00385EBF">
      <w:r>
        <w:separator/>
      </w:r>
    </w:p>
  </w:endnote>
  <w:endnote w:type="continuationSeparator" w:id="0">
    <w:p w14:paraId="44B53202" w14:textId="77777777" w:rsidR="00385EBF" w:rsidRDefault="0038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A1F9" w14:textId="77777777" w:rsidR="00385EBF" w:rsidRDefault="00385EBF">
      <w:r>
        <w:separator/>
      </w:r>
    </w:p>
  </w:footnote>
  <w:footnote w:type="continuationSeparator" w:id="0">
    <w:p w14:paraId="76BFDD1E" w14:textId="77777777" w:rsidR="00385EBF" w:rsidRDefault="00385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CB96" w14:textId="77777777" w:rsidR="00B6494C" w:rsidRDefault="00774533">
    <w:pPr>
      <w:tabs>
        <w:tab w:val="center" w:pos="4320"/>
        <w:tab w:val="right" w:pos="8640"/>
      </w:tabs>
      <w:spacing w:before="708"/>
      <w:ind w:left="10800"/>
    </w:pPr>
    <w:r>
      <w:rPr>
        <w:noProof/>
      </w:rPr>
      <w:drawing>
        <wp:inline distT="0" distB="0" distL="0" distR="0" wp14:anchorId="48972C5F" wp14:editId="6A8E1558">
          <wp:extent cx="2332691" cy="336446"/>
          <wp:effectExtent l="0" t="0" r="0" b="0"/>
          <wp:docPr id="1" name="image01.jpg" descr="S:\OD\IASC SECRETARIAT\Logo\IASC_LogoFull low.jpg"/>
          <wp:cNvGraphicFramePr/>
          <a:graphic xmlns:a="http://schemas.openxmlformats.org/drawingml/2006/main">
            <a:graphicData uri="http://schemas.openxmlformats.org/drawingml/2006/picture">
              <pic:pic xmlns:pic="http://schemas.openxmlformats.org/drawingml/2006/picture">
                <pic:nvPicPr>
                  <pic:cNvPr id="0" name="image01.jpg" descr="S:\OD\IASC SECRETARIAT\Logo\IASC_LogoFull low.jpg"/>
                  <pic:cNvPicPr preferRelativeResize="0"/>
                </pic:nvPicPr>
                <pic:blipFill>
                  <a:blip r:embed="rId1"/>
                  <a:srcRect/>
                  <a:stretch>
                    <a:fillRect/>
                  </a:stretch>
                </pic:blipFill>
                <pic:spPr>
                  <a:xfrm>
                    <a:off x="0" y="0"/>
                    <a:ext cx="2332691" cy="336446"/>
                  </a:xfrm>
                  <a:prstGeom prst="rect">
                    <a:avLst/>
                  </a:prstGeom>
                  <a:ln/>
                </pic:spPr>
              </pic:pic>
            </a:graphicData>
          </a:graphic>
        </wp:inline>
      </w:drawing>
    </w:r>
  </w:p>
  <w:p w14:paraId="451DDAD6" w14:textId="77777777" w:rsidR="00B6494C" w:rsidRDefault="00B6494C">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1068"/>
    <w:multiLevelType w:val="multilevel"/>
    <w:tmpl w:val="3D0085F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20FD311F"/>
    <w:multiLevelType w:val="multilevel"/>
    <w:tmpl w:val="66D472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6FD79C0"/>
    <w:multiLevelType w:val="multilevel"/>
    <w:tmpl w:val="1B5E654A"/>
    <w:lvl w:ilvl="0">
      <w:start w:val="1"/>
      <w:numFmt w:val="decimal"/>
      <w:lvlText w:val="%1."/>
      <w:lvlJc w:val="left"/>
      <w:pPr>
        <w:ind w:left="0" w:firstLine="0"/>
      </w:p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3" w15:restartNumberingAfterBreak="0">
    <w:nsid w:val="53342BB9"/>
    <w:multiLevelType w:val="hybridMultilevel"/>
    <w:tmpl w:val="C9B22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6494C"/>
    <w:rsid w:val="001801B3"/>
    <w:rsid w:val="00194462"/>
    <w:rsid w:val="001E31CA"/>
    <w:rsid w:val="001E5C16"/>
    <w:rsid w:val="00206064"/>
    <w:rsid w:val="00260E1D"/>
    <w:rsid w:val="0026302E"/>
    <w:rsid w:val="00287CD8"/>
    <w:rsid w:val="00385EBF"/>
    <w:rsid w:val="004B1727"/>
    <w:rsid w:val="004B4F5B"/>
    <w:rsid w:val="004D6AB0"/>
    <w:rsid w:val="00582CA0"/>
    <w:rsid w:val="005900A7"/>
    <w:rsid w:val="006F2FCC"/>
    <w:rsid w:val="00774533"/>
    <w:rsid w:val="00904718"/>
    <w:rsid w:val="009050CA"/>
    <w:rsid w:val="009C1C71"/>
    <w:rsid w:val="009C4B6E"/>
    <w:rsid w:val="00AC091A"/>
    <w:rsid w:val="00B5191A"/>
    <w:rsid w:val="00B6494C"/>
    <w:rsid w:val="00D527A1"/>
    <w:rsid w:val="00EA081A"/>
    <w:rsid w:val="00EE633C"/>
    <w:rsid w:val="00F96F15"/>
    <w:rsid w:val="00FE5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5D331"/>
  <w15:docId w15:val="{5BE53392-99A3-4491-B5B6-BB4A08FC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74533"/>
    <w:rPr>
      <w:rFonts w:ascii="Tahoma" w:hAnsi="Tahoma" w:cs="Tahoma"/>
      <w:sz w:val="16"/>
      <w:szCs w:val="16"/>
    </w:rPr>
  </w:style>
  <w:style w:type="character" w:customStyle="1" w:styleId="BalloonTextChar">
    <w:name w:val="Balloon Text Char"/>
    <w:basedOn w:val="DefaultParagraphFont"/>
    <w:link w:val="BalloonText"/>
    <w:uiPriority w:val="99"/>
    <w:semiHidden/>
    <w:rsid w:val="00774533"/>
    <w:rPr>
      <w:rFonts w:ascii="Tahoma" w:hAnsi="Tahoma" w:cs="Tahoma"/>
      <w:sz w:val="16"/>
      <w:szCs w:val="16"/>
    </w:rPr>
  </w:style>
  <w:style w:type="paragraph" w:styleId="ListParagraph">
    <w:name w:val="List Paragraph"/>
    <w:basedOn w:val="Normal"/>
    <w:uiPriority w:val="34"/>
    <w:qFormat/>
    <w:rsid w:val="00AC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027080213F264DBBBF50D20B8418D2" ma:contentTypeVersion="3" ma:contentTypeDescription="Create a new document." ma:contentTypeScope="" ma:versionID="c520536b0f10aacf9d168421bd12ebcd">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4C808-FD32-4168-9725-7879F69ED496}">
  <ds:schemaRefs>
    <ds:schemaRef ds:uri="http://schemas.microsoft.com/sharepoint/v3/contenttype/forms"/>
  </ds:schemaRefs>
</ds:datastoreItem>
</file>

<file path=customXml/itemProps2.xml><?xml version="1.0" encoding="utf-8"?>
<ds:datastoreItem xmlns:ds="http://schemas.openxmlformats.org/officeDocument/2006/customXml" ds:itemID="{64481396-C74C-4858-9834-C5137E64852E}">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F86F421-27BB-48CF-A824-BAB5F974F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RG Risk, EW and Preparedness Work Plan 2016-2017</vt:lpstr>
    </vt:vector>
  </TitlesOfParts>
  <Manager>jo.scheuer@undp.org</Manager>
  <Company>OCHA</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 Risk, EW and Preparedness Work Plan 2016-2017</dc:title>
  <dc:subject>DRR; risk; preparedness</dc:subject>
  <dc:creator>patrick.gremillet@undp.org;anthony.craig@wfp.org</dc:creator>
  <cp:keywords>IASC</cp:keywords>
  <cp:lastModifiedBy>Patrick Gremillet</cp:lastModifiedBy>
  <cp:revision>2</cp:revision>
  <cp:lastPrinted>2016-08-31T12:18:00Z</cp:lastPrinted>
  <dcterms:created xsi:type="dcterms:W3CDTF">2016-09-05T15:08:00Z</dcterms:created>
  <dcterms:modified xsi:type="dcterms:W3CDTF">2016-09-05T15:08:00Z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0x0101007C027080213F264DBBBF50D20B8418D2</vt:lpwstr>
  </property>
</Properties>
</file>