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615BF" w14:textId="592CFEE1" w:rsidR="00E876C1" w:rsidRPr="00764FC9" w:rsidRDefault="004E052D" w:rsidP="004E052D">
      <w:pPr>
        <w:spacing w:before="0" w:after="240" w:line="240" w:lineRule="auto"/>
        <w:jc w:val="center"/>
        <w:rPr>
          <w:rFonts w:asciiTheme="minorHAnsi" w:hAnsiTheme="minorHAnsi"/>
          <w:b/>
          <w:i/>
          <w:sz w:val="24"/>
        </w:rPr>
      </w:pPr>
      <w:bookmarkStart w:id="0" w:name="_GoBack"/>
      <w:bookmarkEnd w:id="0"/>
      <w:r w:rsidRPr="004E052D">
        <w:rPr>
          <w:rFonts w:asciiTheme="minorHAnsi" w:hAnsiTheme="minorHAnsi"/>
          <w:b/>
          <w:sz w:val="24"/>
        </w:rPr>
        <w:t xml:space="preserve">IASC </w:t>
      </w:r>
      <w:r w:rsidR="00091D91" w:rsidRPr="004E052D">
        <w:rPr>
          <w:rFonts w:asciiTheme="minorHAnsi" w:hAnsiTheme="minorHAnsi"/>
          <w:b/>
          <w:sz w:val="24"/>
        </w:rPr>
        <w:t xml:space="preserve">Protection Task Team Work Plan, 2016 – 2017 </w:t>
      </w:r>
      <w:r w:rsidR="00091D91" w:rsidRPr="00764FC9">
        <w:rPr>
          <w:rFonts w:asciiTheme="minorHAnsi" w:hAnsiTheme="minorHAnsi"/>
          <w:b/>
          <w:i/>
          <w:sz w:val="24"/>
        </w:rPr>
        <w:t xml:space="preserve">(DRAFT </w:t>
      </w:r>
      <w:r w:rsidR="000E5B35" w:rsidRPr="00764FC9">
        <w:rPr>
          <w:rFonts w:asciiTheme="minorHAnsi" w:hAnsiTheme="minorHAnsi"/>
          <w:b/>
          <w:i/>
          <w:sz w:val="24"/>
        </w:rPr>
        <w:t>26</w:t>
      </w:r>
      <w:r w:rsidR="00091D91" w:rsidRPr="00764FC9">
        <w:rPr>
          <w:rFonts w:asciiTheme="minorHAnsi" w:hAnsiTheme="minorHAnsi"/>
          <w:b/>
          <w:i/>
          <w:sz w:val="24"/>
        </w:rPr>
        <w:t xml:space="preserve"> September 2016)</w:t>
      </w:r>
    </w:p>
    <w:p w14:paraId="6D1474B6" w14:textId="77777777" w:rsidR="002571F5" w:rsidRDefault="002571F5" w:rsidP="00821E67">
      <w:pPr>
        <w:spacing w:before="0" w:line="240" w:lineRule="auto"/>
        <w:jc w:val="left"/>
        <w:rPr>
          <w:rFonts w:asciiTheme="minorHAnsi" w:hAnsiTheme="minorHAnsi"/>
          <w:szCs w:val="22"/>
        </w:rPr>
        <w:sectPr w:rsidR="002571F5" w:rsidSect="004D2469">
          <w:type w:val="continuous"/>
          <w:pgSz w:w="15840" w:h="12240" w:orient="landscape"/>
          <w:pgMar w:top="576" w:right="864" w:bottom="576" w:left="864" w:header="720" w:footer="720" w:gutter="0"/>
          <w:cols w:space="720"/>
          <w:docGrid w:linePitch="360"/>
        </w:sectPr>
      </w:pPr>
    </w:p>
    <w:tbl>
      <w:tblP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525"/>
        <w:gridCol w:w="3600"/>
        <w:gridCol w:w="2700"/>
        <w:gridCol w:w="2154"/>
      </w:tblGrid>
      <w:tr w:rsidR="00091D91" w:rsidRPr="00025249" w14:paraId="493A6CCD" w14:textId="77777777" w:rsidTr="00A65F35">
        <w:trPr>
          <w:tblHeader/>
        </w:trPr>
        <w:tc>
          <w:tcPr>
            <w:tcW w:w="2523" w:type="dxa"/>
            <w:shd w:val="clear" w:color="auto" w:fill="E6E6E6"/>
          </w:tcPr>
          <w:p w14:paraId="381CFB82" w14:textId="77777777" w:rsidR="00091D91" w:rsidRPr="00025249" w:rsidRDefault="00091D91" w:rsidP="00035171">
            <w:pPr>
              <w:pStyle w:val="TableHead"/>
              <w:spacing w:before="80" w:after="80"/>
              <w:rPr>
                <w:rFonts w:ascii="Calibri" w:hAnsi="Calibri" w:cs="Calibri"/>
                <w:sz w:val="22"/>
                <w:szCs w:val="22"/>
              </w:rPr>
            </w:pPr>
            <w:r w:rsidRPr="00025249">
              <w:rPr>
                <w:rFonts w:ascii="Calibri" w:hAnsi="Calibri" w:cs="Calibri"/>
                <w:sz w:val="22"/>
                <w:szCs w:val="22"/>
              </w:rPr>
              <w:t>Objectives</w:t>
            </w:r>
          </w:p>
        </w:tc>
        <w:tc>
          <w:tcPr>
            <w:tcW w:w="3525" w:type="dxa"/>
            <w:shd w:val="clear" w:color="auto" w:fill="E6E6E6"/>
          </w:tcPr>
          <w:p w14:paraId="4AE969C4" w14:textId="77777777" w:rsidR="00091D91" w:rsidRPr="00025249" w:rsidRDefault="00091D91" w:rsidP="00035171">
            <w:pPr>
              <w:pStyle w:val="TableHead"/>
              <w:spacing w:before="80" w:after="80"/>
              <w:rPr>
                <w:rFonts w:ascii="Calibri" w:hAnsi="Calibri" w:cs="Calibri"/>
                <w:sz w:val="22"/>
                <w:szCs w:val="22"/>
              </w:rPr>
            </w:pPr>
            <w:r w:rsidRPr="00025249">
              <w:rPr>
                <w:rFonts w:ascii="Calibri" w:hAnsi="Calibri" w:cs="Calibri"/>
                <w:sz w:val="22"/>
                <w:szCs w:val="22"/>
              </w:rPr>
              <w:t>Activities</w:t>
            </w:r>
          </w:p>
        </w:tc>
        <w:tc>
          <w:tcPr>
            <w:tcW w:w="3600" w:type="dxa"/>
            <w:shd w:val="clear" w:color="auto" w:fill="E6E6E6"/>
          </w:tcPr>
          <w:p w14:paraId="778B5F3D" w14:textId="77777777" w:rsidR="00091D91" w:rsidRPr="00025249" w:rsidRDefault="00D07F89" w:rsidP="00035171">
            <w:pPr>
              <w:pStyle w:val="TableHead"/>
              <w:spacing w:before="80" w:after="80"/>
              <w:ind w:right="-544"/>
              <w:rPr>
                <w:rFonts w:ascii="Calibri" w:hAnsi="Calibri" w:cs="Calibri"/>
                <w:sz w:val="22"/>
                <w:szCs w:val="22"/>
              </w:rPr>
            </w:pPr>
            <w:r>
              <w:rPr>
                <w:rFonts w:ascii="Calibri" w:hAnsi="Calibri" w:cs="Calibri"/>
                <w:sz w:val="22"/>
                <w:szCs w:val="22"/>
              </w:rPr>
              <w:t xml:space="preserve">Key </w:t>
            </w:r>
            <w:r w:rsidR="00091D91">
              <w:rPr>
                <w:rFonts w:ascii="Calibri" w:hAnsi="Calibri" w:cs="Calibri"/>
                <w:sz w:val="22"/>
                <w:szCs w:val="22"/>
              </w:rPr>
              <w:t>Indicators</w:t>
            </w:r>
          </w:p>
        </w:tc>
        <w:tc>
          <w:tcPr>
            <w:tcW w:w="2700" w:type="dxa"/>
            <w:shd w:val="clear" w:color="auto" w:fill="E6E6E6"/>
          </w:tcPr>
          <w:p w14:paraId="38D19B99" w14:textId="77777777" w:rsidR="00091D91" w:rsidRPr="00025249" w:rsidRDefault="00091D91" w:rsidP="00035171">
            <w:pPr>
              <w:pStyle w:val="TableHead"/>
              <w:spacing w:before="80" w:after="80"/>
              <w:ind w:right="-544"/>
              <w:rPr>
                <w:rFonts w:ascii="Calibri" w:hAnsi="Calibri" w:cs="Calibri"/>
                <w:sz w:val="22"/>
                <w:szCs w:val="22"/>
              </w:rPr>
            </w:pPr>
            <w:r w:rsidRPr="00025249">
              <w:rPr>
                <w:rFonts w:ascii="Calibri" w:hAnsi="Calibri" w:cs="Calibri"/>
                <w:sz w:val="22"/>
                <w:szCs w:val="22"/>
              </w:rPr>
              <w:t>Focal Point/</w:t>
            </w:r>
            <w:r w:rsidRPr="00025249">
              <w:rPr>
                <w:rFonts w:ascii="Calibri" w:hAnsi="Calibri" w:cs="Calibri"/>
                <w:b w:val="0"/>
                <w:sz w:val="22"/>
                <w:szCs w:val="22"/>
              </w:rPr>
              <w:t>Contributing Organizations</w:t>
            </w:r>
          </w:p>
        </w:tc>
        <w:tc>
          <w:tcPr>
            <w:tcW w:w="2154" w:type="dxa"/>
            <w:shd w:val="clear" w:color="auto" w:fill="E6E6E6"/>
          </w:tcPr>
          <w:p w14:paraId="5C4B20E9" w14:textId="77777777" w:rsidR="00091D91" w:rsidRPr="00025249" w:rsidRDefault="00091D91" w:rsidP="00035171">
            <w:pPr>
              <w:pStyle w:val="TableHead"/>
              <w:spacing w:before="80" w:after="80"/>
              <w:ind w:right="-544"/>
              <w:rPr>
                <w:rFonts w:ascii="Calibri" w:hAnsi="Calibri" w:cs="Calibri"/>
                <w:sz w:val="22"/>
                <w:szCs w:val="22"/>
              </w:rPr>
            </w:pPr>
            <w:r w:rsidRPr="00025249">
              <w:rPr>
                <w:rFonts w:ascii="Calibri" w:hAnsi="Calibri" w:cs="Calibri"/>
                <w:sz w:val="22"/>
                <w:szCs w:val="22"/>
              </w:rPr>
              <w:t>Timeframe</w:t>
            </w:r>
          </w:p>
        </w:tc>
      </w:tr>
      <w:tr w:rsidR="00535266" w:rsidRPr="00025249" w14:paraId="4A88DA5F" w14:textId="77777777" w:rsidTr="00A65F35">
        <w:tc>
          <w:tcPr>
            <w:tcW w:w="2523" w:type="dxa"/>
            <w:vMerge w:val="restart"/>
            <w:shd w:val="clear" w:color="auto" w:fill="auto"/>
          </w:tcPr>
          <w:p w14:paraId="616CCC5D" w14:textId="77777777" w:rsidR="00535266" w:rsidRPr="00201966" w:rsidRDefault="00535266" w:rsidP="00201966">
            <w:pPr>
              <w:pStyle w:val="ListParagraph"/>
              <w:numPr>
                <w:ilvl w:val="0"/>
                <w:numId w:val="5"/>
              </w:numPr>
              <w:spacing w:before="40" w:after="40"/>
              <w:ind w:left="216" w:hanging="216"/>
              <w:contextualSpacing w:val="0"/>
              <w:rPr>
                <w:rFonts w:asciiTheme="minorHAnsi" w:hAnsiTheme="minorHAnsi"/>
                <w:sz w:val="20"/>
                <w:szCs w:val="20"/>
              </w:rPr>
            </w:pPr>
            <w:r w:rsidRPr="00201966">
              <w:rPr>
                <w:rFonts w:asciiTheme="minorHAnsi" w:hAnsiTheme="minorHAnsi"/>
                <w:sz w:val="20"/>
                <w:szCs w:val="20"/>
              </w:rPr>
              <w:t xml:space="preserve">Thorough and successful roll out of the IASC Protection Policy across the humanitarian system, including within humanitarian </w:t>
            </w:r>
            <w:proofErr w:type="spellStart"/>
            <w:r w:rsidRPr="00201966">
              <w:rPr>
                <w:rFonts w:asciiTheme="minorHAnsi" w:hAnsiTheme="minorHAnsi"/>
                <w:sz w:val="20"/>
                <w:szCs w:val="20"/>
              </w:rPr>
              <w:t>organisations</w:t>
            </w:r>
            <w:proofErr w:type="spellEnd"/>
            <w:r w:rsidRPr="00201966">
              <w:rPr>
                <w:rFonts w:asciiTheme="minorHAnsi" w:hAnsiTheme="minorHAnsi"/>
                <w:sz w:val="20"/>
                <w:szCs w:val="20"/>
              </w:rPr>
              <w:t xml:space="preserve">, the humanitarian leadership, and inter-agency fora. </w:t>
            </w:r>
          </w:p>
        </w:tc>
        <w:tc>
          <w:tcPr>
            <w:tcW w:w="3525" w:type="dxa"/>
            <w:shd w:val="clear" w:color="auto" w:fill="auto"/>
          </w:tcPr>
          <w:p w14:paraId="25E8E819" w14:textId="234A707B" w:rsidR="00535266" w:rsidRPr="00201966" w:rsidRDefault="006F4E13" w:rsidP="00201966">
            <w:pPr>
              <w:pStyle w:val="ListParagraph"/>
              <w:numPr>
                <w:ilvl w:val="1"/>
                <w:numId w:val="5"/>
              </w:numPr>
              <w:spacing w:before="40" w:after="40"/>
              <w:rPr>
                <w:rFonts w:asciiTheme="minorHAnsi" w:hAnsiTheme="minorHAnsi"/>
                <w:sz w:val="20"/>
                <w:szCs w:val="20"/>
              </w:rPr>
            </w:pPr>
            <w:r>
              <w:rPr>
                <w:rFonts w:asciiTheme="minorHAnsi" w:hAnsiTheme="minorHAnsi"/>
                <w:sz w:val="20"/>
                <w:szCs w:val="20"/>
              </w:rPr>
              <w:t>Further d</w:t>
            </w:r>
            <w:r w:rsidR="00535266" w:rsidRPr="00201966">
              <w:rPr>
                <w:rFonts w:asciiTheme="minorHAnsi" w:hAnsiTheme="minorHAnsi"/>
                <w:sz w:val="20"/>
                <w:szCs w:val="20"/>
              </w:rPr>
              <w:t xml:space="preserve">evelop </w:t>
            </w:r>
            <w:r>
              <w:rPr>
                <w:rFonts w:asciiTheme="minorHAnsi" w:hAnsiTheme="minorHAnsi"/>
                <w:sz w:val="20"/>
                <w:szCs w:val="20"/>
              </w:rPr>
              <w:t>the</w:t>
            </w:r>
            <w:r w:rsidR="00535266" w:rsidRPr="00201966">
              <w:rPr>
                <w:rFonts w:asciiTheme="minorHAnsi" w:hAnsiTheme="minorHAnsi"/>
                <w:sz w:val="20"/>
                <w:szCs w:val="20"/>
              </w:rPr>
              <w:t xml:space="preserve"> roll out and implementation strategy for the IASC Protection Policy</w:t>
            </w:r>
            <w:r w:rsidR="0053062F">
              <w:rPr>
                <w:rFonts w:asciiTheme="minorHAnsi" w:hAnsiTheme="minorHAnsi"/>
                <w:sz w:val="20"/>
                <w:szCs w:val="20"/>
              </w:rPr>
              <w:t xml:space="preserve"> </w:t>
            </w:r>
          </w:p>
          <w:p w14:paraId="731CD887" w14:textId="77777777" w:rsidR="00535266" w:rsidRPr="004E052D" w:rsidRDefault="00535266" w:rsidP="00D07F89">
            <w:pPr>
              <w:spacing w:before="40" w:after="40"/>
              <w:jc w:val="left"/>
              <w:rPr>
                <w:rFonts w:ascii="Calibri" w:hAnsi="Calibri" w:cs="Calibri"/>
                <w:b/>
                <w:sz w:val="20"/>
                <w:szCs w:val="20"/>
              </w:rPr>
            </w:pPr>
          </w:p>
        </w:tc>
        <w:tc>
          <w:tcPr>
            <w:tcW w:w="3600" w:type="dxa"/>
            <w:shd w:val="clear" w:color="auto" w:fill="auto"/>
          </w:tcPr>
          <w:p w14:paraId="34AB9DE4" w14:textId="77777777" w:rsidR="00535266" w:rsidRPr="004E052D" w:rsidRDefault="00535266" w:rsidP="004E052D">
            <w:pPr>
              <w:pStyle w:val="TableHead"/>
              <w:numPr>
                <w:ilvl w:val="0"/>
                <w:numId w:val="4"/>
              </w:numPr>
              <w:spacing w:before="40" w:after="40" w:line="240" w:lineRule="auto"/>
              <w:ind w:left="342"/>
              <w:rPr>
                <w:rFonts w:ascii="Calibri" w:hAnsi="Calibri" w:cs="Calibri"/>
                <w:b w:val="0"/>
                <w:sz w:val="20"/>
                <w:szCs w:val="20"/>
              </w:rPr>
            </w:pPr>
            <w:r w:rsidRPr="004E052D">
              <w:rPr>
                <w:rFonts w:ascii="Calibri" w:hAnsi="Calibri" w:cs="Calibri"/>
                <w:b w:val="0"/>
                <w:sz w:val="20"/>
                <w:szCs w:val="20"/>
              </w:rPr>
              <w:t xml:space="preserve">Overall approach to roll out and implementation agreed and supported by the IASC WG </w:t>
            </w:r>
          </w:p>
        </w:tc>
        <w:tc>
          <w:tcPr>
            <w:tcW w:w="2700" w:type="dxa"/>
            <w:shd w:val="clear" w:color="auto" w:fill="auto"/>
          </w:tcPr>
          <w:p w14:paraId="269CA93E" w14:textId="52AF311A" w:rsidR="00535266" w:rsidRPr="004E052D" w:rsidRDefault="00535266" w:rsidP="002571F5">
            <w:pPr>
              <w:pStyle w:val="TableHead"/>
              <w:spacing w:before="40" w:after="40" w:line="240" w:lineRule="auto"/>
              <w:rPr>
                <w:rFonts w:ascii="Calibri" w:hAnsi="Calibri" w:cs="Calibri"/>
                <w:b w:val="0"/>
                <w:sz w:val="20"/>
                <w:szCs w:val="20"/>
              </w:rPr>
            </w:pPr>
            <w:r w:rsidRPr="004E052D">
              <w:rPr>
                <w:rFonts w:ascii="Calibri" w:hAnsi="Calibri" w:cs="Calibri"/>
                <w:b w:val="0"/>
                <w:sz w:val="20"/>
                <w:szCs w:val="20"/>
              </w:rPr>
              <w:t>Task Team</w:t>
            </w:r>
          </w:p>
        </w:tc>
        <w:tc>
          <w:tcPr>
            <w:tcW w:w="2154" w:type="dxa"/>
            <w:shd w:val="clear" w:color="auto" w:fill="auto"/>
          </w:tcPr>
          <w:p w14:paraId="63157DD2" w14:textId="25FBA204" w:rsidR="00535266" w:rsidRPr="004E052D" w:rsidRDefault="00F36904" w:rsidP="00D07F89">
            <w:pPr>
              <w:pStyle w:val="TableHead"/>
              <w:spacing w:before="40" w:after="40" w:line="240" w:lineRule="auto"/>
              <w:rPr>
                <w:rFonts w:ascii="Calibri" w:hAnsi="Calibri" w:cs="Calibri"/>
                <w:b w:val="0"/>
                <w:sz w:val="20"/>
                <w:szCs w:val="20"/>
              </w:rPr>
            </w:pPr>
            <w:r>
              <w:rPr>
                <w:rFonts w:ascii="Calibri" w:hAnsi="Calibri" w:cs="Calibri"/>
                <w:b w:val="0"/>
                <w:sz w:val="20"/>
                <w:szCs w:val="20"/>
              </w:rPr>
              <w:t>October</w:t>
            </w:r>
            <w:r w:rsidRPr="004E052D">
              <w:rPr>
                <w:rFonts w:ascii="Calibri" w:hAnsi="Calibri" w:cs="Calibri"/>
                <w:b w:val="0"/>
                <w:sz w:val="20"/>
                <w:szCs w:val="20"/>
              </w:rPr>
              <w:t xml:space="preserve"> </w:t>
            </w:r>
            <w:r w:rsidR="00535266" w:rsidRPr="004E052D">
              <w:rPr>
                <w:rFonts w:ascii="Calibri" w:hAnsi="Calibri" w:cs="Calibri"/>
                <w:b w:val="0"/>
                <w:sz w:val="20"/>
                <w:szCs w:val="20"/>
              </w:rPr>
              <w:t xml:space="preserve">2016 </w:t>
            </w:r>
          </w:p>
        </w:tc>
      </w:tr>
      <w:tr w:rsidR="00535266" w:rsidRPr="00025249" w14:paraId="5BB3B3DA" w14:textId="77777777" w:rsidTr="00A65F35">
        <w:tc>
          <w:tcPr>
            <w:tcW w:w="2523" w:type="dxa"/>
            <w:vMerge/>
            <w:shd w:val="clear" w:color="auto" w:fill="auto"/>
          </w:tcPr>
          <w:p w14:paraId="7F2E5CBA" w14:textId="77777777" w:rsidR="00535266" w:rsidRPr="00201966" w:rsidRDefault="00535266" w:rsidP="00201966">
            <w:pPr>
              <w:pStyle w:val="ListParagraph"/>
              <w:numPr>
                <w:ilvl w:val="0"/>
                <w:numId w:val="5"/>
              </w:numPr>
              <w:spacing w:before="40" w:after="40"/>
              <w:ind w:left="216" w:hanging="216"/>
              <w:contextualSpacing w:val="0"/>
              <w:rPr>
                <w:rFonts w:asciiTheme="minorHAnsi" w:hAnsiTheme="minorHAnsi"/>
                <w:sz w:val="20"/>
                <w:szCs w:val="20"/>
              </w:rPr>
            </w:pPr>
          </w:p>
        </w:tc>
        <w:tc>
          <w:tcPr>
            <w:tcW w:w="3525" w:type="dxa"/>
            <w:shd w:val="clear" w:color="auto" w:fill="auto"/>
          </w:tcPr>
          <w:p w14:paraId="30A85331" w14:textId="77777777" w:rsidR="00535266" w:rsidRPr="004E052D" w:rsidRDefault="00201966" w:rsidP="00201966">
            <w:pPr>
              <w:spacing w:before="40" w:after="40"/>
              <w:ind w:left="288" w:hanging="288"/>
              <w:jc w:val="left"/>
              <w:rPr>
                <w:rFonts w:asciiTheme="minorHAnsi" w:hAnsiTheme="minorHAnsi"/>
                <w:sz w:val="20"/>
                <w:szCs w:val="20"/>
              </w:rPr>
            </w:pPr>
            <w:r>
              <w:rPr>
                <w:rFonts w:asciiTheme="minorHAnsi" w:hAnsiTheme="minorHAnsi"/>
                <w:sz w:val="20"/>
                <w:szCs w:val="20"/>
              </w:rPr>
              <w:t xml:space="preserve">1.2. </w:t>
            </w:r>
            <w:r w:rsidR="00535266" w:rsidRPr="004E052D">
              <w:rPr>
                <w:rFonts w:asciiTheme="minorHAnsi" w:hAnsiTheme="minorHAnsi"/>
                <w:sz w:val="20"/>
                <w:szCs w:val="20"/>
              </w:rPr>
              <w:t xml:space="preserve">Provide key stakeholders with tools and materials to support wide dissemination of the Protection Policy </w:t>
            </w:r>
          </w:p>
          <w:p w14:paraId="448C4FF3" w14:textId="77777777" w:rsidR="00535266" w:rsidRPr="004E052D" w:rsidRDefault="00535266" w:rsidP="00201966">
            <w:pPr>
              <w:pStyle w:val="TableHead"/>
              <w:spacing w:before="40" w:after="40" w:line="240" w:lineRule="auto"/>
              <w:ind w:left="288" w:hanging="288"/>
              <w:rPr>
                <w:rFonts w:ascii="Calibri" w:hAnsi="Calibri" w:cs="Calibri"/>
                <w:b w:val="0"/>
                <w:sz w:val="20"/>
                <w:szCs w:val="20"/>
              </w:rPr>
            </w:pPr>
          </w:p>
        </w:tc>
        <w:tc>
          <w:tcPr>
            <w:tcW w:w="3600" w:type="dxa"/>
            <w:shd w:val="clear" w:color="auto" w:fill="auto"/>
          </w:tcPr>
          <w:p w14:paraId="55E3EC40" w14:textId="77777777" w:rsidR="00535266" w:rsidRPr="004E052D" w:rsidRDefault="00535266" w:rsidP="007644E3">
            <w:pPr>
              <w:pStyle w:val="TableHead"/>
              <w:numPr>
                <w:ilvl w:val="0"/>
                <w:numId w:val="4"/>
              </w:numPr>
              <w:spacing w:before="40" w:after="40" w:line="240" w:lineRule="auto"/>
              <w:ind w:left="342"/>
              <w:rPr>
                <w:rFonts w:ascii="Calibri" w:hAnsi="Calibri" w:cs="Calibri"/>
                <w:b w:val="0"/>
                <w:sz w:val="20"/>
                <w:szCs w:val="20"/>
              </w:rPr>
            </w:pPr>
            <w:r w:rsidRPr="004E052D">
              <w:rPr>
                <w:rFonts w:ascii="Calibri" w:hAnsi="Calibri" w:cs="Calibri"/>
                <w:b w:val="0"/>
                <w:sz w:val="20"/>
                <w:szCs w:val="20"/>
              </w:rPr>
              <w:t xml:space="preserve">Wide dissemination to all key stakeholders with ERC cover letter </w:t>
            </w:r>
          </w:p>
          <w:p w14:paraId="23EB3E53" w14:textId="77777777" w:rsidR="00535266" w:rsidRPr="004E052D" w:rsidRDefault="00535266" w:rsidP="007644E3">
            <w:pPr>
              <w:pStyle w:val="TableHead"/>
              <w:numPr>
                <w:ilvl w:val="0"/>
                <w:numId w:val="4"/>
              </w:numPr>
              <w:spacing w:before="40" w:after="40" w:line="240" w:lineRule="auto"/>
              <w:ind w:left="342"/>
              <w:rPr>
                <w:rFonts w:ascii="Calibri" w:hAnsi="Calibri" w:cs="Calibri"/>
                <w:b w:val="0"/>
                <w:sz w:val="20"/>
                <w:szCs w:val="20"/>
              </w:rPr>
            </w:pPr>
            <w:r w:rsidRPr="004E052D">
              <w:rPr>
                <w:rFonts w:ascii="Calibri" w:hAnsi="Calibri" w:cs="Calibri"/>
                <w:b w:val="0"/>
                <w:sz w:val="20"/>
                <w:szCs w:val="20"/>
              </w:rPr>
              <w:t xml:space="preserve">Materials posted on IASC website and used in briefings </w:t>
            </w:r>
          </w:p>
          <w:p w14:paraId="12C2BF49" w14:textId="77777777" w:rsidR="00535266" w:rsidRPr="004E052D" w:rsidRDefault="00535266" w:rsidP="004E052D">
            <w:pPr>
              <w:pStyle w:val="TableHead"/>
              <w:numPr>
                <w:ilvl w:val="0"/>
                <w:numId w:val="4"/>
              </w:numPr>
              <w:spacing w:before="40" w:after="40" w:line="240" w:lineRule="auto"/>
              <w:ind w:left="342"/>
              <w:rPr>
                <w:rFonts w:ascii="Calibri" w:hAnsi="Calibri" w:cs="Calibri"/>
                <w:b w:val="0"/>
                <w:sz w:val="20"/>
                <w:szCs w:val="20"/>
              </w:rPr>
            </w:pPr>
            <w:r w:rsidRPr="004E052D">
              <w:rPr>
                <w:rFonts w:ascii="Calibri" w:hAnsi="Calibri" w:cs="Calibri"/>
                <w:b w:val="0"/>
                <w:sz w:val="20"/>
                <w:szCs w:val="20"/>
              </w:rPr>
              <w:t xml:space="preserve">Key stakeholders report positively on usefulness of materials </w:t>
            </w:r>
          </w:p>
        </w:tc>
        <w:tc>
          <w:tcPr>
            <w:tcW w:w="2700" w:type="dxa"/>
            <w:shd w:val="clear" w:color="auto" w:fill="auto"/>
          </w:tcPr>
          <w:p w14:paraId="543111C9" w14:textId="33D3119B" w:rsidR="00535266" w:rsidRDefault="00535266" w:rsidP="00D07F89">
            <w:pPr>
              <w:pStyle w:val="TableHead"/>
              <w:spacing w:before="40" w:after="40" w:line="240" w:lineRule="auto"/>
              <w:rPr>
                <w:rFonts w:ascii="Calibri" w:hAnsi="Calibri" w:cs="Calibri"/>
                <w:b w:val="0"/>
                <w:sz w:val="20"/>
                <w:szCs w:val="20"/>
              </w:rPr>
            </w:pPr>
            <w:r w:rsidRPr="004E052D">
              <w:rPr>
                <w:rFonts w:ascii="Calibri" w:hAnsi="Calibri" w:cs="Calibri"/>
                <w:b w:val="0"/>
                <w:sz w:val="20"/>
                <w:szCs w:val="20"/>
              </w:rPr>
              <w:t>Task Team</w:t>
            </w:r>
            <w:r w:rsidR="000E5B35">
              <w:rPr>
                <w:rFonts w:ascii="Calibri" w:hAnsi="Calibri" w:cs="Calibri"/>
                <w:b w:val="0"/>
                <w:sz w:val="20"/>
                <w:szCs w:val="20"/>
              </w:rPr>
              <w:t>, in collaboration with key actors (e.g. IASC Secretariat, EDG, STAIT, GPC, OCHA</w:t>
            </w:r>
            <w:r w:rsidRPr="004E052D">
              <w:rPr>
                <w:rFonts w:ascii="Calibri" w:hAnsi="Calibri" w:cs="Calibri"/>
                <w:b w:val="0"/>
                <w:sz w:val="20"/>
                <w:szCs w:val="20"/>
              </w:rPr>
              <w:t xml:space="preserve"> </w:t>
            </w:r>
            <w:r w:rsidR="004D2469">
              <w:rPr>
                <w:rFonts w:ascii="Calibri" w:hAnsi="Calibri" w:cs="Calibri"/>
                <w:b w:val="0"/>
                <w:sz w:val="20"/>
                <w:szCs w:val="20"/>
              </w:rPr>
              <w:t xml:space="preserve"> </w:t>
            </w:r>
          </w:p>
          <w:p w14:paraId="798423AF" w14:textId="7C52EE61" w:rsidR="00535266" w:rsidRPr="004D2469" w:rsidRDefault="004D2469" w:rsidP="00D07F89">
            <w:pPr>
              <w:pStyle w:val="TableHead"/>
              <w:spacing w:before="40" w:after="40" w:line="240" w:lineRule="auto"/>
              <w:rPr>
                <w:rFonts w:ascii="Calibri" w:hAnsi="Calibri" w:cs="Calibri"/>
                <w:b w:val="0"/>
                <w:i/>
                <w:sz w:val="20"/>
                <w:szCs w:val="20"/>
              </w:rPr>
            </w:pPr>
            <w:r w:rsidRPr="004D2469">
              <w:rPr>
                <w:rFonts w:ascii="Calibri" w:hAnsi="Calibri" w:cs="Calibri"/>
                <w:b w:val="0"/>
                <w:i/>
                <w:sz w:val="20"/>
                <w:szCs w:val="20"/>
              </w:rPr>
              <w:t xml:space="preserve">[see more comprehensive list of key stakeholders below] </w:t>
            </w:r>
          </w:p>
        </w:tc>
        <w:tc>
          <w:tcPr>
            <w:tcW w:w="2154" w:type="dxa"/>
            <w:shd w:val="clear" w:color="auto" w:fill="auto"/>
          </w:tcPr>
          <w:p w14:paraId="5D59DE58" w14:textId="77777777" w:rsidR="00535266" w:rsidRPr="004E052D" w:rsidRDefault="00535266" w:rsidP="00D07F89">
            <w:pPr>
              <w:pStyle w:val="TableHead"/>
              <w:spacing w:before="40" w:after="40" w:line="240" w:lineRule="auto"/>
              <w:rPr>
                <w:rFonts w:ascii="Calibri" w:hAnsi="Calibri" w:cs="Calibri"/>
                <w:b w:val="0"/>
                <w:sz w:val="20"/>
                <w:szCs w:val="20"/>
              </w:rPr>
            </w:pPr>
            <w:r w:rsidRPr="004E052D">
              <w:rPr>
                <w:rFonts w:ascii="Calibri" w:hAnsi="Calibri" w:cs="Calibri"/>
                <w:b w:val="0"/>
                <w:sz w:val="20"/>
                <w:szCs w:val="20"/>
              </w:rPr>
              <w:t>October 2016 – February 2017</w:t>
            </w:r>
          </w:p>
        </w:tc>
      </w:tr>
      <w:tr w:rsidR="00535266" w:rsidRPr="00025249" w14:paraId="4D255CA4" w14:textId="77777777" w:rsidTr="00A65F35">
        <w:tc>
          <w:tcPr>
            <w:tcW w:w="2523" w:type="dxa"/>
            <w:vMerge w:val="restart"/>
            <w:shd w:val="clear" w:color="auto" w:fill="auto"/>
          </w:tcPr>
          <w:p w14:paraId="74109ABE" w14:textId="77777777" w:rsidR="004D2469" w:rsidRDefault="00535266" w:rsidP="004D2469">
            <w:pPr>
              <w:pStyle w:val="ListParagraph"/>
              <w:numPr>
                <w:ilvl w:val="0"/>
                <w:numId w:val="5"/>
              </w:numPr>
              <w:spacing w:before="40" w:after="40"/>
              <w:ind w:left="216" w:hanging="216"/>
              <w:contextualSpacing w:val="0"/>
              <w:rPr>
                <w:rFonts w:asciiTheme="minorHAnsi" w:hAnsiTheme="minorHAnsi"/>
                <w:sz w:val="20"/>
                <w:szCs w:val="20"/>
              </w:rPr>
            </w:pPr>
            <w:r w:rsidRPr="00201966">
              <w:rPr>
                <w:rFonts w:asciiTheme="minorHAnsi" w:hAnsiTheme="minorHAnsi"/>
                <w:sz w:val="20"/>
                <w:szCs w:val="20"/>
              </w:rPr>
              <w:t>The institutionalization of the Centrality of Protection</w:t>
            </w:r>
            <w:r w:rsidR="004D2469">
              <w:rPr>
                <w:rFonts w:asciiTheme="minorHAnsi" w:hAnsiTheme="minorHAnsi"/>
                <w:sz w:val="20"/>
                <w:szCs w:val="20"/>
              </w:rPr>
              <w:t xml:space="preserve"> </w:t>
            </w:r>
            <w:r w:rsidRPr="00201966">
              <w:rPr>
                <w:rFonts w:asciiTheme="minorHAnsi" w:hAnsiTheme="minorHAnsi"/>
                <w:sz w:val="20"/>
                <w:szCs w:val="20"/>
              </w:rPr>
              <w:t xml:space="preserve">within humanitarian </w:t>
            </w:r>
            <w:proofErr w:type="spellStart"/>
            <w:r w:rsidRPr="00201966">
              <w:rPr>
                <w:rFonts w:asciiTheme="minorHAnsi" w:hAnsiTheme="minorHAnsi"/>
                <w:sz w:val="20"/>
                <w:szCs w:val="20"/>
              </w:rPr>
              <w:t>organisations</w:t>
            </w:r>
            <w:proofErr w:type="spellEnd"/>
            <w:r w:rsidRPr="00201966">
              <w:rPr>
                <w:rFonts w:asciiTheme="minorHAnsi" w:hAnsiTheme="minorHAnsi"/>
                <w:sz w:val="20"/>
                <w:szCs w:val="20"/>
              </w:rPr>
              <w:t>, the humanitarian leadership, inter-agency fora, mechanisms, and decision-making processes, and in relation to other relevant stakeholders</w:t>
            </w:r>
            <w:r w:rsidR="004D2469">
              <w:rPr>
                <w:rFonts w:asciiTheme="minorHAnsi" w:hAnsiTheme="minorHAnsi"/>
                <w:sz w:val="20"/>
                <w:szCs w:val="20"/>
              </w:rPr>
              <w:t xml:space="preserve"> (see section B of the IASC Protection Policy roll out and implementation plan)</w:t>
            </w:r>
            <w:r w:rsidRPr="00201966">
              <w:rPr>
                <w:rFonts w:asciiTheme="minorHAnsi" w:hAnsiTheme="minorHAnsi"/>
                <w:sz w:val="20"/>
                <w:szCs w:val="20"/>
              </w:rPr>
              <w:t xml:space="preserve">. </w:t>
            </w:r>
          </w:p>
          <w:p w14:paraId="1807A2E4" w14:textId="3C0D5DD0" w:rsidR="00535266" w:rsidRPr="00201966" w:rsidRDefault="00535266" w:rsidP="004D2469">
            <w:pPr>
              <w:pStyle w:val="ListParagraph"/>
              <w:spacing w:before="40" w:after="40"/>
              <w:ind w:left="216"/>
              <w:contextualSpacing w:val="0"/>
              <w:rPr>
                <w:rFonts w:asciiTheme="minorHAnsi" w:hAnsiTheme="minorHAnsi"/>
                <w:sz w:val="20"/>
                <w:szCs w:val="20"/>
              </w:rPr>
            </w:pPr>
            <w:r w:rsidRPr="00201966">
              <w:rPr>
                <w:rFonts w:asciiTheme="minorHAnsi" w:hAnsiTheme="minorHAnsi"/>
                <w:sz w:val="20"/>
                <w:szCs w:val="20"/>
              </w:rPr>
              <w:t xml:space="preserve">  </w:t>
            </w:r>
          </w:p>
        </w:tc>
        <w:tc>
          <w:tcPr>
            <w:tcW w:w="3525" w:type="dxa"/>
            <w:shd w:val="clear" w:color="auto" w:fill="auto"/>
          </w:tcPr>
          <w:p w14:paraId="7800BF7E" w14:textId="77777777" w:rsidR="00535266" w:rsidRPr="004E052D" w:rsidRDefault="00201966" w:rsidP="00201966">
            <w:pPr>
              <w:spacing w:before="40" w:after="40"/>
              <w:ind w:left="288" w:hanging="288"/>
              <w:jc w:val="left"/>
              <w:rPr>
                <w:rFonts w:asciiTheme="minorHAnsi" w:hAnsiTheme="minorHAnsi"/>
                <w:sz w:val="20"/>
                <w:szCs w:val="20"/>
              </w:rPr>
            </w:pPr>
            <w:r>
              <w:rPr>
                <w:rFonts w:asciiTheme="minorHAnsi" w:hAnsiTheme="minorHAnsi"/>
                <w:sz w:val="20"/>
                <w:szCs w:val="20"/>
              </w:rPr>
              <w:t xml:space="preserve">2.1 </w:t>
            </w:r>
            <w:r w:rsidR="00535266" w:rsidRPr="004E052D">
              <w:rPr>
                <w:rFonts w:asciiTheme="minorHAnsi" w:hAnsiTheme="minorHAnsi"/>
                <w:sz w:val="20"/>
                <w:szCs w:val="20"/>
              </w:rPr>
              <w:t xml:space="preserve">Promote the implementation of the IASC Protection Policy, in liaison with other key stakeholders, including through integration into policies, guidance and management of humanitarian response activities  </w:t>
            </w:r>
          </w:p>
        </w:tc>
        <w:tc>
          <w:tcPr>
            <w:tcW w:w="3600" w:type="dxa"/>
            <w:shd w:val="clear" w:color="auto" w:fill="auto"/>
          </w:tcPr>
          <w:p w14:paraId="4FBF4D98" w14:textId="77777777" w:rsidR="00535266" w:rsidRPr="004E052D" w:rsidRDefault="00535266" w:rsidP="007644E3">
            <w:pPr>
              <w:pStyle w:val="TableHead"/>
              <w:numPr>
                <w:ilvl w:val="0"/>
                <w:numId w:val="4"/>
              </w:numPr>
              <w:spacing w:before="40" w:after="40" w:line="240" w:lineRule="auto"/>
              <w:ind w:left="342"/>
              <w:rPr>
                <w:rFonts w:ascii="Calibri" w:hAnsi="Calibri" w:cs="Calibri"/>
                <w:b w:val="0"/>
                <w:sz w:val="20"/>
                <w:szCs w:val="20"/>
              </w:rPr>
            </w:pPr>
            <w:r w:rsidRPr="004E052D">
              <w:rPr>
                <w:rFonts w:ascii="Calibri" w:hAnsi="Calibri" w:cs="Calibri"/>
                <w:b w:val="0"/>
                <w:sz w:val="20"/>
                <w:szCs w:val="20"/>
              </w:rPr>
              <w:t xml:space="preserve">Full coverage of all stakeholders identified in the strategy </w:t>
            </w:r>
          </w:p>
          <w:p w14:paraId="79108DC4" w14:textId="77777777" w:rsidR="00535266" w:rsidRDefault="00535266" w:rsidP="007644E3">
            <w:pPr>
              <w:pStyle w:val="TableHead"/>
              <w:numPr>
                <w:ilvl w:val="0"/>
                <w:numId w:val="4"/>
              </w:numPr>
              <w:spacing w:before="40" w:after="40" w:line="240" w:lineRule="auto"/>
              <w:ind w:left="342"/>
              <w:rPr>
                <w:rFonts w:ascii="Calibri" w:hAnsi="Calibri" w:cs="Calibri"/>
                <w:b w:val="0"/>
                <w:sz w:val="20"/>
                <w:szCs w:val="20"/>
              </w:rPr>
            </w:pPr>
            <w:r w:rsidRPr="004E052D">
              <w:rPr>
                <w:rFonts w:ascii="Calibri" w:hAnsi="Calibri" w:cs="Calibri"/>
                <w:b w:val="0"/>
                <w:sz w:val="20"/>
                <w:szCs w:val="20"/>
              </w:rPr>
              <w:t xml:space="preserve">#s of briefings, webinars, </w:t>
            </w:r>
            <w:proofErr w:type="spellStart"/>
            <w:r w:rsidRPr="004E052D">
              <w:rPr>
                <w:rFonts w:ascii="Calibri" w:hAnsi="Calibri" w:cs="Calibri"/>
                <w:b w:val="0"/>
                <w:sz w:val="20"/>
                <w:szCs w:val="20"/>
              </w:rPr>
              <w:t>etc</w:t>
            </w:r>
            <w:proofErr w:type="spellEnd"/>
          </w:p>
          <w:p w14:paraId="0B1B9856" w14:textId="23783A51" w:rsidR="00535266" w:rsidRPr="004D2469" w:rsidRDefault="004D2469" w:rsidP="004E052D">
            <w:pPr>
              <w:pStyle w:val="TableHead"/>
              <w:numPr>
                <w:ilvl w:val="0"/>
                <w:numId w:val="4"/>
              </w:numPr>
              <w:spacing w:before="40" w:after="40" w:line="240" w:lineRule="auto"/>
              <w:ind w:left="342"/>
              <w:rPr>
                <w:rFonts w:ascii="Calibri" w:hAnsi="Calibri" w:cs="Calibri"/>
                <w:b w:val="0"/>
                <w:sz w:val="20"/>
                <w:szCs w:val="20"/>
              </w:rPr>
            </w:pPr>
            <w:r w:rsidRPr="004E052D">
              <w:rPr>
                <w:rFonts w:ascii="Calibri" w:hAnsi="Calibri" w:cs="Calibri"/>
                <w:b w:val="0"/>
                <w:sz w:val="20"/>
                <w:szCs w:val="20"/>
              </w:rPr>
              <w:t>Critical inter-agency policies and guidance material incorporate the Protection Policy</w:t>
            </w:r>
          </w:p>
        </w:tc>
        <w:tc>
          <w:tcPr>
            <w:tcW w:w="2700" w:type="dxa"/>
            <w:shd w:val="clear" w:color="auto" w:fill="auto"/>
          </w:tcPr>
          <w:p w14:paraId="3CAFBFBC" w14:textId="77777777" w:rsidR="00535266" w:rsidRPr="004E052D" w:rsidRDefault="00535266" w:rsidP="00535266">
            <w:pPr>
              <w:pStyle w:val="TableHead"/>
              <w:spacing w:before="40" w:after="40" w:line="240" w:lineRule="auto"/>
              <w:rPr>
                <w:rFonts w:ascii="Calibri" w:hAnsi="Calibri" w:cs="Calibri"/>
                <w:b w:val="0"/>
                <w:sz w:val="20"/>
                <w:szCs w:val="20"/>
              </w:rPr>
            </w:pPr>
            <w:r w:rsidRPr="004E052D">
              <w:rPr>
                <w:rFonts w:ascii="Calibri" w:hAnsi="Calibri" w:cs="Calibri"/>
                <w:b w:val="0"/>
                <w:sz w:val="20"/>
                <w:szCs w:val="20"/>
              </w:rPr>
              <w:t xml:space="preserve">Task Team </w:t>
            </w:r>
          </w:p>
          <w:p w14:paraId="3D5B5462" w14:textId="62228B7B" w:rsidR="00535266" w:rsidRPr="004E052D" w:rsidRDefault="00535266" w:rsidP="00535266">
            <w:pPr>
              <w:pStyle w:val="TableHead"/>
              <w:spacing w:before="40" w:after="40" w:line="240" w:lineRule="auto"/>
              <w:rPr>
                <w:rFonts w:ascii="Calibri" w:hAnsi="Calibri" w:cs="Calibri"/>
                <w:b w:val="0"/>
                <w:sz w:val="20"/>
                <w:szCs w:val="20"/>
              </w:rPr>
            </w:pPr>
          </w:p>
        </w:tc>
        <w:tc>
          <w:tcPr>
            <w:tcW w:w="2154" w:type="dxa"/>
            <w:shd w:val="clear" w:color="auto" w:fill="auto"/>
          </w:tcPr>
          <w:p w14:paraId="73C0F935" w14:textId="624DDBD4" w:rsidR="00535266" w:rsidRPr="004E052D" w:rsidRDefault="00535266" w:rsidP="004D2469">
            <w:pPr>
              <w:pStyle w:val="TableHead"/>
              <w:spacing w:before="40" w:after="40" w:line="240" w:lineRule="auto"/>
              <w:rPr>
                <w:rFonts w:ascii="Calibri" w:hAnsi="Calibri" w:cs="Calibri"/>
                <w:b w:val="0"/>
                <w:sz w:val="20"/>
                <w:szCs w:val="20"/>
              </w:rPr>
            </w:pPr>
            <w:r w:rsidRPr="004E052D">
              <w:rPr>
                <w:rFonts w:ascii="Calibri" w:hAnsi="Calibri" w:cs="Calibri"/>
                <w:b w:val="0"/>
                <w:sz w:val="20"/>
                <w:szCs w:val="20"/>
              </w:rPr>
              <w:t xml:space="preserve">October 2016 – </w:t>
            </w:r>
            <w:r w:rsidR="004D2469">
              <w:rPr>
                <w:rFonts w:ascii="Calibri" w:hAnsi="Calibri" w:cs="Calibri"/>
                <w:b w:val="0"/>
                <w:sz w:val="20"/>
                <w:szCs w:val="20"/>
              </w:rPr>
              <w:t>December</w:t>
            </w:r>
            <w:r w:rsidR="004D2469" w:rsidRPr="004E052D">
              <w:rPr>
                <w:rFonts w:ascii="Calibri" w:hAnsi="Calibri" w:cs="Calibri"/>
                <w:b w:val="0"/>
                <w:sz w:val="20"/>
                <w:szCs w:val="20"/>
              </w:rPr>
              <w:t xml:space="preserve"> </w:t>
            </w:r>
            <w:r w:rsidRPr="004E052D">
              <w:rPr>
                <w:rFonts w:ascii="Calibri" w:hAnsi="Calibri" w:cs="Calibri"/>
                <w:b w:val="0"/>
                <w:sz w:val="20"/>
                <w:szCs w:val="20"/>
              </w:rPr>
              <w:t>2017</w:t>
            </w:r>
          </w:p>
        </w:tc>
      </w:tr>
      <w:tr w:rsidR="00535266" w:rsidRPr="00025249" w14:paraId="58A30A74" w14:textId="77777777" w:rsidTr="00A65F35">
        <w:tc>
          <w:tcPr>
            <w:tcW w:w="2523" w:type="dxa"/>
            <w:vMerge/>
            <w:shd w:val="clear" w:color="auto" w:fill="auto"/>
          </w:tcPr>
          <w:p w14:paraId="5326547D" w14:textId="77777777" w:rsidR="00535266" w:rsidRPr="00201966" w:rsidRDefault="00535266" w:rsidP="00201966">
            <w:pPr>
              <w:pStyle w:val="ListParagraph"/>
              <w:numPr>
                <w:ilvl w:val="0"/>
                <w:numId w:val="5"/>
              </w:numPr>
              <w:spacing w:before="40" w:after="40"/>
              <w:ind w:left="216" w:hanging="216"/>
              <w:contextualSpacing w:val="0"/>
              <w:rPr>
                <w:rFonts w:asciiTheme="minorHAnsi" w:hAnsiTheme="minorHAnsi"/>
                <w:sz w:val="20"/>
                <w:szCs w:val="20"/>
              </w:rPr>
            </w:pPr>
          </w:p>
        </w:tc>
        <w:tc>
          <w:tcPr>
            <w:tcW w:w="3525" w:type="dxa"/>
            <w:shd w:val="clear" w:color="auto" w:fill="auto"/>
          </w:tcPr>
          <w:p w14:paraId="00843188" w14:textId="104A2D10" w:rsidR="00535266" w:rsidRPr="004E052D" w:rsidRDefault="00201966" w:rsidP="002571F5">
            <w:pPr>
              <w:spacing w:before="40" w:after="40" w:line="240" w:lineRule="auto"/>
              <w:ind w:left="288" w:hanging="288"/>
              <w:jc w:val="left"/>
              <w:rPr>
                <w:rFonts w:asciiTheme="minorHAnsi" w:hAnsiTheme="minorHAnsi"/>
                <w:sz w:val="20"/>
                <w:szCs w:val="20"/>
              </w:rPr>
            </w:pPr>
            <w:r>
              <w:rPr>
                <w:rFonts w:asciiTheme="minorHAnsi" w:hAnsiTheme="minorHAnsi"/>
                <w:sz w:val="20"/>
                <w:szCs w:val="20"/>
              </w:rPr>
              <w:t>2.</w:t>
            </w:r>
            <w:r w:rsidR="004D2469">
              <w:rPr>
                <w:rFonts w:asciiTheme="minorHAnsi" w:hAnsiTheme="minorHAnsi"/>
                <w:sz w:val="20"/>
                <w:szCs w:val="20"/>
              </w:rPr>
              <w:t>2</w:t>
            </w:r>
            <w:r>
              <w:rPr>
                <w:rFonts w:asciiTheme="minorHAnsi" w:hAnsiTheme="minorHAnsi"/>
                <w:sz w:val="20"/>
                <w:szCs w:val="20"/>
              </w:rPr>
              <w:t xml:space="preserve"> </w:t>
            </w:r>
            <w:r w:rsidR="00C32307">
              <w:rPr>
                <w:rFonts w:asciiTheme="minorHAnsi" w:hAnsiTheme="minorHAnsi"/>
                <w:sz w:val="20"/>
                <w:szCs w:val="20"/>
              </w:rPr>
              <w:t xml:space="preserve">Promote practical support for </w:t>
            </w:r>
            <w:r w:rsidR="00535266" w:rsidRPr="004E052D">
              <w:rPr>
                <w:rFonts w:asciiTheme="minorHAnsi" w:hAnsiTheme="minorHAnsi"/>
                <w:sz w:val="20"/>
                <w:szCs w:val="20"/>
              </w:rPr>
              <w:t xml:space="preserve">country level implementation in close collaboration with relevant stakeholders </w:t>
            </w:r>
          </w:p>
        </w:tc>
        <w:tc>
          <w:tcPr>
            <w:tcW w:w="3600" w:type="dxa"/>
            <w:shd w:val="clear" w:color="auto" w:fill="auto"/>
          </w:tcPr>
          <w:p w14:paraId="6A6CD405" w14:textId="77777777" w:rsidR="00535266" w:rsidRPr="004E052D" w:rsidRDefault="00535266" w:rsidP="000417A8">
            <w:pPr>
              <w:pStyle w:val="TableHead"/>
              <w:numPr>
                <w:ilvl w:val="0"/>
                <w:numId w:val="4"/>
              </w:numPr>
              <w:spacing w:before="40" w:after="40" w:line="240" w:lineRule="auto"/>
              <w:ind w:left="342"/>
              <w:rPr>
                <w:rFonts w:ascii="Calibri" w:hAnsi="Calibri" w:cs="Calibri"/>
                <w:b w:val="0"/>
                <w:sz w:val="20"/>
                <w:szCs w:val="20"/>
              </w:rPr>
            </w:pPr>
            <w:r w:rsidRPr="004E052D">
              <w:rPr>
                <w:rFonts w:ascii="Calibri" w:hAnsi="Calibri" w:cs="Calibri"/>
                <w:b w:val="0"/>
                <w:sz w:val="20"/>
                <w:szCs w:val="20"/>
              </w:rPr>
              <w:t xml:space="preserve">Meeting records </w:t>
            </w:r>
          </w:p>
          <w:p w14:paraId="6C0EA4B3" w14:textId="77777777" w:rsidR="00535266" w:rsidRPr="004E052D" w:rsidRDefault="00535266" w:rsidP="000417A8">
            <w:pPr>
              <w:pStyle w:val="TableHead"/>
              <w:numPr>
                <w:ilvl w:val="0"/>
                <w:numId w:val="4"/>
              </w:numPr>
              <w:spacing w:before="40" w:after="40" w:line="240" w:lineRule="auto"/>
              <w:ind w:left="342"/>
              <w:rPr>
                <w:rFonts w:ascii="Calibri" w:hAnsi="Calibri" w:cs="Calibri"/>
                <w:b w:val="0"/>
                <w:sz w:val="20"/>
                <w:szCs w:val="20"/>
              </w:rPr>
            </w:pPr>
            <w:r w:rsidRPr="004E052D">
              <w:rPr>
                <w:rFonts w:ascii="Calibri" w:hAnsi="Calibri" w:cs="Calibri"/>
                <w:b w:val="0"/>
                <w:sz w:val="20"/>
                <w:szCs w:val="20"/>
              </w:rPr>
              <w:t xml:space="preserve">Reports from country missions and reviews </w:t>
            </w:r>
          </w:p>
        </w:tc>
        <w:tc>
          <w:tcPr>
            <w:tcW w:w="2700" w:type="dxa"/>
            <w:shd w:val="clear" w:color="auto" w:fill="auto"/>
          </w:tcPr>
          <w:p w14:paraId="08D14704" w14:textId="77777777" w:rsidR="00535266" w:rsidRPr="004E052D" w:rsidRDefault="00535266" w:rsidP="00535266">
            <w:pPr>
              <w:pStyle w:val="TableHead"/>
              <w:spacing w:before="40" w:after="40" w:line="240" w:lineRule="auto"/>
              <w:rPr>
                <w:rFonts w:ascii="Calibri" w:hAnsi="Calibri" w:cs="Calibri"/>
                <w:b w:val="0"/>
                <w:sz w:val="20"/>
                <w:szCs w:val="20"/>
              </w:rPr>
            </w:pPr>
            <w:r w:rsidRPr="004E052D">
              <w:rPr>
                <w:rFonts w:ascii="Calibri" w:hAnsi="Calibri" w:cs="Calibri"/>
                <w:b w:val="0"/>
                <w:sz w:val="20"/>
                <w:szCs w:val="20"/>
              </w:rPr>
              <w:t xml:space="preserve">Task Team </w:t>
            </w:r>
          </w:p>
          <w:p w14:paraId="5F9E0BCA" w14:textId="516C4844" w:rsidR="00535266" w:rsidRPr="004E052D" w:rsidRDefault="00535266" w:rsidP="00535266">
            <w:pPr>
              <w:pStyle w:val="TableHead"/>
              <w:spacing w:before="40" w:after="40" w:line="240" w:lineRule="auto"/>
              <w:rPr>
                <w:rFonts w:ascii="Calibri" w:hAnsi="Calibri" w:cs="Calibri"/>
                <w:b w:val="0"/>
                <w:sz w:val="20"/>
                <w:szCs w:val="20"/>
              </w:rPr>
            </w:pPr>
          </w:p>
        </w:tc>
        <w:tc>
          <w:tcPr>
            <w:tcW w:w="2154" w:type="dxa"/>
            <w:shd w:val="clear" w:color="auto" w:fill="auto"/>
          </w:tcPr>
          <w:p w14:paraId="4D372C15" w14:textId="77777777" w:rsidR="00535266" w:rsidRPr="004E052D" w:rsidRDefault="004E052D" w:rsidP="000417A8">
            <w:pPr>
              <w:pStyle w:val="TableHead"/>
              <w:spacing w:before="40" w:after="40" w:line="240" w:lineRule="auto"/>
              <w:rPr>
                <w:rFonts w:ascii="Calibri" w:hAnsi="Calibri" w:cs="Calibri"/>
                <w:b w:val="0"/>
                <w:sz w:val="20"/>
                <w:szCs w:val="20"/>
              </w:rPr>
            </w:pPr>
            <w:r w:rsidRPr="004E052D">
              <w:rPr>
                <w:rFonts w:ascii="Calibri" w:hAnsi="Calibri" w:cs="Calibri"/>
                <w:b w:val="0"/>
                <w:sz w:val="20"/>
                <w:szCs w:val="20"/>
              </w:rPr>
              <w:t xml:space="preserve">October 2016 – December 2017 </w:t>
            </w:r>
          </w:p>
        </w:tc>
      </w:tr>
      <w:tr w:rsidR="00BB35F0" w:rsidRPr="00025249" w14:paraId="20E5F8D1" w14:textId="77777777" w:rsidTr="00A65F35">
        <w:tc>
          <w:tcPr>
            <w:tcW w:w="2523" w:type="dxa"/>
            <w:vMerge w:val="restart"/>
            <w:shd w:val="clear" w:color="auto" w:fill="auto"/>
          </w:tcPr>
          <w:p w14:paraId="01D4E268" w14:textId="77777777" w:rsidR="00BB35F0" w:rsidRPr="004E052D" w:rsidRDefault="00BB35F0" w:rsidP="00201966">
            <w:pPr>
              <w:pStyle w:val="TableHead"/>
              <w:numPr>
                <w:ilvl w:val="0"/>
                <w:numId w:val="5"/>
              </w:numPr>
              <w:spacing w:before="40" w:after="40" w:line="240" w:lineRule="auto"/>
              <w:ind w:left="216" w:hanging="216"/>
              <w:rPr>
                <w:rFonts w:ascii="Calibri" w:hAnsi="Calibri" w:cs="Calibri"/>
                <w:b w:val="0"/>
                <w:sz w:val="20"/>
                <w:szCs w:val="20"/>
              </w:rPr>
            </w:pPr>
            <w:r w:rsidRPr="004E052D">
              <w:rPr>
                <w:rFonts w:ascii="Calibri" w:hAnsi="Calibri" w:cs="Calibri"/>
                <w:b w:val="0"/>
                <w:sz w:val="20"/>
                <w:szCs w:val="20"/>
              </w:rPr>
              <w:t>Strategic and collective response to achieve protection outcomes in humanitarian crises.</w:t>
            </w:r>
          </w:p>
        </w:tc>
        <w:tc>
          <w:tcPr>
            <w:tcW w:w="3525" w:type="dxa"/>
            <w:shd w:val="clear" w:color="auto" w:fill="auto"/>
          </w:tcPr>
          <w:p w14:paraId="5EFE5039" w14:textId="421D2D39" w:rsidR="00BB35F0" w:rsidRPr="004E052D" w:rsidRDefault="00201966" w:rsidP="00201966">
            <w:pPr>
              <w:spacing w:before="40" w:after="40" w:line="240" w:lineRule="auto"/>
              <w:ind w:left="288" w:hanging="288"/>
              <w:jc w:val="left"/>
              <w:rPr>
                <w:rFonts w:asciiTheme="minorHAnsi" w:hAnsiTheme="minorHAnsi"/>
                <w:sz w:val="20"/>
                <w:szCs w:val="20"/>
              </w:rPr>
            </w:pPr>
            <w:r>
              <w:rPr>
                <w:rFonts w:asciiTheme="minorHAnsi" w:hAnsiTheme="minorHAnsi"/>
                <w:sz w:val="20"/>
                <w:szCs w:val="20"/>
              </w:rPr>
              <w:t xml:space="preserve">3.1 </w:t>
            </w:r>
            <w:r w:rsidR="00FD005F">
              <w:rPr>
                <w:rFonts w:asciiTheme="minorHAnsi" w:hAnsiTheme="minorHAnsi"/>
              </w:rPr>
              <w:t>Undertake specific tasks identified by the IASC WG to advance the protection agenda.</w:t>
            </w:r>
          </w:p>
          <w:p w14:paraId="5D588D80" w14:textId="77777777" w:rsidR="00BB35F0" w:rsidRPr="004E052D" w:rsidRDefault="00BB35F0" w:rsidP="00201966">
            <w:pPr>
              <w:spacing w:before="40" w:after="40" w:line="240" w:lineRule="auto"/>
              <w:ind w:left="288" w:hanging="288"/>
              <w:jc w:val="left"/>
              <w:rPr>
                <w:rFonts w:ascii="Calibri" w:hAnsi="Calibri" w:cs="Calibri"/>
                <w:b/>
                <w:sz w:val="20"/>
                <w:szCs w:val="20"/>
              </w:rPr>
            </w:pPr>
          </w:p>
        </w:tc>
        <w:tc>
          <w:tcPr>
            <w:tcW w:w="3600" w:type="dxa"/>
            <w:shd w:val="clear" w:color="auto" w:fill="auto"/>
          </w:tcPr>
          <w:p w14:paraId="29393C78" w14:textId="77777777" w:rsidR="00C32307" w:rsidRPr="00201966" w:rsidRDefault="00BB35F0" w:rsidP="00201966">
            <w:pPr>
              <w:pStyle w:val="TableHead"/>
              <w:numPr>
                <w:ilvl w:val="0"/>
                <w:numId w:val="4"/>
              </w:numPr>
              <w:spacing w:before="40" w:after="40" w:line="240" w:lineRule="auto"/>
              <w:ind w:left="342"/>
              <w:rPr>
                <w:rFonts w:ascii="Calibri" w:hAnsi="Calibri" w:cs="Calibri"/>
                <w:b w:val="0"/>
                <w:sz w:val="20"/>
                <w:szCs w:val="20"/>
              </w:rPr>
            </w:pPr>
            <w:r w:rsidRPr="004E052D">
              <w:rPr>
                <w:rFonts w:ascii="Calibri" w:hAnsi="Calibri" w:cs="Calibri"/>
                <w:b w:val="0"/>
                <w:sz w:val="20"/>
                <w:szCs w:val="20"/>
              </w:rPr>
              <w:t>EDG, IASC WG, Principals agendas include</w:t>
            </w:r>
            <w:r w:rsidR="004E052D" w:rsidRPr="004E052D">
              <w:rPr>
                <w:rFonts w:ascii="Calibri" w:hAnsi="Calibri" w:cs="Calibri"/>
                <w:b w:val="0"/>
                <w:sz w:val="20"/>
                <w:szCs w:val="20"/>
              </w:rPr>
              <w:t xml:space="preserve"> critical protection</w:t>
            </w:r>
            <w:r w:rsidRPr="004E052D">
              <w:rPr>
                <w:rFonts w:ascii="Calibri" w:hAnsi="Calibri" w:cs="Calibri"/>
                <w:b w:val="0"/>
                <w:sz w:val="20"/>
                <w:szCs w:val="20"/>
              </w:rPr>
              <w:t xml:space="preserve"> issues </w:t>
            </w:r>
            <w:r w:rsidR="004E052D" w:rsidRPr="004E052D">
              <w:rPr>
                <w:rFonts w:ascii="Calibri" w:hAnsi="Calibri" w:cs="Calibri"/>
                <w:b w:val="0"/>
                <w:sz w:val="20"/>
                <w:szCs w:val="20"/>
              </w:rPr>
              <w:t>and recommended actions relevant to the roles of these fora</w:t>
            </w:r>
          </w:p>
        </w:tc>
        <w:tc>
          <w:tcPr>
            <w:tcW w:w="2700" w:type="dxa"/>
            <w:shd w:val="clear" w:color="auto" w:fill="auto"/>
          </w:tcPr>
          <w:p w14:paraId="13D1A0B0" w14:textId="77777777" w:rsidR="00BB35F0" w:rsidRPr="004E052D" w:rsidRDefault="00BB35F0" w:rsidP="00535266">
            <w:pPr>
              <w:pStyle w:val="TableHead"/>
              <w:spacing w:before="40" w:after="40" w:line="240" w:lineRule="auto"/>
              <w:rPr>
                <w:rFonts w:ascii="Calibri" w:hAnsi="Calibri" w:cs="Calibri"/>
                <w:b w:val="0"/>
                <w:sz w:val="20"/>
                <w:szCs w:val="20"/>
              </w:rPr>
            </w:pPr>
            <w:r w:rsidRPr="004E052D">
              <w:rPr>
                <w:rFonts w:ascii="Calibri" w:hAnsi="Calibri" w:cs="Calibri"/>
                <w:b w:val="0"/>
                <w:sz w:val="20"/>
                <w:szCs w:val="20"/>
              </w:rPr>
              <w:t xml:space="preserve">Task Team </w:t>
            </w:r>
          </w:p>
          <w:p w14:paraId="6C0E3249" w14:textId="77777777" w:rsidR="00BB35F0" w:rsidRPr="004E052D" w:rsidRDefault="00BB35F0" w:rsidP="00535266">
            <w:pPr>
              <w:pStyle w:val="TableHead"/>
              <w:spacing w:before="40" w:after="40" w:line="240" w:lineRule="auto"/>
              <w:rPr>
                <w:rFonts w:ascii="Calibri" w:hAnsi="Calibri" w:cs="Calibri"/>
                <w:b w:val="0"/>
                <w:sz w:val="20"/>
                <w:szCs w:val="20"/>
              </w:rPr>
            </w:pPr>
            <w:r w:rsidRPr="004E052D">
              <w:rPr>
                <w:rFonts w:ascii="Calibri" w:hAnsi="Calibri" w:cs="Calibri"/>
                <w:b w:val="0"/>
                <w:sz w:val="20"/>
                <w:szCs w:val="20"/>
              </w:rPr>
              <w:t xml:space="preserve">IASC Secretariat </w:t>
            </w:r>
          </w:p>
        </w:tc>
        <w:tc>
          <w:tcPr>
            <w:tcW w:w="2154" w:type="dxa"/>
            <w:shd w:val="clear" w:color="auto" w:fill="auto"/>
          </w:tcPr>
          <w:p w14:paraId="77AC1D1E" w14:textId="77777777" w:rsidR="00BB35F0" w:rsidRPr="004E052D" w:rsidRDefault="004E052D" w:rsidP="004E052D">
            <w:pPr>
              <w:pStyle w:val="TableHead"/>
              <w:spacing w:before="40" w:after="40" w:line="240" w:lineRule="auto"/>
              <w:rPr>
                <w:rFonts w:ascii="Calibri" w:hAnsi="Calibri" w:cs="Calibri"/>
                <w:b w:val="0"/>
                <w:sz w:val="20"/>
                <w:szCs w:val="20"/>
              </w:rPr>
            </w:pPr>
            <w:r w:rsidRPr="004E052D">
              <w:rPr>
                <w:rFonts w:ascii="Calibri" w:hAnsi="Calibri" w:cs="Calibri"/>
                <w:b w:val="0"/>
                <w:sz w:val="20"/>
                <w:szCs w:val="20"/>
              </w:rPr>
              <w:t>Continuous, a</w:t>
            </w:r>
            <w:r w:rsidR="00BB35F0" w:rsidRPr="004E052D">
              <w:rPr>
                <w:rFonts w:ascii="Calibri" w:hAnsi="Calibri" w:cs="Calibri"/>
                <w:b w:val="0"/>
                <w:sz w:val="20"/>
                <w:szCs w:val="20"/>
              </w:rPr>
              <w:t xml:space="preserve">s per the dates of relevant meetings </w:t>
            </w:r>
          </w:p>
        </w:tc>
      </w:tr>
      <w:tr w:rsidR="00BB35F0" w:rsidRPr="00025249" w14:paraId="33BC5B14" w14:textId="77777777" w:rsidTr="00A65F35">
        <w:tc>
          <w:tcPr>
            <w:tcW w:w="2523" w:type="dxa"/>
            <w:vMerge/>
            <w:shd w:val="clear" w:color="auto" w:fill="auto"/>
          </w:tcPr>
          <w:p w14:paraId="31873993" w14:textId="77777777" w:rsidR="00BB35F0" w:rsidRPr="004E052D" w:rsidRDefault="00BB35F0" w:rsidP="00535266">
            <w:pPr>
              <w:pStyle w:val="TableHead"/>
              <w:spacing w:before="40" w:after="40" w:line="240" w:lineRule="auto"/>
              <w:rPr>
                <w:rFonts w:ascii="Calibri" w:hAnsi="Calibri" w:cs="Calibri"/>
                <w:b w:val="0"/>
                <w:sz w:val="20"/>
                <w:szCs w:val="20"/>
              </w:rPr>
            </w:pPr>
          </w:p>
        </w:tc>
        <w:tc>
          <w:tcPr>
            <w:tcW w:w="3525" w:type="dxa"/>
            <w:shd w:val="clear" w:color="auto" w:fill="auto"/>
          </w:tcPr>
          <w:p w14:paraId="63E434A2" w14:textId="4D4C1F20" w:rsidR="004D2469" w:rsidRPr="004D2469" w:rsidRDefault="00201966" w:rsidP="004D2469">
            <w:pPr>
              <w:pStyle w:val="TableHead"/>
              <w:spacing w:before="40" w:after="40" w:line="240" w:lineRule="auto"/>
              <w:ind w:left="357" w:hanging="357"/>
              <w:rPr>
                <w:rFonts w:asciiTheme="minorHAnsi" w:hAnsiTheme="minorHAnsi"/>
                <w:b w:val="0"/>
                <w:sz w:val="20"/>
                <w:szCs w:val="20"/>
              </w:rPr>
            </w:pPr>
            <w:proofErr w:type="gramStart"/>
            <w:r w:rsidRPr="004D2469">
              <w:rPr>
                <w:rFonts w:asciiTheme="minorHAnsi" w:hAnsiTheme="minorHAnsi"/>
                <w:b w:val="0"/>
                <w:sz w:val="20"/>
                <w:szCs w:val="20"/>
              </w:rPr>
              <w:t xml:space="preserve">3.2 </w:t>
            </w:r>
            <w:r w:rsidR="004D2469">
              <w:rPr>
                <w:rFonts w:asciiTheme="minorHAnsi" w:hAnsiTheme="minorHAnsi"/>
                <w:b w:val="0"/>
                <w:sz w:val="20"/>
                <w:szCs w:val="20"/>
              </w:rPr>
              <w:t xml:space="preserve"> </w:t>
            </w:r>
            <w:r w:rsidR="00BB35F0" w:rsidRPr="004D2469">
              <w:rPr>
                <w:rFonts w:asciiTheme="minorHAnsi" w:hAnsiTheme="minorHAnsi"/>
                <w:b w:val="0"/>
                <w:sz w:val="20"/>
                <w:szCs w:val="20"/>
              </w:rPr>
              <w:t>Keep</w:t>
            </w:r>
            <w:proofErr w:type="gramEnd"/>
            <w:r w:rsidR="00BB35F0" w:rsidRPr="004D2469">
              <w:rPr>
                <w:rFonts w:asciiTheme="minorHAnsi" w:hAnsiTheme="minorHAnsi"/>
                <w:b w:val="0"/>
                <w:sz w:val="20"/>
                <w:szCs w:val="20"/>
              </w:rPr>
              <w:t xml:space="preserve"> the IASC WG informed of progress on the implementation of these tasks with a view to soliciting their advice</w:t>
            </w:r>
            <w:r w:rsidR="00FD005F" w:rsidRPr="004D2469">
              <w:rPr>
                <w:rFonts w:asciiTheme="minorHAnsi" w:hAnsiTheme="minorHAnsi"/>
                <w:b w:val="0"/>
                <w:sz w:val="20"/>
                <w:szCs w:val="20"/>
              </w:rPr>
              <w:t xml:space="preserve"> and </w:t>
            </w:r>
            <w:r w:rsidR="00BB35F0" w:rsidRPr="004D2469">
              <w:rPr>
                <w:rFonts w:asciiTheme="minorHAnsi" w:hAnsiTheme="minorHAnsi"/>
                <w:b w:val="0"/>
                <w:sz w:val="20"/>
                <w:szCs w:val="20"/>
              </w:rPr>
              <w:t>support</w:t>
            </w:r>
            <w:r w:rsidR="00FD005F" w:rsidRPr="004D2469">
              <w:rPr>
                <w:rFonts w:asciiTheme="minorHAnsi" w:hAnsiTheme="minorHAnsi"/>
                <w:b w:val="0"/>
                <w:sz w:val="20"/>
                <w:szCs w:val="20"/>
              </w:rPr>
              <w:t xml:space="preserve">. </w:t>
            </w:r>
            <w:r w:rsidR="00BB35F0" w:rsidRPr="004D2469">
              <w:rPr>
                <w:rFonts w:asciiTheme="minorHAnsi" w:hAnsiTheme="minorHAnsi"/>
                <w:b w:val="0"/>
                <w:sz w:val="20"/>
                <w:szCs w:val="20"/>
              </w:rPr>
              <w:t xml:space="preserve"> </w:t>
            </w:r>
          </w:p>
        </w:tc>
        <w:tc>
          <w:tcPr>
            <w:tcW w:w="3600" w:type="dxa"/>
            <w:shd w:val="clear" w:color="auto" w:fill="auto"/>
          </w:tcPr>
          <w:p w14:paraId="44C412DA" w14:textId="712C191C" w:rsidR="00BB35F0" w:rsidRPr="004E052D" w:rsidRDefault="00BB35F0" w:rsidP="005855D5">
            <w:pPr>
              <w:pStyle w:val="TableHead"/>
              <w:numPr>
                <w:ilvl w:val="0"/>
                <w:numId w:val="4"/>
              </w:numPr>
              <w:spacing w:before="40" w:after="40" w:line="240" w:lineRule="auto"/>
              <w:ind w:left="342"/>
              <w:rPr>
                <w:rFonts w:ascii="Calibri" w:hAnsi="Calibri" w:cs="Calibri"/>
                <w:b w:val="0"/>
                <w:sz w:val="20"/>
                <w:szCs w:val="20"/>
              </w:rPr>
            </w:pPr>
            <w:r w:rsidRPr="004E052D">
              <w:rPr>
                <w:rFonts w:ascii="Calibri" w:hAnsi="Calibri" w:cs="Calibri"/>
                <w:b w:val="0"/>
                <w:sz w:val="20"/>
                <w:szCs w:val="20"/>
              </w:rPr>
              <w:t>Key stakeholders report to the IASC WG on steps taken encourage implementation (</w:t>
            </w:r>
            <w:r w:rsidR="00821E67">
              <w:rPr>
                <w:rFonts w:ascii="Calibri" w:hAnsi="Calibri" w:cs="Calibri"/>
                <w:b w:val="0"/>
                <w:sz w:val="20"/>
                <w:szCs w:val="20"/>
              </w:rPr>
              <w:t>periodic</w:t>
            </w:r>
            <w:r w:rsidRPr="004E052D">
              <w:rPr>
                <w:rFonts w:ascii="Calibri" w:hAnsi="Calibri" w:cs="Calibri"/>
                <w:b w:val="0"/>
                <w:sz w:val="20"/>
                <w:szCs w:val="20"/>
              </w:rPr>
              <w:t xml:space="preserve">) </w:t>
            </w:r>
          </w:p>
          <w:p w14:paraId="6A3E162E" w14:textId="6F99A71A" w:rsidR="00BB35F0" w:rsidRPr="004D2469" w:rsidRDefault="00BB35F0" w:rsidP="004D2469">
            <w:pPr>
              <w:pStyle w:val="TableHead"/>
              <w:numPr>
                <w:ilvl w:val="0"/>
                <w:numId w:val="4"/>
              </w:numPr>
              <w:spacing w:before="40" w:after="40" w:line="240" w:lineRule="auto"/>
              <w:ind w:left="342"/>
              <w:rPr>
                <w:rFonts w:ascii="Calibri" w:hAnsi="Calibri" w:cs="Calibri"/>
                <w:b w:val="0"/>
                <w:sz w:val="20"/>
                <w:szCs w:val="20"/>
              </w:rPr>
            </w:pPr>
            <w:r w:rsidRPr="004E052D">
              <w:rPr>
                <w:rFonts w:ascii="Calibri" w:hAnsi="Calibri" w:cs="Calibri"/>
                <w:b w:val="0"/>
                <w:sz w:val="20"/>
                <w:szCs w:val="20"/>
              </w:rPr>
              <w:t xml:space="preserve">One report on experiences and lessons learned </w:t>
            </w:r>
          </w:p>
        </w:tc>
        <w:tc>
          <w:tcPr>
            <w:tcW w:w="2700" w:type="dxa"/>
            <w:shd w:val="clear" w:color="auto" w:fill="auto"/>
          </w:tcPr>
          <w:p w14:paraId="6AE5D161" w14:textId="77777777" w:rsidR="00BB35F0" w:rsidRPr="004E052D" w:rsidRDefault="00BB35F0" w:rsidP="00BB35F0">
            <w:pPr>
              <w:pStyle w:val="TableHead"/>
              <w:spacing w:before="40" w:after="40" w:line="240" w:lineRule="auto"/>
              <w:rPr>
                <w:rFonts w:ascii="Calibri" w:hAnsi="Calibri" w:cs="Calibri"/>
                <w:b w:val="0"/>
                <w:sz w:val="20"/>
                <w:szCs w:val="20"/>
              </w:rPr>
            </w:pPr>
            <w:r w:rsidRPr="004E052D">
              <w:rPr>
                <w:rFonts w:ascii="Calibri" w:hAnsi="Calibri" w:cs="Calibri"/>
                <w:b w:val="0"/>
                <w:sz w:val="20"/>
                <w:szCs w:val="20"/>
              </w:rPr>
              <w:t xml:space="preserve">Task Team </w:t>
            </w:r>
          </w:p>
          <w:p w14:paraId="0D9E5AF2" w14:textId="43CC3D42" w:rsidR="00BB35F0" w:rsidRPr="004E052D" w:rsidRDefault="00BB35F0" w:rsidP="00BB35F0">
            <w:pPr>
              <w:pStyle w:val="TableHead"/>
              <w:spacing w:before="40" w:after="40" w:line="240" w:lineRule="auto"/>
              <w:rPr>
                <w:rFonts w:ascii="Calibri" w:hAnsi="Calibri" w:cs="Calibri"/>
                <w:b w:val="0"/>
                <w:sz w:val="20"/>
                <w:szCs w:val="20"/>
              </w:rPr>
            </w:pPr>
          </w:p>
        </w:tc>
        <w:tc>
          <w:tcPr>
            <w:tcW w:w="2154" w:type="dxa"/>
            <w:shd w:val="clear" w:color="auto" w:fill="auto"/>
          </w:tcPr>
          <w:p w14:paraId="0F13AE30" w14:textId="77777777" w:rsidR="00BB35F0" w:rsidRPr="004E052D" w:rsidRDefault="00BB35F0" w:rsidP="005855D5">
            <w:pPr>
              <w:pStyle w:val="TableHead"/>
              <w:spacing w:before="40" w:after="40" w:line="240" w:lineRule="auto"/>
              <w:rPr>
                <w:rFonts w:ascii="Calibri" w:hAnsi="Calibri" w:cs="Calibri"/>
                <w:b w:val="0"/>
                <w:sz w:val="20"/>
                <w:szCs w:val="20"/>
              </w:rPr>
            </w:pPr>
            <w:r w:rsidRPr="004E052D">
              <w:rPr>
                <w:rFonts w:ascii="Calibri" w:hAnsi="Calibri" w:cs="Calibri"/>
                <w:b w:val="0"/>
                <w:sz w:val="20"/>
                <w:szCs w:val="20"/>
              </w:rPr>
              <w:t>January 2017</w:t>
            </w:r>
          </w:p>
          <w:p w14:paraId="1789D965" w14:textId="77777777" w:rsidR="00BB35F0" w:rsidRPr="004E052D" w:rsidRDefault="00BB35F0" w:rsidP="005855D5">
            <w:pPr>
              <w:pStyle w:val="TableHead"/>
              <w:spacing w:before="40" w:after="40" w:line="240" w:lineRule="auto"/>
              <w:rPr>
                <w:rFonts w:ascii="Calibri" w:hAnsi="Calibri" w:cs="Calibri"/>
                <w:b w:val="0"/>
                <w:sz w:val="20"/>
                <w:szCs w:val="20"/>
              </w:rPr>
            </w:pPr>
            <w:r w:rsidRPr="004E052D">
              <w:rPr>
                <w:rFonts w:ascii="Calibri" w:hAnsi="Calibri" w:cs="Calibri"/>
                <w:b w:val="0"/>
                <w:sz w:val="20"/>
                <w:szCs w:val="20"/>
              </w:rPr>
              <w:t>July 2017</w:t>
            </w:r>
          </w:p>
          <w:p w14:paraId="1E65B789" w14:textId="5B68A002" w:rsidR="00BB35F0" w:rsidRPr="004E052D" w:rsidRDefault="00821E67" w:rsidP="005855D5">
            <w:pPr>
              <w:pStyle w:val="TableHead"/>
              <w:spacing w:before="40" w:after="40" w:line="240" w:lineRule="auto"/>
              <w:rPr>
                <w:rFonts w:ascii="Calibri" w:hAnsi="Calibri" w:cs="Calibri"/>
                <w:b w:val="0"/>
                <w:sz w:val="20"/>
                <w:szCs w:val="20"/>
              </w:rPr>
            </w:pPr>
            <w:r>
              <w:rPr>
                <w:rFonts w:ascii="Calibri" w:hAnsi="Calibri" w:cs="Calibri"/>
                <w:b w:val="0"/>
                <w:sz w:val="20"/>
                <w:szCs w:val="20"/>
              </w:rPr>
              <w:t>December 2017</w:t>
            </w:r>
          </w:p>
          <w:p w14:paraId="3F3EB875" w14:textId="77777777" w:rsidR="00BB35F0" w:rsidRPr="004E052D" w:rsidRDefault="00BB35F0" w:rsidP="005855D5">
            <w:pPr>
              <w:pStyle w:val="TableHead"/>
              <w:spacing w:before="40" w:after="40" w:line="240" w:lineRule="auto"/>
              <w:rPr>
                <w:rFonts w:ascii="Calibri" w:hAnsi="Calibri" w:cs="Calibri"/>
                <w:b w:val="0"/>
                <w:sz w:val="20"/>
                <w:szCs w:val="20"/>
              </w:rPr>
            </w:pPr>
          </w:p>
          <w:p w14:paraId="64372CBE" w14:textId="57CF551A" w:rsidR="00BB35F0" w:rsidRPr="004E052D" w:rsidRDefault="00BB35F0" w:rsidP="005855D5">
            <w:pPr>
              <w:pStyle w:val="TableHead"/>
              <w:spacing w:before="40" w:after="40" w:line="240" w:lineRule="auto"/>
              <w:rPr>
                <w:rFonts w:ascii="Calibri" w:hAnsi="Calibri" w:cs="Calibri"/>
                <w:b w:val="0"/>
                <w:sz w:val="20"/>
                <w:szCs w:val="20"/>
              </w:rPr>
            </w:pPr>
          </w:p>
        </w:tc>
      </w:tr>
    </w:tbl>
    <w:p w14:paraId="67F4D4F9" w14:textId="77777777" w:rsidR="002571F5" w:rsidRDefault="002571F5" w:rsidP="002571F5">
      <w:pPr>
        <w:spacing w:before="0" w:line="240" w:lineRule="auto"/>
        <w:jc w:val="left"/>
        <w:rPr>
          <w:rFonts w:asciiTheme="minorHAnsi" w:hAnsiTheme="minorHAnsi"/>
          <w:b/>
          <w:i/>
          <w:szCs w:val="22"/>
        </w:rPr>
      </w:pPr>
    </w:p>
    <w:p w14:paraId="149004B0" w14:textId="77777777" w:rsidR="004D2469" w:rsidRDefault="004D2469" w:rsidP="002571F5">
      <w:pPr>
        <w:spacing w:before="0" w:line="240" w:lineRule="auto"/>
        <w:jc w:val="left"/>
        <w:rPr>
          <w:rFonts w:asciiTheme="minorHAnsi" w:hAnsiTheme="minorHAnsi"/>
          <w:b/>
          <w:i/>
          <w:szCs w:val="22"/>
        </w:rPr>
      </w:pPr>
    </w:p>
    <w:p w14:paraId="5963E397" w14:textId="77777777" w:rsidR="002571F5" w:rsidRPr="002571F5" w:rsidRDefault="002571F5" w:rsidP="002571F5">
      <w:pPr>
        <w:spacing w:before="0" w:line="240" w:lineRule="auto"/>
        <w:jc w:val="left"/>
        <w:rPr>
          <w:rFonts w:asciiTheme="minorHAnsi" w:hAnsiTheme="minorHAnsi"/>
          <w:b/>
          <w:i/>
          <w:szCs w:val="22"/>
        </w:rPr>
      </w:pPr>
      <w:r w:rsidRPr="002571F5">
        <w:rPr>
          <w:rFonts w:asciiTheme="minorHAnsi" w:hAnsiTheme="minorHAnsi"/>
          <w:b/>
          <w:i/>
          <w:szCs w:val="22"/>
        </w:rPr>
        <w:t xml:space="preserve">Notes: </w:t>
      </w:r>
    </w:p>
    <w:p w14:paraId="681F004E" w14:textId="369B3F88" w:rsidR="002571F5" w:rsidRPr="00821E67" w:rsidRDefault="002571F5" w:rsidP="002571F5">
      <w:pPr>
        <w:spacing w:before="0" w:line="240" w:lineRule="auto"/>
        <w:ind w:left="567"/>
        <w:jc w:val="left"/>
        <w:rPr>
          <w:rFonts w:asciiTheme="minorHAnsi" w:hAnsiTheme="minorHAnsi"/>
          <w:szCs w:val="22"/>
        </w:rPr>
      </w:pPr>
      <w:r w:rsidRPr="002571F5">
        <w:rPr>
          <w:rFonts w:asciiTheme="minorHAnsi" w:hAnsiTheme="minorHAnsi"/>
          <w:b/>
          <w:szCs w:val="22"/>
        </w:rPr>
        <w:t>Focal points</w:t>
      </w:r>
      <w:r w:rsidRPr="00821E67">
        <w:rPr>
          <w:rFonts w:asciiTheme="minorHAnsi" w:hAnsiTheme="minorHAnsi"/>
          <w:szCs w:val="22"/>
        </w:rPr>
        <w:t>:</w:t>
      </w:r>
      <w:r>
        <w:rPr>
          <w:rFonts w:asciiTheme="minorHAnsi" w:hAnsiTheme="minorHAnsi"/>
          <w:szCs w:val="22"/>
        </w:rPr>
        <w:t xml:space="preserve"> currently the potential Task Team as a whole is identified as the Focal Point for facilitation of these activities. If and when this Task Team is created, specific focal points to lead the collaborative work of the Task Team will be fleshed out further. All activities will be carried out in close consultation with the key stakeholders of each activity. </w:t>
      </w:r>
    </w:p>
    <w:p w14:paraId="085B921F" w14:textId="77777777" w:rsidR="002571F5" w:rsidRDefault="002571F5" w:rsidP="002571F5">
      <w:pPr>
        <w:spacing w:before="0" w:line="240" w:lineRule="auto"/>
        <w:ind w:left="567"/>
        <w:jc w:val="left"/>
        <w:rPr>
          <w:rFonts w:asciiTheme="minorHAnsi" w:hAnsiTheme="minorHAnsi"/>
          <w:szCs w:val="22"/>
        </w:rPr>
      </w:pPr>
    </w:p>
    <w:p w14:paraId="3C016450" w14:textId="77777777" w:rsidR="002571F5" w:rsidRDefault="002571F5" w:rsidP="002571F5">
      <w:pPr>
        <w:spacing w:before="0" w:line="240" w:lineRule="auto"/>
        <w:ind w:left="567"/>
        <w:jc w:val="left"/>
        <w:rPr>
          <w:rFonts w:asciiTheme="minorHAnsi" w:hAnsiTheme="minorHAnsi"/>
          <w:szCs w:val="22"/>
        </w:rPr>
      </w:pPr>
      <w:r w:rsidRPr="002571F5">
        <w:rPr>
          <w:rFonts w:asciiTheme="minorHAnsi" w:hAnsiTheme="minorHAnsi"/>
          <w:b/>
          <w:szCs w:val="22"/>
        </w:rPr>
        <w:t>Key stakeholders</w:t>
      </w:r>
      <w:r>
        <w:rPr>
          <w:rFonts w:asciiTheme="minorHAnsi" w:hAnsiTheme="minorHAnsi"/>
          <w:szCs w:val="22"/>
        </w:rPr>
        <w:t xml:space="preserve"> include: </w:t>
      </w:r>
    </w:p>
    <w:p w14:paraId="1C721B9E" w14:textId="77777777" w:rsidR="002571F5" w:rsidRDefault="002571F5" w:rsidP="002571F5">
      <w:pPr>
        <w:pStyle w:val="ListParagraph"/>
        <w:numPr>
          <w:ilvl w:val="0"/>
          <w:numId w:val="6"/>
        </w:numPr>
        <w:ind w:left="1287"/>
        <w:rPr>
          <w:rFonts w:asciiTheme="minorHAnsi" w:hAnsiTheme="minorHAnsi"/>
          <w:sz w:val="22"/>
          <w:szCs w:val="22"/>
        </w:rPr>
        <w:sectPr w:rsidR="002571F5" w:rsidSect="002571F5">
          <w:type w:val="continuous"/>
          <w:pgSz w:w="15840" w:h="12240" w:orient="landscape"/>
          <w:pgMar w:top="720" w:right="1008" w:bottom="720" w:left="1008" w:header="720" w:footer="720" w:gutter="0"/>
          <w:cols w:space="720"/>
          <w:docGrid w:linePitch="360"/>
        </w:sectPr>
      </w:pPr>
    </w:p>
    <w:p w14:paraId="609A4BF8" w14:textId="77777777" w:rsidR="002571F5" w:rsidRPr="002571F5" w:rsidRDefault="002571F5" w:rsidP="002571F5">
      <w:pPr>
        <w:pStyle w:val="ListParagraph"/>
        <w:numPr>
          <w:ilvl w:val="0"/>
          <w:numId w:val="6"/>
        </w:numPr>
        <w:ind w:left="1287"/>
        <w:rPr>
          <w:rFonts w:asciiTheme="minorHAnsi" w:hAnsiTheme="minorHAnsi"/>
          <w:sz w:val="22"/>
          <w:szCs w:val="22"/>
        </w:rPr>
      </w:pPr>
      <w:r w:rsidRPr="002571F5">
        <w:rPr>
          <w:rFonts w:asciiTheme="minorHAnsi" w:hAnsiTheme="minorHAnsi"/>
          <w:sz w:val="22"/>
          <w:szCs w:val="22"/>
        </w:rPr>
        <w:t>All IASC Principals, including the Emergency Relief Coordinator, the High Commissioner for Refugees, the High Commissioner for Human Rights</w:t>
      </w:r>
    </w:p>
    <w:p w14:paraId="1A61658D" w14:textId="77777777" w:rsidR="002571F5" w:rsidRPr="002571F5" w:rsidRDefault="002571F5" w:rsidP="002571F5">
      <w:pPr>
        <w:pStyle w:val="ListParagraph"/>
        <w:numPr>
          <w:ilvl w:val="0"/>
          <w:numId w:val="6"/>
        </w:numPr>
        <w:ind w:left="1287"/>
        <w:rPr>
          <w:rFonts w:asciiTheme="minorHAnsi" w:hAnsiTheme="minorHAnsi"/>
          <w:sz w:val="22"/>
          <w:szCs w:val="22"/>
        </w:rPr>
      </w:pPr>
      <w:r w:rsidRPr="002571F5">
        <w:rPr>
          <w:rFonts w:asciiTheme="minorHAnsi" w:hAnsiTheme="minorHAnsi"/>
          <w:sz w:val="22"/>
          <w:szCs w:val="22"/>
        </w:rPr>
        <w:t xml:space="preserve">All IASC members </w:t>
      </w:r>
    </w:p>
    <w:p w14:paraId="2581A0C0" w14:textId="77777777" w:rsidR="002571F5" w:rsidRPr="002571F5" w:rsidRDefault="002571F5" w:rsidP="002571F5">
      <w:pPr>
        <w:pStyle w:val="ListParagraph"/>
        <w:numPr>
          <w:ilvl w:val="0"/>
          <w:numId w:val="6"/>
        </w:numPr>
        <w:ind w:left="1287"/>
        <w:rPr>
          <w:rFonts w:asciiTheme="minorHAnsi" w:hAnsiTheme="minorHAnsi"/>
          <w:sz w:val="22"/>
          <w:szCs w:val="22"/>
        </w:rPr>
      </w:pPr>
      <w:r w:rsidRPr="002571F5">
        <w:rPr>
          <w:rFonts w:asciiTheme="minorHAnsi" w:hAnsiTheme="minorHAnsi"/>
          <w:sz w:val="22"/>
          <w:szCs w:val="22"/>
        </w:rPr>
        <w:t xml:space="preserve">Humanitarian Coordinators </w:t>
      </w:r>
    </w:p>
    <w:p w14:paraId="7900A702" w14:textId="77777777" w:rsidR="002571F5" w:rsidRPr="002571F5" w:rsidRDefault="002571F5" w:rsidP="002571F5">
      <w:pPr>
        <w:pStyle w:val="ListParagraph"/>
        <w:numPr>
          <w:ilvl w:val="0"/>
          <w:numId w:val="6"/>
        </w:numPr>
        <w:ind w:left="1287"/>
        <w:rPr>
          <w:rFonts w:asciiTheme="minorHAnsi" w:hAnsiTheme="minorHAnsi"/>
          <w:sz w:val="22"/>
          <w:szCs w:val="22"/>
        </w:rPr>
      </w:pPr>
      <w:r w:rsidRPr="002571F5">
        <w:rPr>
          <w:rFonts w:asciiTheme="minorHAnsi" w:hAnsiTheme="minorHAnsi"/>
          <w:sz w:val="22"/>
          <w:szCs w:val="22"/>
        </w:rPr>
        <w:t xml:space="preserve">Humanitarian Country Teams </w:t>
      </w:r>
    </w:p>
    <w:p w14:paraId="60C9A185" w14:textId="77777777" w:rsidR="003D006F" w:rsidRDefault="002571F5" w:rsidP="002571F5">
      <w:pPr>
        <w:pStyle w:val="ListParagraph"/>
        <w:numPr>
          <w:ilvl w:val="0"/>
          <w:numId w:val="6"/>
        </w:numPr>
        <w:ind w:left="1287"/>
        <w:rPr>
          <w:rFonts w:asciiTheme="minorHAnsi" w:hAnsiTheme="minorHAnsi"/>
          <w:sz w:val="22"/>
          <w:szCs w:val="22"/>
        </w:rPr>
      </w:pPr>
      <w:r w:rsidRPr="002571F5">
        <w:rPr>
          <w:rFonts w:asciiTheme="minorHAnsi" w:hAnsiTheme="minorHAnsi"/>
          <w:sz w:val="22"/>
          <w:szCs w:val="22"/>
        </w:rPr>
        <w:t>Emergency Directors Group</w:t>
      </w:r>
    </w:p>
    <w:p w14:paraId="2913FFF3" w14:textId="32465198" w:rsidR="002571F5" w:rsidRPr="002571F5" w:rsidRDefault="002571F5" w:rsidP="002571F5">
      <w:pPr>
        <w:pStyle w:val="ListParagraph"/>
        <w:numPr>
          <w:ilvl w:val="0"/>
          <w:numId w:val="6"/>
        </w:numPr>
        <w:ind w:left="1287"/>
        <w:rPr>
          <w:rFonts w:asciiTheme="minorHAnsi" w:hAnsiTheme="minorHAnsi"/>
          <w:sz w:val="22"/>
          <w:szCs w:val="22"/>
        </w:rPr>
      </w:pPr>
      <w:r w:rsidRPr="002571F5">
        <w:rPr>
          <w:rFonts w:asciiTheme="minorHAnsi" w:hAnsiTheme="minorHAnsi"/>
          <w:sz w:val="22"/>
          <w:szCs w:val="22"/>
        </w:rPr>
        <w:t xml:space="preserve">STAIT  </w:t>
      </w:r>
    </w:p>
    <w:p w14:paraId="006C4F8F" w14:textId="73386979" w:rsidR="003D006F" w:rsidRPr="002571F5" w:rsidRDefault="003D006F" w:rsidP="003D006F">
      <w:pPr>
        <w:pStyle w:val="ListParagraph"/>
        <w:numPr>
          <w:ilvl w:val="0"/>
          <w:numId w:val="6"/>
        </w:numPr>
        <w:ind w:left="1287"/>
        <w:rPr>
          <w:rFonts w:asciiTheme="minorHAnsi" w:hAnsiTheme="minorHAnsi"/>
          <w:sz w:val="22"/>
          <w:szCs w:val="22"/>
        </w:rPr>
      </w:pPr>
      <w:r w:rsidRPr="002571F5">
        <w:rPr>
          <w:rFonts w:asciiTheme="minorHAnsi" w:hAnsiTheme="minorHAnsi"/>
          <w:sz w:val="22"/>
          <w:szCs w:val="22"/>
        </w:rPr>
        <w:t xml:space="preserve">OCHA Humanitarian Leadership </w:t>
      </w:r>
      <w:r w:rsidR="006F7879">
        <w:rPr>
          <w:rFonts w:asciiTheme="minorHAnsi" w:hAnsiTheme="minorHAnsi"/>
          <w:sz w:val="22"/>
          <w:szCs w:val="22"/>
        </w:rPr>
        <w:t>Strengthening</w:t>
      </w:r>
      <w:r w:rsidRPr="002571F5">
        <w:rPr>
          <w:rFonts w:asciiTheme="minorHAnsi" w:hAnsiTheme="minorHAnsi"/>
          <w:sz w:val="22"/>
          <w:szCs w:val="22"/>
        </w:rPr>
        <w:t xml:space="preserve"> Unit (HLSU) </w:t>
      </w:r>
    </w:p>
    <w:p w14:paraId="7F4EC971" w14:textId="77777777" w:rsidR="002571F5" w:rsidRPr="002571F5" w:rsidRDefault="002571F5" w:rsidP="002571F5">
      <w:pPr>
        <w:pStyle w:val="ListParagraph"/>
        <w:numPr>
          <w:ilvl w:val="0"/>
          <w:numId w:val="6"/>
        </w:numPr>
        <w:ind w:left="1287"/>
        <w:rPr>
          <w:rFonts w:asciiTheme="minorHAnsi" w:hAnsiTheme="minorHAnsi"/>
          <w:sz w:val="22"/>
          <w:szCs w:val="22"/>
        </w:rPr>
      </w:pPr>
      <w:r w:rsidRPr="002571F5">
        <w:rPr>
          <w:rFonts w:asciiTheme="minorHAnsi" w:hAnsiTheme="minorHAnsi"/>
          <w:sz w:val="22"/>
          <w:szCs w:val="22"/>
        </w:rPr>
        <w:t xml:space="preserve">Global Protection Cluster and field level protection clusters </w:t>
      </w:r>
    </w:p>
    <w:p w14:paraId="0C92EEC9" w14:textId="77777777" w:rsidR="002571F5" w:rsidRDefault="002571F5" w:rsidP="002571F5">
      <w:pPr>
        <w:pStyle w:val="ListParagraph"/>
        <w:numPr>
          <w:ilvl w:val="0"/>
          <w:numId w:val="6"/>
        </w:numPr>
        <w:ind w:left="1287"/>
        <w:rPr>
          <w:rFonts w:asciiTheme="minorHAnsi" w:hAnsiTheme="minorHAnsi"/>
          <w:sz w:val="22"/>
          <w:szCs w:val="22"/>
        </w:rPr>
      </w:pPr>
      <w:r w:rsidRPr="002571F5">
        <w:rPr>
          <w:rFonts w:asciiTheme="minorHAnsi" w:hAnsiTheme="minorHAnsi"/>
          <w:sz w:val="22"/>
          <w:szCs w:val="22"/>
        </w:rPr>
        <w:t xml:space="preserve">All Global Cluster Coordinators and field level cluster coordinators </w:t>
      </w:r>
    </w:p>
    <w:p w14:paraId="0AFF2C30" w14:textId="37F1C729" w:rsidR="005D0755" w:rsidRPr="002571F5" w:rsidRDefault="005D0755" w:rsidP="002571F5">
      <w:pPr>
        <w:pStyle w:val="ListParagraph"/>
        <w:numPr>
          <w:ilvl w:val="0"/>
          <w:numId w:val="6"/>
        </w:numPr>
        <w:ind w:left="1287"/>
        <w:rPr>
          <w:rFonts w:asciiTheme="minorHAnsi" w:hAnsiTheme="minorHAnsi"/>
          <w:sz w:val="22"/>
          <w:szCs w:val="22"/>
        </w:rPr>
      </w:pPr>
      <w:r>
        <w:rPr>
          <w:rFonts w:asciiTheme="minorHAnsi" w:hAnsiTheme="minorHAnsi"/>
          <w:sz w:val="22"/>
          <w:szCs w:val="22"/>
        </w:rPr>
        <w:t xml:space="preserve">Inter-Cluster Coordination Group </w:t>
      </w:r>
    </w:p>
    <w:p w14:paraId="5634CDAE" w14:textId="42C376E9" w:rsidR="003D006F" w:rsidRDefault="003D006F" w:rsidP="002571F5">
      <w:pPr>
        <w:pStyle w:val="ListParagraph"/>
        <w:numPr>
          <w:ilvl w:val="0"/>
          <w:numId w:val="6"/>
        </w:numPr>
        <w:ind w:left="1287"/>
        <w:rPr>
          <w:rFonts w:asciiTheme="minorHAnsi" w:hAnsiTheme="minorHAnsi"/>
          <w:sz w:val="22"/>
          <w:szCs w:val="22"/>
        </w:rPr>
      </w:pPr>
      <w:r>
        <w:rPr>
          <w:rFonts w:asciiTheme="minorHAnsi" w:hAnsiTheme="minorHAnsi"/>
          <w:sz w:val="22"/>
          <w:szCs w:val="22"/>
        </w:rPr>
        <w:t xml:space="preserve">International NGOs </w:t>
      </w:r>
    </w:p>
    <w:p w14:paraId="42FADEA2" w14:textId="77777777" w:rsidR="002571F5" w:rsidRPr="002571F5" w:rsidRDefault="002571F5" w:rsidP="002571F5">
      <w:pPr>
        <w:pStyle w:val="ListParagraph"/>
        <w:numPr>
          <w:ilvl w:val="0"/>
          <w:numId w:val="6"/>
        </w:numPr>
        <w:ind w:left="1287"/>
        <w:rPr>
          <w:rFonts w:asciiTheme="minorHAnsi" w:hAnsiTheme="minorHAnsi"/>
          <w:sz w:val="22"/>
          <w:szCs w:val="22"/>
        </w:rPr>
      </w:pPr>
      <w:r w:rsidRPr="002571F5">
        <w:rPr>
          <w:rFonts w:asciiTheme="minorHAnsi" w:hAnsiTheme="minorHAnsi"/>
          <w:sz w:val="22"/>
          <w:szCs w:val="22"/>
        </w:rPr>
        <w:t>National NGO Consortia</w:t>
      </w:r>
    </w:p>
    <w:p w14:paraId="6292EA1A" w14:textId="61DEB9F2" w:rsidR="00680129" w:rsidRDefault="00680129" w:rsidP="002571F5">
      <w:pPr>
        <w:pStyle w:val="ListParagraph"/>
        <w:numPr>
          <w:ilvl w:val="0"/>
          <w:numId w:val="6"/>
        </w:numPr>
        <w:ind w:left="1287"/>
        <w:rPr>
          <w:rFonts w:asciiTheme="minorHAnsi" w:hAnsiTheme="minorHAnsi"/>
          <w:sz w:val="22"/>
          <w:szCs w:val="22"/>
        </w:rPr>
      </w:pPr>
      <w:r>
        <w:rPr>
          <w:rFonts w:asciiTheme="minorHAnsi" w:hAnsiTheme="minorHAnsi"/>
          <w:sz w:val="22"/>
          <w:szCs w:val="22"/>
        </w:rPr>
        <w:t>National and local NGOs</w:t>
      </w:r>
    </w:p>
    <w:p w14:paraId="21B5C3E5" w14:textId="5528FAFD" w:rsidR="00673CFF" w:rsidRDefault="00673CFF" w:rsidP="002571F5">
      <w:pPr>
        <w:pStyle w:val="ListParagraph"/>
        <w:numPr>
          <w:ilvl w:val="0"/>
          <w:numId w:val="6"/>
        </w:numPr>
        <w:ind w:left="1287"/>
        <w:rPr>
          <w:rFonts w:asciiTheme="minorHAnsi" w:hAnsiTheme="minorHAnsi"/>
          <w:sz w:val="22"/>
          <w:szCs w:val="22"/>
        </w:rPr>
      </w:pPr>
      <w:r>
        <w:rPr>
          <w:rFonts w:asciiTheme="minorHAnsi" w:hAnsiTheme="minorHAnsi"/>
          <w:sz w:val="22"/>
          <w:szCs w:val="22"/>
        </w:rPr>
        <w:t xml:space="preserve">Donor governments </w:t>
      </w:r>
    </w:p>
    <w:p w14:paraId="5129A330" w14:textId="01793368" w:rsidR="00673CFF" w:rsidRDefault="00673CFF" w:rsidP="002571F5">
      <w:pPr>
        <w:pStyle w:val="ListParagraph"/>
        <w:numPr>
          <w:ilvl w:val="0"/>
          <w:numId w:val="6"/>
        </w:numPr>
        <w:ind w:left="1287"/>
        <w:rPr>
          <w:rFonts w:asciiTheme="minorHAnsi" w:hAnsiTheme="minorHAnsi"/>
          <w:sz w:val="22"/>
          <w:szCs w:val="22"/>
        </w:rPr>
      </w:pPr>
      <w:r>
        <w:rPr>
          <w:rFonts w:asciiTheme="minorHAnsi" w:hAnsiTheme="minorHAnsi"/>
          <w:sz w:val="22"/>
          <w:szCs w:val="22"/>
        </w:rPr>
        <w:t xml:space="preserve">National governments (as/if appropriate) </w:t>
      </w:r>
    </w:p>
    <w:p w14:paraId="3E833CBB" w14:textId="77777777" w:rsidR="005D0755" w:rsidRDefault="005D0755" w:rsidP="002571F5">
      <w:pPr>
        <w:pStyle w:val="ListParagraph"/>
        <w:numPr>
          <w:ilvl w:val="0"/>
          <w:numId w:val="6"/>
        </w:numPr>
        <w:ind w:left="1287"/>
        <w:rPr>
          <w:rFonts w:asciiTheme="minorHAnsi" w:hAnsiTheme="minorHAnsi"/>
          <w:sz w:val="22"/>
          <w:szCs w:val="22"/>
        </w:rPr>
        <w:sectPr w:rsidR="005D0755" w:rsidSect="00680129">
          <w:type w:val="continuous"/>
          <w:pgSz w:w="15840" w:h="12240" w:orient="landscape"/>
          <w:pgMar w:top="720" w:right="1008" w:bottom="720" w:left="1008" w:header="720" w:footer="720" w:gutter="0"/>
          <w:cols w:num="2" w:space="720"/>
          <w:docGrid w:linePitch="360"/>
        </w:sectPr>
      </w:pPr>
    </w:p>
    <w:p w14:paraId="5BFED0E0" w14:textId="77777777" w:rsidR="00091D91" w:rsidRDefault="00091D91"/>
    <w:sectPr w:rsidR="00091D91" w:rsidSect="002571F5">
      <w:type w:val="continuous"/>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8E2"/>
    <w:multiLevelType w:val="hybridMultilevel"/>
    <w:tmpl w:val="C8C4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57ED7"/>
    <w:multiLevelType w:val="multilevel"/>
    <w:tmpl w:val="1336789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69926D8"/>
    <w:multiLevelType w:val="hybridMultilevel"/>
    <w:tmpl w:val="F1FCFC76"/>
    <w:lvl w:ilvl="0" w:tplc="100C0001">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3F2225C"/>
    <w:multiLevelType w:val="hybridMultilevel"/>
    <w:tmpl w:val="9EC6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E6AC6"/>
    <w:multiLevelType w:val="hybridMultilevel"/>
    <w:tmpl w:val="1AB6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D07A3C"/>
    <w:multiLevelType w:val="hybridMultilevel"/>
    <w:tmpl w:val="6A26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91"/>
    <w:rsid w:val="00091D91"/>
    <w:rsid w:val="000E5B35"/>
    <w:rsid w:val="001A11C3"/>
    <w:rsid w:val="00201966"/>
    <w:rsid w:val="00246512"/>
    <w:rsid w:val="002571F5"/>
    <w:rsid w:val="002E506A"/>
    <w:rsid w:val="003D006F"/>
    <w:rsid w:val="004D2469"/>
    <w:rsid w:val="004E052D"/>
    <w:rsid w:val="0053062F"/>
    <w:rsid w:val="00535266"/>
    <w:rsid w:val="005D0755"/>
    <w:rsid w:val="00604775"/>
    <w:rsid w:val="00673CFF"/>
    <w:rsid w:val="00680129"/>
    <w:rsid w:val="006F4E13"/>
    <w:rsid w:val="006F7879"/>
    <w:rsid w:val="007644E3"/>
    <w:rsid w:val="00764FC9"/>
    <w:rsid w:val="00795D37"/>
    <w:rsid w:val="00821E67"/>
    <w:rsid w:val="00900BF9"/>
    <w:rsid w:val="00A65F35"/>
    <w:rsid w:val="00BB35F0"/>
    <w:rsid w:val="00C32307"/>
    <w:rsid w:val="00C43FAD"/>
    <w:rsid w:val="00C75B95"/>
    <w:rsid w:val="00D07F89"/>
    <w:rsid w:val="00E876C1"/>
    <w:rsid w:val="00F17BBF"/>
    <w:rsid w:val="00F36904"/>
    <w:rsid w:val="00FD00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5F43"/>
  <w15:docId w15:val="{813C1B41-7666-4370-9D5B-8F38D035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D91"/>
    <w:pPr>
      <w:tabs>
        <w:tab w:val="left" w:pos="567"/>
        <w:tab w:val="left" w:pos="992"/>
      </w:tabs>
      <w:spacing w:before="180" w:after="0" w:line="280" w:lineRule="exact"/>
      <w:jc w:val="both"/>
    </w:pPr>
    <w:rPr>
      <w:rFonts w:ascii="Times New Roman" w:eastAsia="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
    <w:name w:val="Table Head"/>
    <w:basedOn w:val="Normal"/>
    <w:uiPriority w:val="99"/>
    <w:rsid w:val="00091D91"/>
    <w:pPr>
      <w:spacing w:before="120" w:after="120" w:line="240" w:lineRule="exact"/>
      <w:jc w:val="left"/>
    </w:pPr>
    <w:rPr>
      <w:b/>
      <w:bCs/>
      <w:sz w:val="19"/>
    </w:rPr>
  </w:style>
  <w:style w:type="paragraph" w:styleId="ListParagraph">
    <w:name w:val="List Paragraph"/>
    <w:basedOn w:val="Normal"/>
    <w:uiPriority w:val="34"/>
    <w:qFormat/>
    <w:rsid w:val="00091D91"/>
    <w:pPr>
      <w:tabs>
        <w:tab w:val="clear" w:pos="567"/>
        <w:tab w:val="clear" w:pos="992"/>
      </w:tabs>
      <w:spacing w:before="0" w:line="240" w:lineRule="auto"/>
      <w:ind w:left="720"/>
      <w:contextualSpacing/>
      <w:jc w:val="left"/>
    </w:pPr>
    <w:rPr>
      <w:sz w:val="24"/>
      <w:lang w:val="en-US"/>
    </w:rPr>
  </w:style>
  <w:style w:type="character" w:styleId="CommentReference">
    <w:name w:val="annotation reference"/>
    <w:basedOn w:val="DefaultParagraphFont"/>
    <w:uiPriority w:val="99"/>
    <w:semiHidden/>
    <w:unhideWhenUsed/>
    <w:rsid w:val="0053062F"/>
    <w:rPr>
      <w:sz w:val="16"/>
      <w:szCs w:val="16"/>
    </w:rPr>
  </w:style>
  <w:style w:type="paragraph" w:styleId="CommentText">
    <w:name w:val="annotation text"/>
    <w:basedOn w:val="Normal"/>
    <w:link w:val="CommentTextChar"/>
    <w:uiPriority w:val="99"/>
    <w:semiHidden/>
    <w:unhideWhenUsed/>
    <w:rsid w:val="0053062F"/>
    <w:pPr>
      <w:spacing w:line="240" w:lineRule="auto"/>
    </w:pPr>
    <w:rPr>
      <w:sz w:val="20"/>
      <w:szCs w:val="20"/>
    </w:rPr>
  </w:style>
  <w:style w:type="character" w:customStyle="1" w:styleId="CommentTextChar">
    <w:name w:val="Comment Text Char"/>
    <w:basedOn w:val="DefaultParagraphFont"/>
    <w:link w:val="CommentText"/>
    <w:uiPriority w:val="99"/>
    <w:semiHidden/>
    <w:rsid w:val="0053062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3062F"/>
    <w:rPr>
      <w:b/>
      <w:bCs/>
    </w:rPr>
  </w:style>
  <w:style w:type="character" w:customStyle="1" w:styleId="CommentSubjectChar">
    <w:name w:val="Comment Subject Char"/>
    <w:basedOn w:val="CommentTextChar"/>
    <w:link w:val="CommentSubject"/>
    <w:uiPriority w:val="99"/>
    <w:semiHidden/>
    <w:rsid w:val="0053062F"/>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3062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62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mcavoy</dc:creator>
  <cp:lastModifiedBy>Tanja Schuemer</cp:lastModifiedBy>
  <cp:revision>2</cp:revision>
  <dcterms:created xsi:type="dcterms:W3CDTF">2016-09-28T10:26:00Z</dcterms:created>
  <dcterms:modified xsi:type="dcterms:W3CDTF">2016-09-28T10:26:00Z</dcterms:modified>
</cp:coreProperties>
</file>