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D3E" w:rsidRPr="00B46C38" w:rsidRDefault="00480D3E" w:rsidP="00A22883">
      <w:pPr>
        <w:spacing w:line="240" w:lineRule="auto"/>
        <w:jc w:val="center"/>
        <w:rPr>
          <w:b/>
          <w:u w:val="single"/>
        </w:rPr>
      </w:pPr>
      <w:bookmarkStart w:id="0" w:name="_GoBack"/>
      <w:bookmarkEnd w:id="0"/>
      <w:r w:rsidRPr="00B46C38">
        <w:rPr>
          <w:b/>
          <w:u w:val="single"/>
        </w:rPr>
        <w:t>IASC REFERENCE GROUP FOR RISK, EW AND PREPAREDNESS</w:t>
      </w:r>
    </w:p>
    <w:p w:rsidR="00131737" w:rsidRPr="00B46C38" w:rsidRDefault="00B305B2" w:rsidP="00A22883">
      <w:pPr>
        <w:spacing w:line="240" w:lineRule="auto"/>
        <w:jc w:val="center"/>
        <w:rPr>
          <w:b/>
          <w:u w:val="single"/>
        </w:rPr>
      </w:pPr>
      <w:r w:rsidRPr="00B46C38">
        <w:rPr>
          <w:b/>
          <w:u w:val="single"/>
        </w:rPr>
        <w:t xml:space="preserve">WORKSTREAM UPDATE </w:t>
      </w:r>
      <w:r w:rsidR="00E70AEF" w:rsidRPr="00B46C38">
        <w:rPr>
          <w:b/>
          <w:u w:val="single"/>
        </w:rPr>
        <w:t>– RISK, EW AND EA</w:t>
      </w:r>
      <w:r w:rsidR="00480D3E" w:rsidRPr="00B46C38">
        <w:rPr>
          <w:b/>
          <w:u w:val="single"/>
        </w:rPr>
        <w:t xml:space="preserve"> SUB-GROUP – THU 13 OCT 2016</w:t>
      </w:r>
    </w:p>
    <w:p w:rsidR="00480D3E" w:rsidRPr="00B46C38" w:rsidRDefault="00480D3E" w:rsidP="00A22883">
      <w:pPr>
        <w:spacing w:line="240" w:lineRule="auto"/>
        <w:rPr>
          <w:b/>
          <w:u w:val="single"/>
        </w:rPr>
      </w:pPr>
      <w:r w:rsidRPr="00B46C38">
        <w:rPr>
          <w:b/>
          <w:u w:val="single"/>
        </w:rPr>
        <w:t>OVERVIEW – WHO, WHAT &amp; WHY</w:t>
      </w:r>
    </w:p>
    <w:p w:rsidR="00480D3E" w:rsidRPr="00B46C38" w:rsidRDefault="00480D3E" w:rsidP="00A22883">
      <w:pPr>
        <w:spacing w:line="240" w:lineRule="auto"/>
        <w:rPr>
          <w:b/>
        </w:rPr>
      </w:pPr>
      <w:r w:rsidRPr="00B46C38">
        <w:rPr>
          <w:b/>
        </w:rPr>
        <w:t xml:space="preserve">WHO ARE WE? </w:t>
      </w:r>
    </w:p>
    <w:p w:rsidR="00480D3E" w:rsidRPr="00B46C38" w:rsidRDefault="00480D3E" w:rsidP="00A22883">
      <w:pPr>
        <w:pStyle w:val="ListParagraph"/>
        <w:numPr>
          <w:ilvl w:val="0"/>
          <w:numId w:val="2"/>
        </w:numPr>
        <w:spacing w:line="240" w:lineRule="auto"/>
        <w:rPr>
          <w:rFonts w:asciiTheme="minorHAnsi" w:eastAsia="Times New Roman" w:hAnsiTheme="minorHAnsi" w:cs="Times New Roman"/>
          <w:color w:val="auto"/>
        </w:rPr>
      </w:pPr>
      <w:r w:rsidRPr="00B46C38">
        <w:rPr>
          <w:rFonts w:asciiTheme="minorHAnsi" w:eastAsia="Times New Roman" w:hAnsiTheme="minorHAnsi" w:cs="Times New Roman"/>
          <w:color w:val="auto"/>
        </w:rPr>
        <w:t xml:space="preserve">An inter-agency group of early warning analysts drawn from the following IASC partners:  ACAPS, FAO, </w:t>
      </w:r>
      <w:r w:rsidR="00A22883">
        <w:rPr>
          <w:rFonts w:asciiTheme="minorHAnsi" w:eastAsia="Times New Roman" w:hAnsiTheme="minorHAnsi" w:cs="Times New Roman"/>
          <w:color w:val="auto"/>
        </w:rPr>
        <w:t xml:space="preserve">IOM, </w:t>
      </w:r>
      <w:r w:rsidRPr="00B46C38">
        <w:rPr>
          <w:rFonts w:asciiTheme="minorHAnsi" w:eastAsia="Times New Roman" w:hAnsiTheme="minorHAnsi" w:cs="Times New Roman"/>
          <w:color w:val="auto"/>
        </w:rPr>
        <w:t xml:space="preserve">OCHA, OHCHR, UNDP, UNHCR, UNICEF, UN Women, WFP and WHO.  </w:t>
      </w:r>
    </w:p>
    <w:p w:rsidR="00480D3E" w:rsidRPr="00A22883" w:rsidRDefault="00480D3E" w:rsidP="00A22883">
      <w:pPr>
        <w:pStyle w:val="ListParagraph"/>
        <w:numPr>
          <w:ilvl w:val="0"/>
          <w:numId w:val="2"/>
        </w:numPr>
        <w:spacing w:line="240" w:lineRule="auto"/>
        <w:rPr>
          <w:rFonts w:asciiTheme="minorHAnsi" w:eastAsia="Times New Roman" w:hAnsiTheme="minorHAnsi" w:cs="Times New Roman"/>
          <w:color w:val="auto"/>
        </w:rPr>
      </w:pPr>
      <w:r w:rsidRPr="00B46C38">
        <w:rPr>
          <w:rFonts w:asciiTheme="minorHAnsi" w:eastAsia="Times New Roman" w:hAnsiTheme="minorHAnsi" w:cs="Times New Roman"/>
          <w:color w:val="auto"/>
        </w:rPr>
        <w:t xml:space="preserve">WFP traditionally provides staff to coordinate the group (scheduling, calling notices, agendas, minutes, chair).  </w:t>
      </w:r>
      <w:r w:rsidRPr="00A22883">
        <w:rPr>
          <w:rFonts w:asciiTheme="minorHAnsi" w:eastAsia="Times New Roman" w:hAnsiTheme="minorHAnsi" w:cs="Times New Roman"/>
          <w:color w:val="auto"/>
        </w:rPr>
        <w:t>WFP also facilitates the EW, EA &amp; Readiness (EWEAR) Report process and compile</w:t>
      </w:r>
      <w:r w:rsidR="00A22883">
        <w:rPr>
          <w:rFonts w:asciiTheme="minorHAnsi" w:eastAsia="Times New Roman" w:hAnsiTheme="minorHAnsi" w:cs="Times New Roman"/>
          <w:color w:val="auto"/>
        </w:rPr>
        <w:t>s</w:t>
      </w:r>
      <w:r w:rsidRPr="00A22883">
        <w:rPr>
          <w:rFonts w:asciiTheme="minorHAnsi" w:eastAsia="Times New Roman" w:hAnsiTheme="minorHAnsi" w:cs="Times New Roman"/>
          <w:color w:val="auto"/>
        </w:rPr>
        <w:t xml:space="preserve"> the written text. </w:t>
      </w:r>
    </w:p>
    <w:p w:rsidR="00C8651D" w:rsidRPr="00B46C38" w:rsidRDefault="00C8651D" w:rsidP="00A22883">
      <w:pPr>
        <w:pStyle w:val="ListParagraph"/>
        <w:numPr>
          <w:ilvl w:val="0"/>
          <w:numId w:val="2"/>
        </w:numPr>
        <w:spacing w:line="240" w:lineRule="auto"/>
        <w:rPr>
          <w:rFonts w:asciiTheme="minorHAnsi" w:eastAsia="Times New Roman" w:hAnsiTheme="minorHAnsi" w:cs="Times New Roman"/>
          <w:color w:val="auto"/>
        </w:rPr>
      </w:pPr>
      <w:r w:rsidRPr="00B46C38">
        <w:rPr>
          <w:rFonts w:asciiTheme="minorHAnsi" w:eastAsia="Times New Roman" w:hAnsiTheme="minorHAnsi" w:cs="Times New Roman"/>
          <w:color w:val="auto"/>
        </w:rPr>
        <w:t xml:space="preserve">There has been a proposal from OCHA to widen membership to include more NGOs.  I also briefed the START network in August on the IASC EW group’s activities and production of the EWEAR Report – Luke Caley </w:t>
      </w:r>
      <w:r w:rsidR="00A22883">
        <w:rPr>
          <w:rFonts w:asciiTheme="minorHAnsi" w:eastAsia="Times New Roman" w:hAnsiTheme="minorHAnsi" w:cs="Times New Roman"/>
          <w:color w:val="auto"/>
        </w:rPr>
        <w:t>was keen to join the EW group.</w:t>
      </w:r>
    </w:p>
    <w:p w:rsidR="007D207B" w:rsidRPr="00B46C38" w:rsidRDefault="007D207B" w:rsidP="00A22883">
      <w:pPr>
        <w:spacing w:line="240" w:lineRule="auto"/>
        <w:rPr>
          <w:rFonts w:eastAsia="Times New Roman" w:cs="Times New Roman"/>
          <w:b/>
        </w:rPr>
      </w:pPr>
    </w:p>
    <w:p w:rsidR="00480D3E" w:rsidRPr="00B46C38" w:rsidRDefault="00480D3E" w:rsidP="00A22883">
      <w:pPr>
        <w:spacing w:line="240" w:lineRule="auto"/>
        <w:rPr>
          <w:rFonts w:eastAsia="Times New Roman" w:cs="Times New Roman"/>
          <w:b/>
        </w:rPr>
      </w:pPr>
      <w:r w:rsidRPr="00B46C38">
        <w:rPr>
          <w:rFonts w:eastAsia="Times New Roman" w:cs="Times New Roman"/>
          <w:b/>
        </w:rPr>
        <w:t xml:space="preserve">WHAT DOES THE </w:t>
      </w:r>
      <w:r w:rsidR="00C8651D" w:rsidRPr="00B46C38">
        <w:rPr>
          <w:rFonts w:eastAsia="Times New Roman" w:cs="Times New Roman"/>
          <w:b/>
        </w:rPr>
        <w:t xml:space="preserve">EW </w:t>
      </w:r>
      <w:r w:rsidRPr="00B46C38">
        <w:rPr>
          <w:rFonts w:eastAsia="Times New Roman" w:cs="Times New Roman"/>
          <w:b/>
        </w:rPr>
        <w:t>SUB-GROUP DO?</w:t>
      </w:r>
    </w:p>
    <w:p w:rsidR="00480D3E" w:rsidRPr="00B46C38" w:rsidRDefault="00480D3E" w:rsidP="00A22883">
      <w:pPr>
        <w:pStyle w:val="ListParagraph"/>
        <w:numPr>
          <w:ilvl w:val="0"/>
          <w:numId w:val="3"/>
        </w:numPr>
        <w:spacing w:line="240" w:lineRule="auto"/>
        <w:rPr>
          <w:rFonts w:asciiTheme="minorHAnsi" w:eastAsia="Times New Roman" w:hAnsiTheme="minorHAnsi" w:cs="Times New Roman"/>
          <w:color w:val="auto"/>
        </w:rPr>
      </w:pPr>
      <w:r w:rsidRPr="00B46C38">
        <w:rPr>
          <w:rFonts w:asciiTheme="minorHAnsi" w:eastAsia="Times New Roman" w:hAnsiTheme="minorHAnsi" w:cs="Times New Roman"/>
          <w:color w:val="auto"/>
        </w:rPr>
        <w:t xml:space="preserve">Monthly network calls to share analysis and discuss risks from an IA perspective.  </w:t>
      </w:r>
    </w:p>
    <w:p w:rsidR="00480D3E" w:rsidRPr="00B46C38" w:rsidRDefault="00C8651D" w:rsidP="00A22883">
      <w:pPr>
        <w:pStyle w:val="ListParagraph"/>
        <w:numPr>
          <w:ilvl w:val="0"/>
          <w:numId w:val="3"/>
        </w:numPr>
        <w:spacing w:line="240" w:lineRule="auto"/>
        <w:rPr>
          <w:rFonts w:asciiTheme="minorHAnsi" w:eastAsia="Times New Roman" w:hAnsiTheme="minorHAnsi" w:cs="Times New Roman"/>
          <w:color w:val="auto"/>
        </w:rPr>
      </w:pPr>
      <w:r w:rsidRPr="00B46C38">
        <w:rPr>
          <w:rFonts w:asciiTheme="minorHAnsi" w:eastAsia="Times New Roman" w:hAnsiTheme="minorHAnsi" w:cs="Times New Roman"/>
          <w:color w:val="auto"/>
        </w:rPr>
        <w:t xml:space="preserve">Produce the 6-monthly EWEAR Report for the EDG on behalf of the Reference Group, which is a mandated requirement on the Reference Group.  </w:t>
      </w:r>
    </w:p>
    <w:p w:rsidR="00A22883" w:rsidRDefault="00A22883" w:rsidP="00A22883">
      <w:pPr>
        <w:spacing w:line="240" w:lineRule="auto"/>
        <w:rPr>
          <w:rFonts w:eastAsia="Times New Roman" w:cs="Times New Roman"/>
          <w:b/>
        </w:rPr>
      </w:pPr>
    </w:p>
    <w:p w:rsidR="00C8651D" w:rsidRPr="00A22883" w:rsidRDefault="00C8651D" w:rsidP="00A22883">
      <w:pPr>
        <w:spacing w:line="240" w:lineRule="auto"/>
        <w:rPr>
          <w:rFonts w:eastAsia="Times New Roman" w:cs="Times New Roman"/>
          <w:b/>
        </w:rPr>
      </w:pPr>
      <w:r w:rsidRPr="00A22883">
        <w:rPr>
          <w:rFonts w:eastAsia="Times New Roman" w:cs="Times New Roman"/>
          <w:b/>
        </w:rPr>
        <w:t>WHY DO WE PRODUCE THE EWEAR REPORT?</w:t>
      </w:r>
    </w:p>
    <w:p w:rsidR="00C8651D" w:rsidRPr="00B46C38" w:rsidRDefault="00C8651D" w:rsidP="00A22883">
      <w:pPr>
        <w:pStyle w:val="ListParagraph"/>
        <w:numPr>
          <w:ilvl w:val="0"/>
          <w:numId w:val="3"/>
        </w:numPr>
        <w:spacing w:line="240" w:lineRule="auto"/>
        <w:rPr>
          <w:rFonts w:asciiTheme="minorHAnsi" w:eastAsia="Times New Roman" w:hAnsiTheme="minorHAnsi" w:cs="Times New Roman"/>
          <w:color w:val="auto"/>
        </w:rPr>
      </w:pPr>
      <w:r w:rsidRPr="00B46C38">
        <w:rPr>
          <w:rFonts w:asciiTheme="minorHAnsi" w:eastAsia="Times New Roman" w:hAnsiTheme="minorHAnsi" w:cs="Times New Roman"/>
          <w:color w:val="auto"/>
        </w:rPr>
        <w:lastRenderedPageBreak/>
        <w:t xml:space="preserve">The subject of an ongoing discussion, in an attempt to clarify and prioritise the customer and determine what they want so that the product can be tailored to meet that requirement.  </w:t>
      </w:r>
    </w:p>
    <w:p w:rsidR="00C8651D" w:rsidRPr="00B46C38" w:rsidRDefault="00C8651D" w:rsidP="00A22883">
      <w:pPr>
        <w:pStyle w:val="ListParagraph"/>
        <w:numPr>
          <w:ilvl w:val="0"/>
          <w:numId w:val="3"/>
        </w:numPr>
        <w:spacing w:line="240" w:lineRule="auto"/>
        <w:rPr>
          <w:rFonts w:asciiTheme="minorHAnsi" w:eastAsia="Times New Roman" w:hAnsiTheme="minorHAnsi" w:cs="Times New Roman"/>
          <w:color w:val="auto"/>
        </w:rPr>
      </w:pPr>
      <w:r w:rsidRPr="00B46C38">
        <w:rPr>
          <w:rFonts w:asciiTheme="minorHAnsi" w:eastAsia="Times New Roman" w:hAnsiTheme="minorHAnsi" w:cs="Times New Roman"/>
          <w:color w:val="auto"/>
        </w:rPr>
        <w:t xml:space="preserve">Primary client is the EDG, who then distribute up (to the ERC) and down (to RCs, HCs and field staff) as well as across respective agencies.  </w:t>
      </w:r>
    </w:p>
    <w:p w:rsidR="00C8651D" w:rsidRPr="00B46C38" w:rsidRDefault="00C8651D" w:rsidP="00A22883">
      <w:pPr>
        <w:pStyle w:val="ListParagraph"/>
        <w:numPr>
          <w:ilvl w:val="0"/>
          <w:numId w:val="3"/>
        </w:numPr>
        <w:spacing w:line="240" w:lineRule="auto"/>
        <w:rPr>
          <w:rFonts w:asciiTheme="minorHAnsi" w:eastAsia="Times New Roman" w:hAnsiTheme="minorHAnsi" w:cs="Times New Roman"/>
          <w:color w:val="auto"/>
        </w:rPr>
      </w:pPr>
      <w:r w:rsidRPr="00B46C38">
        <w:rPr>
          <w:rFonts w:asciiTheme="minorHAnsi" w:eastAsia="Times New Roman" w:hAnsiTheme="minorHAnsi" w:cs="Times New Roman"/>
          <w:color w:val="auto"/>
        </w:rPr>
        <w:t xml:space="preserve">The EDG use the report to prioritise their activities through the 6-month outlook period.  </w:t>
      </w:r>
    </w:p>
    <w:p w:rsidR="00C8651D" w:rsidRPr="00B46C38" w:rsidRDefault="00C8651D" w:rsidP="00A22883">
      <w:pPr>
        <w:pStyle w:val="ListParagraph"/>
        <w:numPr>
          <w:ilvl w:val="0"/>
          <w:numId w:val="3"/>
        </w:numPr>
        <w:spacing w:line="240" w:lineRule="auto"/>
        <w:rPr>
          <w:rFonts w:asciiTheme="minorHAnsi" w:eastAsia="Times New Roman" w:hAnsiTheme="minorHAnsi" w:cs="Times New Roman"/>
          <w:color w:val="auto"/>
        </w:rPr>
      </w:pPr>
      <w:r w:rsidRPr="00B46C38">
        <w:rPr>
          <w:rFonts w:asciiTheme="minorHAnsi" w:eastAsia="Times New Roman" w:hAnsiTheme="minorHAnsi" w:cs="Times New Roman"/>
          <w:color w:val="auto"/>
        </w:rPr>
        <w:t>Feedback from ERC and EDG is that they value the objective, impartial, secondary check and balance on established existing conventional reporting chains.</w:t>
      </w:r>
    </w:p>
    <w:p w:rsidR="00C8651D" w:rsidRPr="00B46C38" w:rsidRDefault="00A22883" w:rsidP="00A22883">
      <w:pPr>
        <w:pStyle w:val="ListParagraph"/>
        <w:numPr>
          <w:ilvl w:val="0"/>
          <w:numId w:val="3"/>
        </w:numPr>
        <w:spacing w:line="240" w:lineRule="auto"/>
        <w:rPr>
          <w:rFonts w:asciiTheme="minorHAnsi" w:eastAsia="Times New Roman" w:hAnsiTheme="minorHAnsi" w:cs="Times New Roman"/>
          <w:color w:val="auto"/>
        </w:rPr>
      </w:pPr>
      <w:r>
        <w:rPr>
          <w:rFonts w:asciiTheme="minorHAnsi" w:eastAsia="Times New Roman" w:hAnsiTheme="minorHAnsi" w:cs="Times New Roman"/>
          <w:color w:val="auto"/>
        </w:rPr>
        <w:t xml:space="preserve">Also informs (via OCHA) the </w:t>
      </w:r>
      <w:r w:rsidR="00C8651D" w:rsidRPr="00B46C38">
        <w:rPr>
          <w:rFonts w:asciiTheme="minorHAnsi" w:eastAsia="Times New Roman" w:hAnsiTheme="minorHAnsi" w:cs="Times New Roman"/>
          <w:color w:val="auto"/>
        </w:rPr>
        <w:t>CERF/underfunding mechanism.</w:t>
      </w:r>
    </w:p>
    <w:p w:rsidR="007D207B" w:rsidRPr="00B46C38" w:rsidRDefault="007D207B" w:rsidP="00A22883">
      <w:pPr>
        <w:spacing w:line="240" w:lineRule="auto"/>
        <w:rPr>
          <w:b/>
          <w:u w:val="single"/>
        </w:rPr>
      </w:pPr>
    </w:p>
    <w:p w:rsidR="00C8651D" w:rsidRPr="00B46C38" w:rsidRDefault="00A96177" w:rsidP="00A22883">
      <w:pPr>
        <w:spacing w:line="240" w:lineRule="auto"/>
        <w:rPr>
          <w:b/>
          <w:u w:val="single"/>
        </w:rPr>
      </w:pPr>
      <w:r w:rsidRPr="00B46C38">
        <w:rPr>
          <w:b/>
          <w:u w:val="single"/>
        </w:rPr>
        <w:t>OUTPUTS</w:t>
      </w:r>
    </w:p>
    <w:p w:rsidR="00A96177" w:rsidRPr="00B46C38" w:rsidRDefault="00A96177" w:rsidP="00A22883">
      <w:pPr>
        <w:spacing w:line="240" w:lineRule="auto"/>
        <w:rPr>
          <w:b/>
        </w:rPr>
      </w:pPr>
      <w:r w:rsidRPr="00B46C38">
        <w:rPr>
          <w:b/>
        </w:rPr>
        <w:t>JUNE EWEAR REPORT – LESSONS LEARNED</w:t>
      </w:r>
    </w:p>
    <w:p w:rsidR="00A968C5" w:rsidRPr="00B46C38" w:rsidRDefault="00A968C5" w:rsidP="00A22883">
      <w:pPr>
        <w:pStyle w:val="ListParagraph"/>
        <w:numPr>
          <w:ilvl w:val="0"/>
          <w:numId w:val="4"/>
        </w:numPr>
        <w:spacing w:line="240" w:lineRule="auto"/>
        <w:rPr>
          <w:rFonts w:asciiTheme="minorHAnsi" w:hAnsiTheme="minorHAnsi"/>
          <w:color w:val="auto"/>
        </w:rPr>
      </w:pPr>
      <w:r w:rsidRPr="00B46C38">
        <w:rPr>
          <w:rFonts w:asciiTheme="minorHAnsi" w:hAnsiTheme="minorHAnsi"/>
          <w:color w:val="auto"/>
        </w:rPr>
        <w:t>Positive – great feedback from EDG and ERC.</w:t>
      </w:r>
    </w:p>
    <w:p w:rsidR="007D207B" w:rsidRPr="00A22883" w:rsidRDefault="00C93634" w:rsidP="00A22883">
      <w:pPr>
        <w:pStyle w:val="ListParagraph"/>
        <w:numPr>
          <w:ilvl w:val="0"/>
          <w:numId w:val="4"/>
        </w:numPr>
        <w:spacing w:line="240" w:lineRule="auto"/>
        <w:rPr>
          <w:rFonts w:asciiTheme="minorHAnsi" w:hAnsiTheme="minorHAnsi"/>
          <w:color w:val="auto"/>
        </w:rPr>
      </w:pPr>
      <w:r w:rsidRPr="00B46C38">
        <w:rPr>
          <w:rFonts w:asciiTheme="minorHAnsi" w:hAnsiTheme="minorHAnsi"/>
          <w:color w:val="auto"/>
        </w:rPr>
        <w:t>Positive – agree</w:t>
      </w:r>
      <w:r w:rsidR="00A22883">
        <w:rPr>
          <w:rFonts w:asciiTheme="minorHAnsi" w:hAnsiTheme="minorHAnsi"/>
          <w:color w:val="auto"/>
        </w:rPr>
        <w:t>d</w:t>
      </w:r>
      <w:r w:rsidRPr="00B46C38">
        <w:rPr>
          <w:rFonts w:asciiTheme="minorHAnsi" w:hAnsiTheme="minorHAnsi"/>
          <w:color w:val="auto"/>
        </w:rPr>
        <w:t xml:space="preserve"> criteria </w:t>
      </w:r>
      <w:r w:rsidR="00A22883">
        <w:rPr>
          <w:rFonts w:asciiTheme="minorHAnsi" w:hAnsiTheme="minorHAnsi"/>
          <w:color w:val="auto"/>
        </w:rPr>
        <w:t xml:space="preserve">for including risks. </w:t>
      </w:r>
      <w:r w:rsidRPr="00A22883">
        <w:rPr>
          <w:rFonts w:asciiTheme="minorHAnsi" w:eastAsia="Times New Roman" w:hAnsiTheme="minorHAnsi" w:cs="Times New Roman"/>
          <w:color w:val="auto"/>
        </w:rPr>
        <w:t xml:space="preserve">Each country or region includes a risk analysis followed by an analysis of IASC response capacity and preparedness. In an effort to support concerted early action to the situations of most concern, the initial list of risks provided by the different agencies was prioritised to highlight only those risks assessed as having the most acute gap between the potential humanitarian impact and existing capacity and preparedness levels. Countries were divided into three ‘tiers’ based on the assessed gap between the </w:t>
      </w:r>
      <w:r w:rsidRPr="00A22883">
        <w:rPr>
          <w:rFonts w:asciiTheme="minorHAnsi" w:eastAsia="Times New Roman" w:hAnsiTheme="minorHAnsi" w:cs="Times New Roman"/>
          <w:b/>
          <w:color w:val="auto"/>
        </w:rPr>
        <w:t>seriousness</w:t>
      </w:r>
      <w:r w:rsidRPr="00A22883">
        <w:rPr>
          <w:rFonts w:asciiTheme="minorHAnsi" w:eastAsia="Times New Roman" w:hAnsiTheme="minorHAnsi" w:cs="Times New Roman"/>
          <w:color w:val="auto"/>
        </w:rPr>
        <w:t xml:space="preserve"> of the risk and the level of preparedness</w:t>
      </w:r>
      <w:r w:rsidR="00A22883">
        <w:rPr>
          <w:rFonts w:asciiTheme="minorHAnsi" w:eastAsia="Times New Roman" w:hAnsiTheme="minorHAnsi" w:cs="Times New Roman"/>
          <w:color w:val="auto"/>
        </w:rPr>
        <w:t xml:space="preserve"> and response capacity</w:t>
      </w:r>
      <w:r w:rsidRPr="00A22883">
        <w:rPr>
          <w:rFonts w:asciiTheme="minorHAnsi" w:eastAsia="Times New Roman" w:hAnsiTheme="minorHAnsi" w:cs="Times New Roman"/>
          <w:color w:val="auto"/>
        </w:rPr>
        <w:t>.</w:t>
      </w:r>
      <w:r w:rsidR="00A22883">
        <w:rPr>
          <w:rFonts w:asciiTheme="minorHAnsi" w:eastAsia="Times New Roman" w:hAnsiTheme="minorHAnsi" w:cs="Times New Roman"/>
          <w:color w:val="auto"/>
        </w:rPr>
        <w:t xml:space="preserve"> </w:t>
      </w:r>
      <w:r w:rsidR="00A22883" w:rsidRPr="00A22883">
        <w:rPr>
          <w:rFonts w:asciiTheme="minorHAnsi" w:eastAsia="Times New Roman" w:hAnsiTheme="minorHAnsi" w:cs="Times New Roman"/>
          <w:color w:val="auto"/>
        </w:rPr>
        <w:t>T</w:t>
      </w:r>
      <w:r w:rsidRPr="00A22883">
        <w:rPr>
          <w:rFonts w:asciiTheme="minorHAnsi" w:eastAsia="Times New Roman" w:hAnsiTheme="minorHAnsi" w:cs="Times New Roman"/>
          <w:color w:val="auto"/>
        </w:rPr>
        <w:t xml:space="preserve">he report only includes situations: </w:t>
      </w:r>
      <w:r w:rsidRPr="00A22883">
        <w:rPr>
          <w:rFonts w:asciiTheme="minorHAnsi" w:eastAsia="Times New Roman" w:hAnsiTheme="minorHAnsi" w:cs="Times New Roman"/>
          <w:b/>
          <w:i/>
          <w:color w:val="auto"/>
        </w:rPr>
        <w:t xml:space="preserve">where risks are assessed as </w:t>
      </w:r>
      <w:r w:rsidRPr="00A22883">
        <w:rPr>
          <w:rFonts w:asciiTheme="minorHAnsi" w:eastAsia="Times New Roman" w:hAnsiTheme="minorHAnsi" w:cs="Times New Roman"/>
          <w:b/>
          <w:i/>
          <w:iCs/>
          <w:color w:val="auto"/>
        </w:rPr>
        <w:lastRenderedPageBreak/>
        <w:t>having a very high, high or moderate likelihood/humanitarian impact; where there is low national willingness and capacity to respond and/or where in-country humanitarian capacity and preparedness were felt to be insufficient to respond to the projected risks; and where a coordinated inter-agency and multi-sectoral response would be required</w:t>
      </w:r>
      <w:r w:rsidRPr="00A22883">
        <w:rPr>
          <w:rFonts w:asciiTheme="minorHAnsi" w:eastAsia="Times New Roman" w:hAnsiTheme="minorHAnsi" w:cs="Times New Roman"/>
          <w:iCs/>
          <w:color w:val="auto"/>
        </w:rPr>
        <w:t>.</w:t>
      </w:r>
      <w:r w:rsidR="00A22883">
        <w:rPr>
          <w:rFonts w:asciiTheme="minorHAnsi" w:eastAsia="Times New Roman" w:hAnsiTheme="minorHAnsi" w:cs="Times New Roman"/>
          <w:iCs/>
          <w:color w:val="auto"/>
        </w:rPr>
        <w:t xml:space="preserve"> </w:t>
      </w:r>
      <w:r w:rsidRPr="00A22883">
        <w:rPr>
          <w:rFonts w:asciiTheme="minorHAnsi" w:eastAsia="Times New Roman" w:hAnsiTheme="minorHAnsi" w:cs="Times New Roman"/>
          <w:iCs/>
          <w:color w:val="auto"/>
        </w:rPr>
        <w:t>The Index for Risk Management (InfoRM) was used as part of the analytical process and relevant risk values are shown in the Report.</w:t>
      </w:r>
    </w:p>
    <w:p w:rsidR="007D207B" w:rsidRPr="00B46C38" w:rsidRDefault="00A968C5" w:rsidP="00A22883">
      <w:pPr>
        <w:pStyle w:val="ListParagraph"/>
        <w:numPr>
          <w:ilvl w:val="0"/>
          <w:numId w:val="1"/>
        </w:numPr>
        <w:spacing w:line="240" w:lineRule="auto"/>
        <w:ind w:left="360"/>
        <w:rPr>
          <w:rFonts w:asciiTheme="minorHAnsi" w:eastAsia="Times New Roman" w:hAnsiTheme="minorHAnsi" w:cs="Times New Roman"/>
          <w:color w:val="auto"/>
        </w:rPr>
      </w:pPr>
      <w:r w:rsidRPr="00B46C38">
        <w:rPr>
          <w:rFonts w:asciiTheme="minorHAnsi" w:hAnsiTheme="minorHAnsi"/>
          <w:color w:val="auto"/>
        </w:rPr>
        <w:t>Positive - Greater emphasis on gap analysis between risk and preparedness</w:t>
      </w:r>
      <w:r w:rsidRPr="00B46C38">
        <w:rPr>
          <w:rFonts w:asciiTheme="minorHAnsi" w:hAnsiTheme="minorHAnsi"/>
          <w:b/>
          <w:i/>
          <w:color w:val="auto"/>
        </w:rPr>
        <w:t xml:space="preserve"> (but </w:t>
      </w:r>
      <w:r w:rsidR="00A22883">
        <w:rPr>
          <w:rFonts w:asciiTheme="minorHAnsi" w:hAnsiTheme="minorHAnsi"/>
          <w:b/>
          <w:i/>
          <w:color w:val="auto"/>
        </w:rPr>
        <w:t xml:space="preserve">to what extent </w:t>
      </w:r>
      <w:r w:rsidRPr="00B46C38">
        <w:rPr>
          <w:rFonts w:asciiTheme="minorHAnsi" w:hAnsiTheme="minorHAnsi"/>
          <w:b/>
          <w:i/>
          <w:color w:val="auto"/>
        </w:rPr>
        <w:t>should EW group be assessing preparedness?)</w:t>
      </w:r>
    </w:p>
    <w:p w:rsidR="007D207B" w:rsidRPr="00B46C38" w:rsidRDefault="00A968C5" w:rsidP="00A22883">
      <w:pPr>
        <w:pStyle w:val="ListParagraph"/>
        <w:numPr>
          <w:ilvl w:val="0"/>
          <w:numId w:val="1"/>
        </w:numPr>
        <w:spacing w:line="240" w:lineRule="auto"/>
        <w:ind w:left="360"/>
        <w:rPr>
          <w:rFonts w:asciiTheme="minorHAnsi" w:eastAsia="Times New Roman" w:hAnsiTheme="minorHAnsi" w:cs="Times New Roman"/>
          <w:color w:val="auto"/>
        </w:rPr>
      </w:pPr>
      <w:r w:rsidRPr="00B46C38">
        <w:rPr>
          <w:rFonts w:asciiTheme="minorHAnsi" w:hAnsiTheme="minorHAnsi"/>
          <w:color w:val="auto"/>
        </w:rPr>
        <w:t xml:space="preserve">Negative - </w:t>
      </w:r>
      <w:r w:rsidR="00A96177" w:rsidRPr="00B46C38">
        <w:rPr>
          <w:rFonts w:asciiTheme="minorHAnsi" w:hAnsiTheme="minorHAnsi"/>
          <w:color w:val="auto"/>
        </w:rPr>
        <w:t>Expectations have evolved as the Report’</w:t>
      </w:r>
      <w:r w:rsidRPr="00B46C38">
        <w:rPr>
          <w:rFonts w:asciiTheme="minorHAnsi" w:hAnsiTheme="minorHAnsi"/>
          <w:color w:val="auto"/>
        </w:rPr>
        <w:t xml:space="preserve">s profile has grown in last 2 years.  Corresponding increase in resources/input required to produce </w:t>
      </w:r>
      <w:r w:rsidR="00A22883">
        <w:rPr>
          <w:rFonts w:asciiTheme="minorHAnsi" w:hAnsiTheme="minorHAnsi"/>
          <w:color w:val="auto"/>
        </w:rPr>
        <w:t>a</w:t>
      </w:r>
      <w:r w:rsidRPr="00B46C38">
        <w:rPr>
          <w:rFonts w:asciiTheme="minorHAnsi" w:hAnsiTheme="minorHAnsi"/>
          <w:color w:val="auto"/>
        </w:rPr>
        <w:t xml:space="preserve"> sufficiently robust and </w:t>
      </w:r>
      <w:r w:rsidRPr="00B46C38">
        <w:rPr>
          <w:rFonts w:asciiTheme="minorHAnsi" w:hAnsiTheme="minorHAnsi"/>
          <w:b/>
          <w:i/>
          <w:color w:val="auto"/>
        </w:rPr>
        <w:t>professional</w:t>
      </w:r>
      <w:r w:rsidRPr="00B46C38">
        <w:rPr>
          <w:rFonts w:asciiTheme="minorHAnsi" w:hAnsiTheme="minorHAnsi"/>
          <w:color w:val="auto"/>
        </w:rPr>
        <w:t xml:space="preserve"> </w:t>
      </w:r>
      <w:r w:rsidR="00A22883">
        <w:rPr>
          <w:rFonts w:asciiTheme="minorHAnsi" w:hAnsiTheme="minorHAnsi"/>
          <w:color w:val="auto"/>
        </w:rPr>
        <w:t xml:space="preserve">product </w:t>
      </w:r>
      <w:r w:rsidRPr="00B46C38">
        <w:rPr>
          <w:rFonts w:asciiTheme="minorHAnsi" w:hAnsiTheme="minorHAnsi"/>
          <w:color w:val="auto"/>
        </w:rPr>
        <w:t xml:space="preserve">to meet these evolving expectations and </w:t>
      </w:r>
      <w:r w:rsidR="00A22883">
        <w:rPr>
          <w:rFonts w:asciiTheme="minorHAnsi" w:hAnsiTheme="minorHAnsi"/>
          <w:color w:val="auto"/>
        </w:rPr>
        <w:t xml:space="preserve">more stringent </w:t>
      </w:r>
      <w:r w:rsidRPr="00B46C38">
        <w:rPr>
          <w:rFonts w:asciiTheme="minorHAnsi" w:hAnsiTheme="minorHAnsi"/>
          <w:color w:val="auto"/>
        </w:rPr>
        <w:t xml:space="preserve">requirement.  </w:t>
      </w:r>
    </w:p>
    <w:p w:rsidR="007D207B" w:rsidRPr="00B46C38" w:rsidRDefault="007D207B" w:rsidP="00A22883">
      <w:pPr>
        <w:pStyle w:val="ListParagraph"/>
        <w:numPr>
          <w:ilvl w:val="0"/>
          <w:numId w:val="1"/>
        </w:numPr>
        <w:spacing w:line="240" w:lineRule="auto"/>
        <w:ind w:left="360"/>
        <w:rPr>
          <w:rFonts w:asciiTheme="minorHAnsi" w:eastAsia="Times New Roman" w:hAnsiTheme="minorHAnsi" w:cs="Times New Roman"/>
          <w:color w:val="auto"/>
        </w:rPr>
      </w:pPr>
      <w:r w:rsidRPr="00B46C38">
        <w:rPr>
          <w:rFonts w:asciiTheme="minorHAnsi" w:hAnsiTheme="minorHAnsi"/>
          <w:color w:val="auto"/>
        </w:rPr>
        <w:t>Negative – need for DofE endorsement to ensure rigour, oversight as well as accountability and support for risks throughout the process.</w:t>
      </w:r>
    </w:p>
    <w:p w:rsidR="007D207B" w:rsidRPr="00B46C38" w:rsidRDefault="00A968C5" w:rsidP="00A22883">
      <w:pPr>
        <w:pStyle w:val="ListParagraph"/>
        <w:numPr>
          <w:ilvl w:val="0"/>
          <w:numId w:val="1"/>
        </w:numPr>
        <w:spacing w:line="240" w:lineRule="auto"/>
        <w:ind w:left="360"/>
        <w:rPr>
          <w:rFonts w:asciiTheme="minorHAnsi" w:eastAsia="Times New Roman" w:hAnsiTheme="minorHAnsi" w:cs="Times New Roman"/>
          <w:color w:val="auto"/>
        </w:rPr>
      </w:pPr>
      <w:r w:rsidRPr="00B46C38">
        <w:rPr>
          <w:rFonts w:asciiTheme="minorHAnsi" w:hAnsiTheme="minorHAnsi"/>
          <w:color w:val="auto"/>
        </w:rPr>
        <w:t xml:space="preserve">Negative - </w:t>
      </w:r>
      <w:r w:rsidR="00A96177" w:rsidRPr="00B46C38">
        <w:rPr>
          <w:rFonts w:asciiTheme="minorHAnsi" w:hAnsiTheme="minorHAnsi"/>
          <w:color w:val="auto"/>
        </w:rPr>
        <w:t xml:space="preserve">Lack of clarity on purpose, reflected in the consultations and final </w:t>
      </w:r>
      <w:r w:rsidRPr="00B46C38">
        <w:rPr>
          <w:rFonts w:asciiTheme="minorHAnsi" w:hAnsiTheme="minorHAnsi"/>
          <w:color w:val="auto"/>
        </w:rPr>
        <w:t xml:space="preserve">staffing (to EDG as draft for approval) and final </w:t>
      </w:r>
      <w:r w:rsidR="00A96177" w:rsidRPr="00B46C38">
        <w:rPr>
          <w:rFonts w:asciiTheme="minorHAnsi" w:hAnsiTheme="minorHAnsi"/>
          <w:color w:val="auto"/>
        </w:rPr>
        <w:t>distribution (donors, Reuters)</w:t>
      </w:r>
      <w:r w:rsidRPr="00B46C38">
        <w:rPr>
          <w:rFonts w:asciiTheme="minorHAnsi" w:hAnsiTheme="minorHAnsi"/>
          <w:color w:val="auto"/>
        </w:rPr>
        <w:t>.</w:t>
      </w:r>
    </w:p>
    <w:p w:rsidR="007D207B" w:rsidRPr="00B46C38" w:rsidRDefault="00A968C5" w:rsidP="00A22883">
      <w:pPr>
        <w:pStyle w:val="ListParagraph"/>
        <w:numPr>
          <w:ilvl w:val="0"/>
          <w:numId w:val="1"/>
        </w:numPr>
        <w:spacing w:line="240" w:lineRule="auto"/>
        <w:ind w:left="360"/>
        <w:rPr>
          <w:rFonts w:asciiTheme="minorHAnsi" w:eastAsia="Times New Roman" w:hAnsiTheme="minorHAnsi" w:cs="Times New Roman"/>
          <w:color w:val="auto"/>
        </w:rPr>
      </w:pPr>
      <w:r w:rsidRPr="00B46C38">
        <w:rPr>
          <w:rFonts w:asciiTheme="minorHAnsi" w:hAnsiTheme="minorHAnsi"/>
          <w:color w:val="auto"/>
        </w:rPr>
        <w:t>Negative – Field consultations exposed sensitivities which removed risks from final report.  Management challenge – group objectivity and impartiality versus consensus with the field (who often rely on host governments who may be parties to a conflict).</w:t>
      </w:r>
    </w:p>
    <w:p w:rsidR="00A968C5" w:rsidRPr="00B46C38" w:rsidRDefault="00A968C5" w:rsidP="00A22883">
      <w:pPr>
        <w:pStyle w:val="ListParagraph"/>
        <w:numPr>
          <w:ilvl w:val="0"/>
          <w:numId w:val="1"/>
        </w:numPr>
        <w:spacing w:line="240" w:lineRule="auto"/>
        <w:ind w:left="360"/>
        <w:rPr>
          <w:rFonts w:asciiTheme="minorHAnsi" w:eastAsia="Times New Roman" w:hAnsiTheme="minorHAnsi" w:cs="Times New Roman"/>
          <w:color w:val="auto"/>
        </w:rPr>
      </w:pPr>
      <w:r w:rsidRPr="00B46C38">
        <w:rPr>
          <w:rFonts w:asciiTheme="minorHAnsi" w:hAnsiTheme="minorHAnsi"/>
          <w:color w:val="auto"/>
        </w:rPr>
        <w:t>Outcome - Need clearly defined ToRs</w:t>
      </w:r>
      <w:r w:rsidR="007D207B" w:rsidRPr="00B46C38">
        <w:rPr>
          <w:rFonts w:asciiTheme="minorHAnsi" w:hAnsiTheme="minorHAnsi"/>
          <w:color w:val="auto"/>
        </w:rPr>
        <w:t xml:space="preserve"> to formalise and refine the process &amp; product</w:t>
      </w:r>
      <w:r w:rsidRPr="00B46C38">
        <w:rPr>
          <w:rFonts w:asciiTheme="minorHAnsi" w:hAnsiTheme="minorHAnsi"/>
          <w:color w:val="auto"/>
        </w:rPr>
        <w:t>.  More below.</w:t>
      </w:r>
    </w:p>
    <w:p w:rsidR="007D207B" w:rsidRPr="00B46C38" w:rsidRDefault="007D207B" w:rsidP="00A22883">
      <w:pPr>
        <w:spacing w:line="240" w:lineRule="auto"/>
        <w:rPr>
          <w:b/>
        </w:rPr>
      </w:pPr>
    </w:p>
    <w:p w:rsidR="00A96177" w:rsidRPr="00B46C38" w:rsidRDefault="00A96177" w:rsidP="00A22883">
      <w:pPr>
        <w:spacing w:line="240" w:lineRule="auto"/>
        <w:rPr>
          <w:b/>
        </w:rPr>
      </w:pPr>
      <w:r w:rsidRPr="00B46C38">
        <w:rPr>
          <w:b/>
        </w:rPr>
        <w:lastRenderedPageBreak/>
        <w:t>NOVEMBER EWEAR REPORT</w:t>
      </w:r>
      <w:r w:rsidR="00A22883">
        <w:rPr>
          <w:b/>
        </w:rPr>
        <w:t xml:space="preserve"> - PROGRESS</w:t>
      </w:r>
    </w:p>
    <w:p w:rsidR="00C8651D" w:rsidRPr="00A22883" w:rsidRDefault="00A968C5" w:rsidP="00A22883">
      <w:pPr>
        <w:pStyle w:val="ListParagraph"/>
        <w:numPr>
          <w:ilvl w:val="0"/>
          <w:numId w:val="13"/>
        </w:numPr>
        <w:spacing w:line="240" w:lineRule="auto"/>
        <w:rPr>
          <w:rFonts w:eastAsia="Times New Roman" w:cs="Times New Roman"/>
        </w:rPr>
      </w:pPr>
      <w:r w:rsidRPr="00A22883">
        <w:rPr>
          <w:rFonts w:eastAsia="Times New Roman" w:cs="Times New Roman"/>
        </w:rPr>
        <w:t>On track –</w:t>
      </w:r>
      <w:r w:rsidR="00FE47CF">
        <w:rPr>
          <w:rFonts w:eastAsia="Times New Roman" w:cs="Times New Roman"/>
        </w:rPr>
        <w:t xml:space="preserve"> </w:t>
      </w:r>
      <w:r w:rsidRPr="00A22883">
        <w:rPr>
          <w:rFonts w:eastAsia="Times New Roman" w:cs="Times New Roman"/>
        </w:rPr>
        <w:t xml:space="preserve">60% draft for the F2F analytical meetings in Rome/FAO next week. Rolls into 100% draft by Fri 28 Oct which goes back to the group for quick endorsement and final comments, then to both co-chairs on Thu 3 Nov for onwards staffing to the EDG Secretariat for the EDG on Fri 11 Nov.  </w:t>
      </w:r>
    </w:p>
    <w:p w:rsidR="00A968C5" w:rsidRPr="00A22883" w:rsidRDefault="00A968C5" w:rsidP="00A22883">
      <w:pPr>
        <w:pStyle w:val="ListParagraph"/>
        <w:numPr>
          <w:ilvl w:val="0"/>
          <w:numId w:val="13"/>
        </w:numPr>
        <w:spacing w:line="240" w:lineRule="auto"/>
        <w:rPr>
          <w:rFonts w:eastAsia="Times New Roman" w:cs="Times New Roman"/>
          <w:b/>
          <w:i/>
        </w:rPr>
      </w:pPr>
      <w:r w:rsidRPr="00A22883">
        <w:rPr>
          <w:rFonts w:eastAsia="Times New Roman" w:cs="Times New Roman"/>
        </w:rPr>
        <w:t xml:space="preserve">Risk – </w:t>
      </w:r>
      <w:r w:rsidR="003D4690" w:rsidRPr="00A22883">
        <w:rPr>
          <w:rFonts w:eastAsia="Times New Roman" w:cs="Times New Roman"/>
        </w:rPr>
        <w:t xml:space="preserve">tight deadlines </w:t>
      </w:r>
      <w:r w:rsidR="00361093">
        <w:rPr>
          <w:rFonts w:eastAsia="Times New Roman" w:cs="Times New Roman"/>
        </w:rPr>
        <w:t xml:space="preserve">remain </w:t>
      </w:r>
      <w:r w:rsidR="003D4690" w:rsidRPr="00A22883">
        <w:rPr>
          <w:rFonts w:eastAsia="Times New Roman" w:cs="Times New Roman"/>
        </w:rPr>
        <w:t xml:space="preserve">subject to </w:t>
      </w:r>
      <w:r w:rsidRPr="00A22883">
        <w:rPr>
          <w:rFonts w:eastAsia="Times New Roman" w:cs="Times New Roman"/>
        </w:rPr>
        <w:t xml:space="preserve">late inputs and spoilers from 1) non-active participants at early stages and/or 2) field </w:t>
      </w:r>
      <w:r w:rsidR="003D4690" w:rsidRPr="00A22883">
        <w:rPr>
          <w:rFonts w:eastAsia="Times New Roman" w:cs="Times New Roman"/>
        </w:rPr>
        <w:t>sensitivities</w:t>
      </w:r>
      <w:r w:rsidRPr="00A22883">
        <w:rPr>
          <w:rFonts w:eastAsia="Times New Roman" w:cs="Times New Roman"/>
        </w:rPr>
        <w:t xml:space="preserve">.  </w:t>
      </w:r>
    </w:p>
    <w:p w:rsidR="00A22883" w:rsidRDefault="00A22883" w:rsidP="00A22883">
      <w:pPr>
        <w:spacing w:line="240" w:lineRule="auto"/>
        <w:rPr>
          <w:b/>
          <w:u w:val="single"/>
        </w:rPr>
      </w:pPr>
    </w:p>
    <w:p w:rsidR="00C93634" w:rsidRPr="00B46C38" w:rsidRDefault="00C93634" w:rsidP="00A22883">
      <w:pPr>
        <w:spacing w:line="240" w:lineRule="auto"/>
        <w:rPr>
          <w:b/>
          <w:u w:val="single"/>
        </w:rPr>
      </w:pPr>
      <w:r w:rsidRPr="00B46C38">
        <w:rPr>
          <w:b/>
          <w:u w:val="single"/>
        </w:rPr>
        <w:t>ISSUES AND CHALLENGES</w:t>
      </w:r>
    </w:p>
    <w:p w:rsidR="003D4690" w:rsidRPr="00A22883" w:rsidRDefault="003D4690" w:rsidP="00A22883">
      <w:pPr>
        <w:spacing w:line="240" w:lineRule="auto"/>
      </w:pPr>
      <w:r w:rsidRPr="00B46C38">
        <w:rPr>
          <w:b/>
          <w:bCs/>
        </w:rPr>
        <w:t>Terms of Reference (ToRs) Discussion – Thu 29 Sep</w:t>
      </w:r>
      <w:r w:rsidR="00A22883">
        <w:t>. </w:t>
      </w:r>
      <w:r w:rsidRPr="00B46C38">
        <w:t xml:space="preserve">The last EWEAR Report confirmed a need for clearer direction and consensus on 1) DEFINING THE REQUIREMENT (intent, purpose and format of the Report); 2) DEFINING THE RESOURCES REQUIRED TO MEET THAT REQUIREMENT and 3) DEFINING THE FRAMEWORK WITHIN WHICH THE RESOURCES ARE ORGANISED AND COORDINATED TO MEET THAT REQUIREMENT - the PROCESS behind compiling and finalising the Report, and </w:t>
      </w:r>
      <w:r w:rsidRPr="00A22883">
        <w:t>CLARIFICATION ON overall roles, responsibilities and accountability (internal and external).  It was agreed that a more sustainable, effective framework is required to 1) meet and manage the expectations of an increasingly broad range of Reference Group stakeholders and 2) streamline and harmonise group inputs on a sustainable and more equitable basis.</w:t>
      </w:r>
    </w:p>
    <w:p w:rsidR="003D4690" w:rsidRPr="00A22883" w:rsidRDefault="003D4690" w:rsidP="00A22883">
      <w:pPr>
        <w:spacing w:line="240" w:lineRule="auto"/>
      </w:pPr>
      <w:r w:rsidRPr="00A22883">
        <w:rPr>
          <w:b/>
          <w:bCs/>
        </w:rPr>
        <w:lastRenderedPageBreak/>
        <w:t>External Consultations (Field/Operations Staff).</w:t>
      </w:r>
      <w:r w:rsidRPr="00A22883">
        <w:t xml:space="preserve"> Previous consultations with RCs/HCs and field staff had exposed concerns at the inclusion of certain risks in the last EWEAR Report, which resulted in late adjustments.  Tony </w:t>
      </w:r>
      <w:r w:rsidR="00F829B0" w:rsidRPr="00A22883">
        <w:t>agreed to</w:t>
      </w:r>
      <w:r w:rsidRPr="00A22883">
        <w:t xml:space="preserve"> consider and raise at </w:t>
      </w:r>
      <w:r w:rsidR="00F829B0" w:rsidRPr="00A22883">
        <w:t>this</w:t>
      </w:r>
      <w:r w:rsidRPr="00A22883">
        <w:t xml:space="preserve"> Reference Group meeting. It was acknowledged that extensive field consultations may be at odds with objectivity and independence from conventional reporting chains.  Hence the need to consult with the EDG and ERC.   </w:t>
      </w:r>
    </w:p>
    <w:p w:rsidR="009C09B4" w:rsidRPr="00A22883" w:rsidRDefault="009C09B4" w:rsidP="00A22883">
      <w:pPr>
        <w:spacing w:line="240" w:lineRule="auto"/>
        <w:rPr>
          <w:rFonts w:eastAsia="Times New Roman" w:cs="Times New Roman"/>
          <w:b/>
        </w:rPr>
      </w:pPr>
      <w:r w:rsidRPr="00A22883">
        <w:rPr>
          <w:rFonts w:eastAsia="Times New Roman" w:cs="Times New Roman"/>
          <w:b/>
        </w:rPr>
        <w:t>EW</w:t>
      </w:r>
      <w:r w:rsidR="00A22883">
        <w:rPr>
          <w:rFonts w:eastAsia="Times New Roman" w:cs="Times New Roman"/>
          <w:b/>
        </w:rPr>
        <w:t xml:space="preserve"> Group Membership – Expansion Proposals.  </w:t>
      </w:r>
      <w:r w:rsidRPr="00A22883">
        <w:rPr>
          <w:rFonts w:eastAsia="Times New Roman" w:cs="Times New Roman"/>
        </w:rPr>
        <w:t>Advantages – broader perspective</w:t>
      </w:r>
      <w:r w:rsidR="00A22883" w:rsidRPr="00A22883">
        <w:rPr>
          <w:rFonts w:eastAsia="Times New Roman" w:cs="Times New Roman"/>
          <w:b/>
        </w:rPr>
        <w:t xml:space="preserve">.  </w:t>
      </w:r>
      <w:r w:rsidRPr="00A22883">
        <w:rPr>
          <w:rFonts w:eastAsia="Times New Roman" w:cs="Times New Roman"/>
        </w:rPr>
        <w:t>Risks – consensus, value added for EW group and EDG (global or regional coverage), coordination burden, leaks (LIMDIS EWEAR Report).  Needs EW group consensus based on a pragmatic assessment of the added value measured against outputs and client needs (still work in progress).</w:t>
      </w:r>
      <w:r w:rsidR="00A22883">
        <w:rPr>
          <w:rFonts w:eastAsia="Times New Roman" w:cs="Times New Roman"/>
        </w:rPr>
        <w:t xml:space="preserve"> For group discussion in Rome next week.  </w:t>
      </w:r>
    </w:p>
    <w:sectPr w:rsidR="009C09B4" w:rsidRPr="00A2288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D5A" w:rsidRDefault="00282D5A" w:rsidP="00F829B0">
      <w:pPr>
        <w:spacing w:after="0" w:line="240" w:lineRule="auto"/>
      </w:pPr>
      <w:r>
        <w:separator/>
      </w:r>
    </w:p>
  </w:endnote>
  <w:endnote w:type="continuationSeparator" w:id="0">
    <w:p w:rsidR="00282D5A" w:rsidRDefault="00282D5A" w:rsidP="00F8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176427"/>
      <w:docPartObj>
        <w:docPartGallery w:val="Page Numbers (Bottom of Page)"/>
        <w:docPartUnique/>
      </w:docPartObj>
    </w:sdtPr>
    <w:sdtEndPr>
      <w:rPr>
        <w:noProof/>
      </w:rPr>
    </w:sdtEndPr>
    <w:sdtContent>
      <w:p w:rsidR="00F829B0" w:rsidRDefault="00F829B0">
        <w:pPr>
          <w:pStyle w:val="Footer"/>
          <w:jc w:val="center"/>
        </w:pPr>
        <w:r>
          <w:fldChar w:fldCharType="begin"/>
        </w:r>
        <w:r>
          <w:instrText xml:space="preserve"> PAGE   \* MERGEFORMAT </w:instrText>
        </w:r>
        <w:r>
          <w:fldChar w:fldCharType="separate"/>
        </w:r>
        <w:r w:rsidR="001532CD">
          <w:rPr>
            <w:noProof/>
          </w:rPr>
          <w:t>2</w:t>
        </w:r>
        <w:r>
          <w:rPr>
            <w:noProof/>
          </w:rPr>
          <w:fldChar w:fldCharType="end"/>
        </w:r>
      </w:p>
    </w:sdtContent>
  </w:sdt>
  <w:p w:rsidR="00F829B0" w:rsidRDefault="00F82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D5A" w:rsidRDefault="00282D5A" w:rsidP="00F829B0">
      <w:pPr>
        <w:spacing w:after="0" w:line="240" w:lineRule="auto"/>
      </w:pPr>
      <w:r>
        <w:separator/>
      </w:r>
    </w:p>
  </w:footnote>
  <w:footnote w:type="continuationSeparator" w:id="0">
    <w:p w:rsidR="00282D5A" w:rsidRDefault="00282D5A" w:rsidP="00F829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5611"/>
    <w:multiLevelType w:val="hybridMultilevel"/>
    <w:tmpl w:val="371A2D2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25420E44"/>
    <w:multiLevelType w:val="hybridMultilevel"/>
    <w:tmpl w:val="EB0821B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C573909"/>
    <w:multiLevelType w:val="hybridMultilevel"/>
    <w:tmpl w:val="AADC683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33D53CE5"/>
    <w:multiLevelType w:val="hybridMultilevel"/>
    <w:tmpl w:val="B0C28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FD2B48"/>
    <w:multiLevelType w:val="hybridMultilevel"/>
    <w:tmpl w:val="55145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5B39F8"/>
    <w:multiLevelType w:val="hybridMultilevel"/>
    <w:tmpl w:val="37B807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926754"/>
    <w:multiLevelType w:val="hybridMultilevel"/>
    <w:tmpl w:val="898642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DE87622"/>
    <w:multiLevelType w:val="hybridMultilevel"/>
    <w:tmpl w:val="7D5C9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500B09"/>
    <w:multiLevelType w:val="hybridMultilevel"/>
    <w:tmpl w:val="5CD25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05441DD"/>
    <w:multiLevelType w:val="hybridMultilevel"/>
    <w:tmpl w:val="086EA12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72464822"/>
    <w:multiLevelType w:val="hybridMultilevel"/>
    <w:tmpl w:val="27D80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3662A9"/>
    <w:multiLevelType w:val="hybridMultilevel"/>
    <w:tmpl w:val="62EC8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AC7B4B"/>
    <w:multiLevelType w:val="hybridMultilevel"/>
    <w:tmpl w:val="86443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1"/>
  </w:num>
  <w:num w:numId="5">
    <w:abstractNumId w:val="6"/>
  </w:num>
  <w:num w:numId="6">
    <w:abstractNumId w:val="8"/>
  </w:num>
  <w:num w:numId="7">
    <w:abstractNumId w:val="2"/>
  </w:num>
  <w:num w:numId="8">
    <w:abstractNumId w:val="12"/>
  </w:num>
  <w:num w:numId="9">
    <w:abstractNumId w:val="9"/>
  </w:num>
  <w:num w:numId="10">
    <w:abstractNumId w:val="1"/>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B2"/>
    <w:rsid w:val="000B49F1"/>
    <w:rsid w:val="00106353"/>
    <w:rsid w:val="001532CD"/>
    <w:rsid w:val="00282D5A"/>
    <w:rsid w:val="00361093"/>
    <w:rsid w:val="003D4690"/>
    <w:rsid w:val="00480D3E"/>
    <w:rsid w:val="006209AB"/>
    <w:rsid w:val="007D207B"/>
    <w:rsid w:val="009C09B4"/>
    <w:rsid w:val="00A22883"/>
    <w:rsid w:val="00A96177"/>
    <w:rsid w:val="00A968C5"/>
    <w:rsid w:val="00B305B2"/>
    <w:rsid w:val="00B46C38"/>
    <w:rsid w:val="00B554DE"/>
    <w:rsid w:val="00C8651D"/>
    <w:rsid w:val="00C93634"/>
    <w:rsid w:val="00CC6728"/>
    <w:rsid w:val="00E70AEF"/>
    <w:rsid w:val="00EA4E40"/>
    <w:rsid w:val="00F829B0"/>
    <w:rsid w:val="00FE4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DC104-D02E-4931-B1F1-8C0A87CC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634"/>
    <w:pPr>
      <w:spacing w:after="0" w:line="276" w:lineRule="auto"/>
      <w:ind w:left="720"/>
      <w:contextualSpacing/>
      <w:jc w:val="both"/>
    </w:pPr>
    <w:rPr>
      <w:rFonts w:ascii="Calibri" w:eastAsia="Calibri" w:hAnsi="Calibri" w:cs="Calibri"/>
      <w:color w:val="000000"/>
      <w:lang w:eastAsia="en-GB"/>
    </w:rPr>
  </w:style>
  <w:style w:type="paragraph" w:styleId="Header">
    <w:name w:val="header"/>
    <w:basedOn w:val="Normal"/>
    <w:link w:val="HeaderChar"/>
    <w:uiPriority w:val="99"/>
    <w:unhideWhenUsed/>
    <w:rsid w:val="00F82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9B0"/>
  </w:style>
  <w:style w:type="paragraph" w:styleId="Footer">
    <w:name w:val="footer"/>
    <w:basedOn w:val="Normal"/>
    <w:link w:val="FooterChar"/>
    <w:uiPriority w:val="99"/>
    <w:unhideWhenUsed/>
    <w:rsid w:val="00F82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9B0"/>
  </w:style>
  <w:style w:type="paragraph" w:styleId="BalloonText">
    <w:name w:val="Balloon Text"/>
    <w:basedOn w:val="Normal"/>
    <w:link w:val="BalloonTextChar"/>
    <w:uiPriority w:val="99"/>
    <w:semiHidden/>
    <w:unhideWhenUsed/>
    <w:rsid w:val="00CC6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MCGRORY Stephen</dc:creator>
  <cp:keywords/>
  <dc:description/>
  <cp:lastModifiedBy>Johanna TAHTINEN</cp:lastModifiedBy>
  <cp:revision>2</cp:revision>
  <cp:lastPrinted>2016-10-13T12:54:00Z</cp:lastPrinted>
  <dcterms:created xsi:type="dcterms:W3CDTF">2016-10-17T12:17:00Z</dcterms:created>
  <dcterms:modified xsi:type="dcterms:W3CDTF">2016-10-17T12:17:00Z</dcterms:modified>
</cp:coreProperties>
</file>