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2882" w14:textId="72C5277F" w:rsidR="00251F05" w:rsidRPr="00F071E0" w:rsidRDefault="00F071E0" w:rsidP="00F071E0">
      <w:pPr>
        <w:autoSpaceDE w:val="0"/>
        <w:autoSpaceDN w:val="0"/>
        <w:adjustRightInd w:val="0"/>
        <w:jc w:val="center"/>
        <w:rPr>
          <w:rFonts w:ascii="Calibri" w:eastAsia="Calibri" w:hAnsi="Calibri" w:cs="Helv"/>
          <w:b/>
          <w:i/>
          <w:color w:val="1F497D"/>
          <w:sz w:val="32"/>
          <w:szCs w:val="32"/>
        </w:rPr>
      </w:pPr>
      <w:r>
        <w:rPr>
          <w:rFonts w:ascii="Calibri" w:eastAsia="Calibri" w:hAnsi="Calibri" w:cs="Helv"/>
          <w:b/>
          <w:i/>
          <w:color w:val="1F497D"/>
          <w:sz w:val="32"/>
          <w:szCs w:val="32"/>
        </w:rPr>
        <w:t>IASC Humanitarian Financing</w:t>
      </w:r>
      <w:r w:rsidR="00251F05" w:rsidRPr="00251F05">
        <w:rPr>
          <w:rFonts w:ascii="Calibri" w:eastAsia="Calibri" w:hAnsi="Calibri" w:cs="Helv"/>
          <w:b/>
          <w:i/>
          <w:color w:val="1F497D"/>
          <w:sz w:val="32"/>
          <w:szCs w:val="32"/>
        </w:rPr>
        <w:t xml:space="preserve"> Task </w:t>
      </w:r>
      <w:r w:rsidR="00251F05" w:rsidRPr="00F071E0">
        <w:rPr>
          <w:rFonts w:ascii="Calibri" w:eastAsia="Calibri" w:hAnsi="Calibri" w:cs="Helv"/>
          <w:b/>
          <w:i/>
          <w:color w:val="1F497D"/>
          <w:sz w:val="32"/>
          <w:szCs w:val="32"/>
        </w:rPr>
        <w:t>Team</w:t>
      </w:r>
      <w:r w:rsidRPr="00F071E0">
        <w:rPr>
          <w:rFonts w:ascii="Calibri" w:eastAsia="Calibri" w:hAnsi="Calibri" w:cs="Helv"/>
          <w:b/>
          <w:i/>
          <w:color w:val="1F497D"/>
          <w:sz w:val="32"/>
          <w:szCs w:val="32"/>
        </w:rPr>
        <w:t xml:space="preserve"> </w:t>
      </w:r>
      <w:r w:rsidR="00251F05" w:rsidRPr="00F071E0">
        <w:rPr>
          <w:rFonts w:ascii="Calibri" w:eastAsia="Calibri" w:hAnsi="Calibri" w:cs="Helv"/>
          <w:b/>
          <w:i/>
          <w:color w:val="1F497D"/>
          <w:sz w:val="32"/>
          <w:szCs w:val="32"/>
        </w:rPr>
        <w:t>Work Plan</w:t>
      </w:r>
      <w:r w:rsidR="00251F05">
        <w:rPr>
          <w:rFonts w:ascii="Calibri" w:eastAsia="Calibri" w:hAnsi="Calibri" w:cs="Helv"/>
          <w:b/>
          <w:color w:val="1F497D"/>
          <w:sz w:val="32"/>
          <w:szCs w:val="32"/>
        </w:rPr>
        <w:t xml:space="preserve"> </w:t>
      </w:r>
    </w:p>
    <w:p w14:paraId="6EC9FEDC" w14:textId="0FA737CF" w:rsidR="00251F05" w:rsidRPr="00251F05" w:rsidRDefault="00FE46E9" w:rsidP="00251F05">
      <w:pPr>
        <w:autoSpaceDE w:val="0"/>
        <w:autoSpaceDN w:val="0"/>
        <w:adjustRightInd w:val="0"/>
        <w:jc w:val="center"/>
        <w:rPr>
          <w:rFonts w:ascii="Calibri" w:eastAsia="Calibri" w:hAnsi="Calibri" w:cs="Helv"/>
          <w:b/>
          <w:color w:val="1F497D"/>
          <w:sz w:val="32"/>
          <w:szCs w:val="32"/>
        </w:rPr>
      </w:pPr>
      <w:r>
        <w:rPr>
          <w:rFonts w:ascii="Calibri" w:eastAsia="Calibri" w:hAnsi="Calibri" w:cs="Helv"/>
          <w:b/>
          <w:color w:val="1F497D"/>
          <w:sz w:val="32"/>
          <w:szCs w:val="32"/>
        </w:rPr>
        <w:t>January 2016</w:t>
      </w:r>
      <w:r w:rsidR="00495297">
        <w:rPr>
          <w:rFonts w:ascii="Calibri" w:eastAsia="Calibri" w:hAnsi="Calibri" w:cs="Helv"/>
          <w:b/>
          <w:color w:val="1F497D"/>
          <w:sz w:val="32"/>
          <w:szCs w:val="32"/>
        </w:rPr>
        <w:t xml:space="preserve"> </w:t>
      </w:r>
      <w:r>
        <w:rPr>
          <w:rFonts w:ascii="Calibri" w:eastAsia="Calibri" w:hAnsi="Calibri" w:cs="Helv"/>
          <w:b/>
          <w:color w:val="1F497D"/>
          <w:sz w:val="32"/>
          <w:szCs w:val="32"/>
        </w:rPr>
        <w:t>-</w:t>
      </w:r>
      <w:r w:rsidR="00495297">
        <w:rPr>
          <w:rFonts w:ascii="Calibri" w:eastAsia="Calibri" w:hAnsi="Calibri" w:cs="Helv"/>
          <w:b/>
          <w:color w:val="1F497D"/>
          <w:sz w:val="32"/>
          <w:szCs w:val="32"/>
        </w:rPr>
        <w:t xml:space="preserve"> </w:t>
      </w:r>
      <w:r>
        <w:rPr>
          <w:rFonts w:ascii="Calibri" w:eastAsia="Calibri" w:hAnsi="Calibri" w:cs="Helv"/>
          <w:b/>
          <w:color w:val="1F497D"/>
          <w:sz w:val="32"/>
          <w:szCs w:val="32"/>
        </w:rPr>
        <w:t>December 2017</w:t>
      </w:r>
    </w:p>
    <w:p w14:paraId="56432399" w14:textId="0C1D20C4" w:rsidR="008F6AC6" w:rsidRPr="00EF5826" w:rsidRDefault="00251F05" w:rsidP="00377E59">
      <w:pPr>
        <w:autoSpaceDE w:val="0"/>
        <w:autoSpaceDN w:val="0"/>
        <w:adjustRightInd w:val="0"/>
        <w:jc w:val="center"/>
        <w:rPr>
          <w:rFonts w:ascii="Calibri" w:eastAsia="Calibri" w:hAnsi="Calibri" w:cs="Helv"/>
          <w:b/>
          <w:i/>
          <w:color w:val="1F497D"/>
        </w:rPr>
      </w:pPr>
      <w:r w:rsidRPr="00251F05">
        <w:rPr>
          <w:rFonts w:ascii="Calibri" w:eastAsia="Calibri" w:hAnsi="Calibri" w:cs="Helv"/>
          <w:b/>
          <w:i/>
          <w:color w:val="1F497D"/>
        </w:rPr>
        <w:t xml:space="preserve">Date </w:t>
      </w:r>
      <w:r w:rsidR="00295892" w:rsidRPr="00D500C6">
        <w:rPr>
          <w:rFonts w:ascii="Calibri" w:eastAsia="Calibri" w:hAnsi="Calibri" w:cs="Helv"/>
          <w:b/>
          <w:i/>
          <w:noProof/>
          <w:color w:val="1F497D"/>
        </w:rPr>
        <w:t>circulated</w:t>
      </w:r>
      <w:r w:rsidR="004B5E64">
        <w:rPr>
          <w:rFonts w:ascii="Calibri" w:eastAsia="Calibri" w:hAnsi="Calibri" w:cs="Helv"/>
          <w:b/>
          <w:i/>
          <w:color w:val="1F497D"/>
        </w:rPr>
        <w:t>: [3 October 2016</w:t>
      </w:r>
      <w:r>
        <w:rPr>
          <w:rFonts w:ascii="Calibri" w:eastAsia="Calibri" w:hAnsi="Calibri" w:cs="Helv"/>
          <w:b/>
          <w:i/>
          <w:color w:val="1F497D"/>
        </w:rPr>
        <w:t>]</w:t>
      </w:r>
    </w:p>
    <w:p w14:paraId="68B99127" w14:textId="77777777" w:rsidR="00251F05" w:rsidRDefault="00251F05"/>
    <w:p w14:paraId="2125F457" w14:textId="369CDC35" w:rsidR="008E08EB" w:rsidRDefault="009C1678" w:rsidP="00324341">
      <w:pPr>
        <w:rPr>
          <w:rFonts w:asciiTheme="majorHAnsi" w:hAnsiTheme="majorHAnsi"/>
          <w:i/>
        </w:rPr>
      </w:pPr>
      <w:r w:rsidRPr="00D500C6">
        <w:rPr>
          <w:rFonts w:asciiTheme="majorHAnsi" w:hAnsiTheme="majorHAnsi"/>
          <w:i/>
          <w:noProof/>
        </w:rPr>
        <w:t>NB:</w:t>
      </w:r>
      <w:r w:rsidRPr="00251F05">
        <w:rPr>
          <w:rFonts w:asciiTheme="majorHAnsi" w:hAnsiTheme="majorHAnsi"/>
          <w:i/>
        </w:rPr>
        <w:t xml:space="preserve"> </w:t>
      </w:r>
      <w:r>
        <w:rPr>
          <w:rFonts w:asciiTheme="majorHAnsi" w:hAnsiTheme="majorHAnsi"/>
          <w:i/>
        </w:rPr>
        <w:t xml:space="preserve">The overarching theme of this Work Plan is providing inputs </w:t>
      </w:r>
      <w:r w:rsidR="00C84C8D">
        <w:rPr>
          <w:rFonts w:asciiTheme="majorHAnsi" w:hAnsiTheme="majorHAnsi"/>
          <w:i/>
        </w:rPr>
        <w:t xml:space="preserve">to </w:t>
      </w:r>
      <w:r w:rsidR="00C84C8D" w:rsidRPr="0057477A">
        <w:rPr>
          <w:rFonts w:asciiTheme="majorHAnsi" w:hAnsiTheme="majorHAnsi"/>
          <w:i/>
          <w:u w:val="single"/>
        </w:rPr>
        <w:t>W</w:t>
      </w:r>
      <w:r w:rsidR="0057477A" w:rsidRPr="0057477A">
        <w:rPr>
          <w:rFonts w:asciiTheme="majorHAnsi" w:hAnsiTheme="majorHAnsi"/>
          <w:i/>
          <w:u w:val="single"/>
        </w:rPr>
        <w:t xml:space="preserve">orld </w:t>
      </w:r>
      <w:r w:rsidR="00C84C8D" w:rsidRPr="0057477A">
        <w:rPr>
          <w:rFonts w:asciiTheme="majorHAnsi" w:hAnsiTheme="majorHAnsi"/>
          <w:i/>
          <w:u w:val="single"/>
        </w:rPr>
        <w:t>H</w:t>
      </w:r>
      <w:r w:rsidR="0057477A" w:rsidRPr="0057477A">
        <w:rPr>
          <w:rFonts w:asciiTheme="majorHAnsi" w:hAnsiTheme="majorHAnsi"/>
          <w:i/>
          <w:u w:val="single"/>
        </w:rPr>
        <w:t xml:space="preserve">umanitarian </w:t>
      </w:r>
      <w:r w:rsidR="00C84C8D" w:rsidRPr="0057477A">
        <w:rPr>
          <w:rFonts w:asciiTheme="majorHAnsi" w:hAnsiTheme="majorHAnsi"/>
          <w:i/>
          <w:u w:val="single"/>
        </w:rPr>
        <w:t>S</w:t>
      </w:r>
      <w:r w:rsidR="0057477A" w:rsidRPr="0057477A">
        <w:rPr>
          <w:rFonts w:asciiTheme="majorHAnsi" w:hAnsiTheme="majorHAnsi"/>
          <w:i/>
          <w:u w:val="single"/>
        </w:rPr>
        <w:t>ummit</w:t>
      </w:r>
      <w:r w:rsidR="0057477A">
        <w:rPr>
          <w:rFonts w:asciiTheme="majorHAnsi" w:hAnsiTheme="majorHAnsi"/>
          <w:i/>
        </w:rPr>
        <w:t xml:space="preserve"> (WHS)</w:t>
      </w:r>
      <w:r>
        <w:rPr>
          <w:rFonts w:asciiTheme="majorHAnsi" w:hAnsiTheme="majorHAnsi"/>
          <w:i/>
        </w:rPr>
        <w:t xml:space="preserve"> and </w:t>
      </w:r>
      <w:r w:rsidR="005D039B">
        <w:rPr>
          <w:rFonts w:asciiTheme="majorHAnsi" w:hAnsiTheme="majorHAnsi"/>
          <w:i/>
        </w:rPr>
        <w:t xml:space="preserve">supporting the </w:t>
      </w:r>
      <w:r w:rsidR="005D039B" w:rsidRPr="00D500C6">
        <w:rPr>
          <w:rFonts w:asciiTheme="majorHAnsi" w:hAnsiTheme="majorHAnsi"/>
          <w:i/>
          <w:noProof/>
        </w:rPr>
        <w:t>follow up</w:t>
      </w:r>
      <w:r w:rsidR="005D039B">
        <w:rPr>
          <w:rFonts w:asciiTheme="majorHAnsi" w:hAnsiTheme="majorHAnsi"/>
          <w:i/>
        </w:rPr>
        <w:t xml:space="preserve"> work on </w:t>
      </w:r>
      <w:r w:rsidR="0057477A">
        <w:rPr>
          <w:rFonts w:asciiTheme="majorHAnsi" w:hAnsiTheme="majorHAnsi"/>
          <w:i/>
        </w:rPr>
        <w:t>its outcomes</w:t>
      </w:r>
      <w:r>
        <w:rPr>
          <w:rFonts w:asciiTheme="majorHAnsi" w:hAnsiTheme="majorHAnsi"/>
          <w:i/>
        </w:rPr>
        <w:t xml:space="preserve">. </w:t>
      </w:r>
      <w:r w:rsidR="00C84C8D">
        <w:rPr>
          <w:rFonts w:asciiTheme="majorHAnsi" w:hAnsiTheme="majorHAnsi"/>
          <w:i/>
        </w:rPr>
        <w:t xml:space="preserve">It </w:t>
      </w:r>
      <w:r w:rsidR="00324341">
        <w:rPr>
          <w:rFonts w:asciiTheme="majorHAnsi" w:hAnsiTheme="majorHAnsi"/>
          <w:i/>
        </w:rPr>
        <w:t xml:space="preserve">also includes </w:t>
      </w:r>
      <w:r w:rsidR="0057477A">
        <w:rPr>
          <w:rFonts w:asciiTheme="majorHAnsi" w:hAnsiTheme="majorHAnsi"/>
          <w:i/>
        </w:rPr>
        <w:t xml:space="preserve">operationalisation of the </w:t>
      </w:r>
      <w:r w:rsidR="0057477A" w:rsidRPr="0057477A">
        <w:rPr>
          <w:rFonts w:asciiTheme="majorHAnsi" w:hAnsiTheme="majorHAnsi"/>
          <w:i/>
          <w:u w:val="single"/>
        </w:rPr>
        <w:t>Grand Bargain</w:t>
      </w:r>
      <w:r w:rsidR="00495297">
        <w:rPr>
          <w:rFonts w:asciiTheme="majorHAnsi" w:hAnsiTheme="majorHAnsi"/>
          <w:i/>
        </w:rPr>
        <w:t xml:space="preserve"> as a cross-cutting issue [GB]. </w:t>
      </w:r>
      <w:r w:rsidRPr="00251F05">
        <w:rPr>
          <w:rFonts w:asciiTheme="majorHAnsi" w:hAnsiTheme="majorHAnsi"/>
          <w:i/>
        </w:rPr>
        <w:t xml:space="preserve">This Work Plan </w:t>
      </w:r>
      <w:r w:rsidR="00324341">
        <w:rPr>
          <w:rFonts w:asciiTheme="majorHAnsi" w:hAnsiTheme="majorHAnsi"/>
          <w:i/>
        </w:rPr>
        <w:t xml:space="preserve">was reviewed in July and September 2016 following the outcomes of WHS. </w:t>
      </w:r>
    </w:p>
    <w:tbl>
      <w:tblPr>
        <w:tblStyle w:val="TableGrid"/>
        <w:tblW w:w="15417" w:type="dxa"/>
        <w:tblLook w:val="04A0" w:firstRow="1" w:lastRow="0" w:firstColumn="1" w:lastColumn="0" w:noHBand="0" w:noVBand="1"/>
      </w:tblPr>
      <w:tblGrid>
        <w:gridCol w:w="5070"/>
        <w:gridCol w:w="3827"/>
        <w:gridCol w:w="5103"/>
        <w:gridCol w:w="1417"/>
      </w:tblGrid>
      <w:tr w:rsidR="00497E19" w:rsidRPr="00FE2DF6" w14:paraId="4A251764" w14:textId="77777777" w:rsidTr="00C073D3">
        <w:tc>
          <w:tcPr>
            <w:tcW w:w="15417" w:type="dxa"/>
            <w:gridSpan w:val="4"/>
          </w:tcPr>
          <w:p w14:paraId="629A07AB" w14:textId="77777777" w:rsidR="00497E19" w:rsidRDefault="00497E19" w:rsidP="00C073D3">
            <w:pPr>
              <w:rPr>
                <w:rFonts w:asciiTheme="majorHAnsi" w:hAnsiTheme="majorHAnsi"/>
                <w:b/>
                <w:color w:val="1F497D" w:themeColor="text2"/>
                <w:sz w:val="28"/>
                <w:szCs w:val="28"/>
              </w:rPr>
            </w:pPr>
            <w:r>
              <w:rPr>
                <w:rFonts w:asciiTheme="majorHAnsi" w:hAnsiTheme="majorHAnsi"/>
                <w:b/>
                <w:color w:val="1F497D" w:themeColor="text2"/>
                <w:sz w:val="28"/>
                <w:szCs w:val="28"/>
              </w:rPr>
              <w:t>Output</w:t>
            </w:r>
            <w:r w:rsidRPr="00FE2DF6">
              <w:rPr>
                <w:rFonts w:asciiTheme="majorHAnsi" w:hAnsiTheme="majorHAnsi"/>
                <w:b/>
                <w:color w:val="1F497D" w:themeColor="text2"/>
                <w:sz w:val="28"/>
                <w:szCs w:val="28"/>
              </w:rPr>
              <w:t xml:space="preserve"> #</w:t>
            </w:r>
            <w:r>
              <w:rPr>
                <w:rFonts w:asciiTheme="majorHAnsi" w:hAnsiTheme="majorHAnsi"/>
                <w:b/>
                <w:color w:val="1F497D" w:themeColor="text2"/>
                <w:sz w:val="28"/>
                <w:szCs w:val="28"/>
              </w:rPr>
              <w:t>1</w:t>
            </w:r>
            <w:r w:rsidRPr="00FE2DF6">
              <w:rPr>
                <w:rFonts w:asciiTheme="majorHAnsi" w:hAnsiTheme="majorHAnsi"/>
                <w:b/>
                <w:color w:val="1F497D" w:themeColor="text2"/>
                <w:sz w:val="28"/>
                <w:szCs w:val="28"/>
              </w:rPr>
              <w:t>:</w:t>
            </w:r>
            <w:r>
              <w:rPr>
                <w:rFonts w:asciiTheme="majorHAnsi" w:hAnsiTheme="majorHAnsi"/>
                <w:b/>
                <w:color w:val="1F497D" w:themeColor="text2"/>
                <w:sz w:val="28"/>
                <w:szCs w:val="28"/>
              </w:rPr>
              <w:t xml:space="preserve"> </w:t>
            </w:r>
            <w:r w:rsidRPr="00B610CD">
              <w:rPr>
                <w:rFonts w:asciiTheme="majorHAnsi" w:hAnsiTheme="majorHAnsi"/>
                <w:b/>
                <w:color w:val="1F497D" w:themeColor="text2"/>
                <w:sz w:val="28"/>
                <w:szCs w:val="28"/>
              </w:rPr>
              <w:t xml:space="preserve">Adequate humanitarian financing, </w:t>
            </w:r>
            <w:r>
              <w:rPr>
                <w:rFonts w:asciiTheme="majorHAnsi" w:hAnsiTheme="majorHAnsi"/>
                <w:b/>
                <w:color w:val="1F497D" w:themeColor="text2"/>
                <w:sz w:val="28"/>
                <w:szCs w:val="28"/>
              </w:rPr>
              <w:t>which is context appropriate and</w:t>
            </w:r>
            <w:r w:rsidRPr="00B610CD">
              <w:rPr>
                <w:rFonts w:asciiTheme="majorHAnsi" w:hAnsiTheme="majorHAnsi"/>
                <w:b/>
                <w:color w:val="1F497D" w:themeColor="text2"/>
                <w:sz w:val="28"/>
                <w:szCs w:val="28"/>
              </w:rPr>
              <w:t xml:space="preserve"> accessible to operational organisations on the ground</w:t>
            </w:r>
          </w:p>
        </w:tc>
      </w:tr>
      <w:tr w:rsidR="00497E19" w:rsidRPr="00FE2DF6" w14:paraId="70007489" w14:textId="073E8CEF" w:rsidTr="00241A50">
        <w:trPr>
          <w:trHeight w:val="362"/>
        </w:trPr>
        <w:tc>
          <w:tcPr>
            <w:tcW w:w="5070" w:type="dxa"/>
            <w:vAlign w:val="center"/>
          </w:tcPr>
          <w:p w14:paraId="7E79BF0A" w14:textId="77777777" w:rsidR="00497E19" w:rsidRPr="00FE2DF6" w:rsidRDefault="00497E19" w:rsidP="00497E19">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Activities</w:t>
            </w:r>
          </w:p>
        </w:tc>
        <w:tc>
          <w:tcPr>
            <w:tcW w:w="3827" w:type="dxa"/>
            <w:vAlign w:val="center"/>
          </w:tcPr>
          <w:p w14:paraId="1FA2CFCE" w14:textId="6CD7DD1B" w:rsidR="00497E19" w:rsidRPr="00FE2DF6" w:rsidRDefault="00497E19" w:rsidP="00497E19">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Focal Points</w:t>
            </w:r>
          </w:p>
        </w:tc>
        <w:tc>
          <w:tcPr>
            <w:tcW w:w="5103" w:type="dxa"/>
            <w:vAlign w:val="center"/>
          </w:tcPr>
          <w:p w14:paraId="440ADE56" w14:textId="6EBB34A6" w:rsidR="00497E19" w:rsidRPr="00FE2DF6" w:rsidRDefault="00497E19" w:rsidP="00497E19">
            <w:pPr>
              <w:jc w:val="center"/>
              <w:rPr>
                <w:rFonts w:asciiTheme="majorHAnsi" w:hAnsiTheme="majorHAnsi"/>
                <w:b/>
                <w:color w:val="1F497D" w:themeColor="text2"/>
                <w:sz w:val="26"/>
                <w:szCs w:val="26"/>
              </w:rPr>
            </w:pPr>
            <w:r w:rsidRPr="00783305">
              <w:rPr>
                <w:rFonts w:ascii="Calibri" w:hAnsi="Calibri"/>
                <w:b/>
                <w:color w:val="1F497D"/>
                <w:sz w:val="26"/>
                <w:szCs w:val="26"/>
              </w:rPr>
              <w:t>Complementarity</w:t>
            </w:r>
            <w:r w:rsidR="00900DE0">
              <w:rPr>
                <w:rFonts w:ascii="Calibri" w:hAnsi="Calibri"/>
                <w:b/>
                <w:color w:val="1F497D"/>
                <w:sz w:val="26"/>
                <w:szCs w:val="26"/>
              </w:rPr>
              <w:t>/Notes</w:t>
            </w:r>
          </w:p>
        </w:tc>
        <w:tc>
          <w:tcPr>
            <w:tcW w:w="1417" w:type="dxa"/>
            <w:vAlign w:val="center"/>
          </w:tcPr>
          <w:p w14:paraId="05B16BEB" w14:textId="39C2EA85" w:rsidR="00497E19" w:rsidRPr="00FE2DF6" w:rsidRDefault="00497E19" w:rsidP="00497E19">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Timeframe</w:t>
            </w:r>
          </w:p>
        </w:tc>
      </w:tr>
      <w:tr w:rsidR="00497E19" w:rsidRPr="00E40464" w14:paraId="144D14B6" w14:textId="0285C79A" w:rsidTr="00241A50">
        <w:tc>
          <w:tcPr>
            <w:tcW w:w="5070" w:type="dxa"/>
          </w:tcPr>
          <w:p w14:paraId="5C83B02B" w14:textId="53077B93" w:rsidR="00497E19" w:rsidRPr="00E40464" w:rsidRDefault="003D6335" w:rsidP="009E7FC6">
            <w:pPr>
              <w:pStyle w:val="ListParagraph"/>
              <w:numPr>
                <w:ilvl w:val="0"/>
                <w:numId w:val="2"/>
              </w:numPr>
              <w:rPr>
                <w:rFonts w:asciiTheme="majorHAnsi" w:hAnsiTheme="majorHAnsi"/>
              </w:rPr>
            </w:pPr>
            <w:r>
              <w:rPr>
                <w:rFonts w:asciiTheme="majorHAnsi" w:hAnsiTheme="majorHAnsi"/>
              </w:rPr>
              <w:t xml:space="preserve">Commission a </w:t>
            </w:r>
            <w:r w:rsidR="00D500C6">
              <w:rPr>
                <w:rFonts w:asciiTheme="majorHAnsi" w:hAnsiTheme="majorHAnsi"/>
              </w:rPr>
              <w:t xml:space="preserve">field-focused </w:t>
            </w:r>
            <w:r>
              <w:rPr>
                <w:rFonts w:asciiTheme="majorHAnsi" w:hAnsiTheme="majorHAnsi"/>
              </w:rPr>
              <w:t>study and</w:t>
            </w:r>
            <w:r w:rsidR="00D500C6">
              <w:rPr>
                <w:rFonts w:asciiTheme="majorHAnsi" w:hAnsiTheme="majorHAnsi"/>
              </w:rPr>
              <w:t xml:space="preserve"> a follow-up multi-stakeholder</w:t>
            </w:r>
            <w:r>
              <w:rPr>
                <w:rFonts w:asciiTheme="majorHAnsi" w:hAnsiTheme="majorHAnsi"/>
              </w:rPr>
              <w:t xml:space="preserve"> event </w:t>
            </w:r>
            <w:r w:rsidR="00D500C6">
              <w:rPr>
                <w:rFonts w:asciiTheme="majorHAnsi" w:hAnsiTheme="majorHAnsi"/>
              </w:rPr>
              <w:t xml:space="preserve">(i.e. seminar type) </w:t>
            </w:r>
            <w:r>
              <w:rPr>
                <w:rFonts w:asciiTheme="majorHAnsi" w:hAnsiTheme="majorHAnsi"/>
              </w:rPr>
              <w:t xml:space="preserve">to review existing practices and mechanisms to improve local actors’ engagement </w:t>
            </w:r>
            <w:r w:rsidR="009E7FC6">
              <w:rPr>
                <w:rFonts w:asciiTheme="majorHAnsi" w:hAnsiTheme="majorHAnsi"/>
              </w:rPr>
              <w:t>in the programming and delivery of humanitarian assistance, particularly through</w:t>
            </w:r>
            <w:r>
              <w:rPr>
                <w:rFonts w:asciiTheme="majorHAnsi" w:hAnsiTheme="majorHAnsi"/>
              </w:rPr>
              <w:t xml:space="preserve"> </w:t>
            </w:r>
            <w:r w:rsidR="009E7FC6">
              <w:rPr>
                <w:rFonts w:asciiTheme="majorHAnsi" w:hAnsiTheme="majorHAnsi"/>
              </w:rPr>
              <w:t xml:space="preserve">their </w:t>
            </w:r>
            <w:r>
              <w:rPr>
                <w:rFonts w:asciiTheme="majorHAnsi" w:hAnsiTheme="majorHAnsi"/>
              </w:rPr>
              <w:t>access to pooled funding mechanism</w:t>
            </w:r>
            <w:r w:rsidR="00D500C6">
              <w:rPr>
                <w:rFonts w:asciiTheme="majorHAnsi" w:hAnsiTheme="majorHAnsi"/>
              </w:rPr>
              <w:t>s</w:t>
            </w:r>
            <w:r>
              <w:rPr>
                <w:rFonts w:asciiTheme="majorHAnsi" w:hAnsiTheme="majorHAnsi"/>
              </w:rPr>
              <w:t xml:space="preserve"> </w:t>
            </w:r>
            <w:r w:rsidRPr="004C2C7C">
              <w:rPr>
                <w:rFonts w:ascii="Calibri" w:hAnsi="Calibri"/>
                <w:b/>
              </w:rPr>
              <w:t>[GB]</w:t>
            </w:r>
          </w:p>
        </w:tc>
        <w:tc>
          <w:tcPr>
            <w:tcW w:w="3827" w:type="dxa"/>
          </w:tcPr>
          <w:p w14:paraId="613CF91A" w14:textId="692C62B8" w:rsidR="00497E19" w:rsidRDefault="00497E19">
            <w:pPr>
              <w:rPr>
                <w:rFonts w:asciiTheme="majorHAnsi" w:hAnsiTheme="majorHAnsi"/>
              </w:rPr>
            </w:pPr>
            <w:r w:rsidRPr="00631C81">
              <w:rPr>
                <w:rFonts w:asciiTheme="majorHAnsi" w:hAnsiTheme="majorHAnsi"/>
                <w:b/>
              </w:rPr>
              <w:t>Lead:</w:t>
            </w:r>
            <w:r w:rsidR="00084112">
              <w:rPr>
                <w:rFonts w:asciiTheme="majorHAnsi" w:hAnsiTheme="majorHAnsi"/>
              </w:rPr>
              <w:t xml:space="preserve"> OCHA-FCS, MERCY MALAYSIA</w:t>
            </w:r>
          </w:p>
          <w:p w14:paraId="430A39F6" w14:textId="12AFDCC8" w:rsidR="00497E19" w:rsidRPr="00E40464" w:rsidRDefault="00497E19" w:rsidP="00295892">
            <w:pPr>
              <w:rPr>
                <w:rFonts w:asciiTheme="majorHAnsi" w:hAnsiTheme="majorHAnsi"/>
              </w:rPr>
            </w:pPr>
            <w:r w:rsidRPr="00631C81">
              <w:rPr>
                <w:rFonts w:asciiTheme="majorHAnsi" w:hAnsiTheme="majorHAnsi"/>
                <w:b/>
              </w:rPr>
              <w:t>Support:</w:t>
            </w:r>
            <w:r>
              <w:rPr>
                <w:rFonts w:asciiTheme="majorHAnsi" w:hAnsiTheme="majorHAnsi"/>
              </w:rPr>
              <w:t xml:space="preserve"> CAFOD, ICVA, IFRC, OCHA-CERF, UNICEF</w:t>
            </w:r>
          </w:p>
        </w:tc>
        <w:tc>
          <w:tcPr>
            <w:tcW w:w="5103" w:type="dxa"/>
          </w:tcPr>
          <w:p w14:paraId="7A5E721F" w14:textId="6B17C5B1" w:rsidR="00497E19" w:rsidRPr="00241A50" w:rsidRDefault="004F57C3">
            <w:pPr>
              <w:rPr>
                <w:rFonts w:asciiTheme="majorHAnsi" w:hAnsiTheme="majorHAnsi"/>
                <w:sz w:val="20"/>
                <w:szCs w:val="20"/>
              </w:rPr>
            </w:pPr>
            <w:r w:rsidRPr="00241A50">
              <w:rPr>
                <w:rFonts w:asciiTheme="majorHAnsi" w:hAnsiTheme="majorHAnsi"/>
                <w:sz w:val="20"/>
                <w:szCs w:val="20"/>
              </w:rPr>
              <w:t>This activity will be undertaken in coordination with the work on the following activity of the WG: "Develop a compendium of best practices and an operational guidance on building the capacity of frontline national responders, taking into account implementation of the IASC/UNDG/UNISDR Common Framework for Preparedness”.</w:t>
            </w:r>
            <w:r w:rsidR="00D500C6">
              <w:rPr>
                <w:rFonts w:asciiTheme="majorHAnsi" w:hAnsiTheme="majorHAnsi"/>
                <w:sz w:val="20"/>
                <w:szCs w:val="20"/>
              </w:rPr>
              <w:t xml:space="preserve"> </w:t>
            </w:r>
          </w:p>
        </w:tc>
        <w:tc>
          <w:tcPr>
            <w:tcW w:w="1417" w:type="dxa"/>
          </w:tcPr>
          <w:p w14:paraId="61471F62" w14:textId="0796F704" w:rsidR="00497E19" w:rsidRDefault="00900DE0">
            <w:pPr>
              <w:rPr>
                <w:rFonts w:asciiTheme="majorHAnsi" w:hAnsiTheme="majorHAnsi"/>
              </w:rPr>
            </w:pPr>
            <w:r>
              <w:rPr>
                <w:rFonts w:asciiTheme="majorHAnsi" w:hAnsiTheme="majorHAnsi"/>
              </w:rPr>
              <w:t xml:space="preserve">2016 </w:t>
            </w:r>
            <w:r w:rsidR="00497E19">
              <w:rPr>
                <w:rFonts w:asciiTheme="majorHAnsi" w:hAnsiTheme="majorHAnsi"/>
              </w:rPr>
              <w:t>Q4</w:t>
            </w:r>
          </w:p>
        </w:tc>
      </w:tr>
      <w:tr w:rsidR="00497E19" w14:paraId="5A1E03E2" w14:textId="008BD48A" w:rsidTr="00241A50">
        <w:tc>
          <w:tcPr>
            <w:tcW w:w="5070" w:type="dxa"/>
          </w:tcPr>
          <w:p w14:paraId="6C2050EC" w14:textId="1E525DA8" w:rsidR="00497E19" w:rsidRPr="00852C41" w:rsidRDefault="00852C41" w:rsidP="00AF5756">
            <w:pPr>
              <w:pStyle w:val="ListParagraph"/>
              <w:numPr>
                <w:ilvl w:val="0"/>
                <w:numId w:val="2"/>
              </w:numPr>
              <w:rPr>
                <w:rFonts w:asciiTheme="majorHAnsi" w:hAnsiTheme="majorHAnsi"/>
              </w:rPr>
            </w:pPr>
            <w:r w:rsidRPr="00852C41">
              <w:rPr>
                <w:rFonts w:ascii="Calibri" w:hAnsi="Calibri" w:cs="Calibri"/>
                <w:lang w:val="en-US"/>
              </w:rPr>
              <w:t>Commission Phase 2 of field-focused study to review the Partner Capacity Assessment (PCA) process, followed by a multi-stakeholder discussion on the possibility of developing global standards to increase interoperability across different PCA systems and approaches.</w:t>
            </w:r>
          </w:p>
        </w:tc>
        <w:tc>
          <w:tcPr>
            <w:tcW w:w="3827" w:type="dxa"/>
          </w:tcPr>
          <w:p w14:paraId="68B2B794" w14:textId="775A6256" w:rsidR="00497E19" w:rsidRDefault="00497E19">
            <w:pPr>
              <w:rPr>
                <w:rFonts w:asciiTheme="majorHAnsi" w:hAnsiTheme="majorHAnsi"/>
              </w:rPr>
            </w:pPr>
            <w:r w:rsidRPr="00631C81">
              <w:rPr>
                <w:rFonts w:asciiTheme="majorHAnsi" w:hAnsiTheme="majorHAnsi"/>
                <w:b/>
              </w:rPr>
              <w:t>Lead:</w:t>
            </w:r>
            <w:r>
              <w:rPr>
                <w:rFonts w:asciiTheme="majorHAnsi" w:hAnsiTheme="majorHAnsi"/>
              </w:rPr>
              <w:t xml:space="preserve"> OCHA-FCS</w:t>
            </w:r>
          </w:p>
          <w:p w14:paraId="2ECD6087" w14:textId="6271534A" w:rsidR="00497E19" w:rsidRDefault="00497E19" w:rsidP="00084112">
            <w:pPr>
              <w:rPr>
                <w:rFonts w:asciiTheme="majorHAnsi" w:hAnsiTheme="majorHAnsi"/>
              </w:rPr>
            </w:pPr>
            <w:r w:rsidRPr="00631C81">
              <w:rPr>
                <w:rFonts w:asciiTheme="majorHAnsi" w:hAnsiTheme="majorHAnsi"/>
                <w:b/>
              </w:rPr>
              <w:t>Support:</w:t>
            </w:r>
            <w:r w:rsidR="00241A50">
              <w:rPr>
                <w:rFonts w:asciiTheme="majorHAnsi" w:hAnsiTheme="majorHAnsi"/>
              </w:rPr>
              <w:t xml:space="preserve"> Oxfam, Start Network,</w:t>
            </w:r>
            <w:r w:rsidR="007E35B7">
              <w:rPr>
                <w:rFonts w:asciiTheme="majorHAnsi" w:hAnsiTheme="majorHAnsi"/>
              </w:rPr>
              <w:t xml:space="preserve"> </w:t>
            </w:r>
            <w:r w:rsidR="00084112">
              <w:rPr>
                <w:rFonts w:asciiTheme="majorHAnsi" w:hAnsiTheme="majorHAnsi"/>
              </w:rPr>
              <w:t>ICVA</w:t>
            </w:r>
          </w:p>
        </w:tc>
        <w:tc>
          <w:tcPr>
            <w:tcW w:w="5103" w:type="dxa"/>
          </w:tcPr>
          <w:p w14:paraId="17FCD903" w14:textId="2DA42508" w:rsidR="00C073D3" w:rsidRPr="00241A50" w:rsidRDefault="00084112">
            <w:pPr>
              <w:rPr>
                <w:rFonts w:asciiTheme="majorHAnsi" w:hAnsiTheme="majorHAnsi"/>
                <w:sz w:val="20"/>
                <w:szCs w:val="20"/>
              </w:rPr>
            </w:pPr>
            <w:r w:rsidRPr="00241A50">
              <w:rPr>
                <w:rFonts w:asciiTheme="majorHAnsi" w:hAnsiTheme="majorHAnsi"/>
                <w:sz w:val="20"/>
                <w:szCs w:val="20"/>
              </w:rPr>
              <w:t>Linked to the CBPF – NGO Dialogue Platform and OCHA’s ongoing effort to harmonize PCAs for CBPFs</w:t>
            </w:r>
            <w:r w:rsidR="00C073D3">
              <w:rPr>
                <w:rFonts w:asciiTheme="majorHAnsi" w:hAnsiTheme="majorHAnsi"/>
                <w:sz w:val="20"/>
                <w:szCs w:val="20"/>
              </w:rPr>
              <w:t xml:space="preserve"> – as well as to </w:t>
            </w:r>
            <w:r w:rsidR="00852C41">
              <w:rPr>
                <w:rFonts w:asciiTheme="majorHAnsi" w:hAnsiTheme="majorHAnsi"/>
                <w:sz w:val="20"/>
                <w:szCs w:val="20"/>
              </w:rPr>
              <w:t xml:space="preserve">the </w:t>
            </w:r>
            <w:r w:rsidR="00C073D3">
              <w:rPr>
                <w:rFonts w:asciiTheme="majorHAnsi" w:hAnsiTheme="majorHAnsi"/>
                <w:sz w:val="20"/>
                <w:szCs w:val="20"/>
              </w:rPr>
              <w:t xml:space="preserve">donor conditions </w:t>
            </w:r>
            <w:proofErr w:type="spellStart"/>
            <w:r w:rsidR="00C073D3">
              <w:rPr>
                <w:rFonts w:asciiTheme="majorHAnsi" w:hAnsiTheme="majorHAnsi"/>
                <w:sz w:val="20"/>
                <w:szCs w:val="20"/>
              </w:rPr>
              <w:t>workstream</w:t>
            </w:r>
            <w:proofErr w:type="spellEnd"/>
            <w:r w:rsidR="00852C41">
              <w:rPr>
                <w:rFonts w:asciiTheme="majorHAnsi" w:hAnsiTheme="majorHAnsi"/>
                <w:sz w:val="20"/>
                <w:szCs w:val="20"/>
              </w:rPr>
              <w:t xml:space="preserve"> (Objective 2)</w:t>
            </w:r>
          </w:p>
        </w:tc>
        <w:tc>
          <w:tcPr>
            <w:tcW w:w="1417" w:type="dxa"/>
          </w:tcPr>
          <w:p w14:paraId="0F6565C3" w14:textId="5E00D497" w:rsidR="00497E19" w:rsidRPr="0057477A" w:rsidRDefault="00900DE0">
            <w:pPr>
              <w:rPr>
                <w:rFonts w:asciiTheme="majorHAnsi" w:hAnsiTheme="majorHAnsi"/>
                <w:highlight w:val="yellow"/>
              </w:rPr>
            </w:pPr>
            <w:r>
              <w:rPr>
                <w:rFonts w:asciiTheme="majorHAnsi" w:hAnsiTheme="majorHAnsi"/>
              </w:rPr>
              <w:t xml:space="preserve">2016 </w:t>
            </w:r>
            <w:r w:rsidR="00084112" w:rsidRPr="00084112">
              <w:rPr>
                <w:rFonts w:asciiTheme="majorHAnsi" w:hAnsiTheme="majorHAnsi"/>
              </w:rPr>
              <w:t>Q4</w:t>
            </w:r>
          </w:p>
        </w:tc>
      </w:tr>
      <w:tr w:rsidR="00497E19" w14:paraId="418BD76D" w14:textId="3FFDA316" w:rsidTr="00241A50">
        <w:tc>
          <w:tcPr>
            <w:tcW w:w="5070" w:type="dxa"/>
          </w:tcPr>
          <w:p w14:paraId="2B738300" w14:textId="58DFBC50" w:rsidR="00497E19" w:rsidRDefault="0029366A" w:rsidP="0029366A">
            <w:pPr>
              <w:pStyle w:val="ListParagraph"/>
              <w:numPr>
                <w:ilvl w:val="0"/>
                <w:numId w:val="2"/>
              </w:numPr>
              <w:rPr>
                <w:rFonts w:asciiTheme="majorHAnsi" w:hAnsiTheme="majorHAnsi"/>
              </w:rPr>
            </w:pPr>
            <w:r>
              <w:rPr>
                <w:rFonts w:asciiTheme="majorHAnsi" w:hAnsiTheme="majorHAnsi"/>
              </w:rPr>
              <w:t>Ensure f</w:t>
            </w:r>
            <w:r w:rsidR="00084112">
              <w:rPr>
                <w:rFonts w:asciiTheme="majorHAnsi" w:hAnsiTheme="majorHAnsi"/>
              </w:rPr>
              <w:t xml:space="preserve">ollow-up </w:t>
            </w:r>
            <w:r w:rsidR="009E7FC6">
              <w:rPr>
                <w:rFonts w:asciiTheme="majorHAnsi" w:hAnsiTheme="majorHAnsi"/>
              </w:rPr>
              <w:t xml:space="preserve">through periodic briefings and feedback during the HFTT regular meetings </w:t>
            </w:r>
            <w:r w:rsidR="00084112">
              <w:rPr>
                <w:rFonts w:asciiTheme="majorHAnsi" w:hAnsiTheme="majorHAnsi"/>
              </w:rPr>
              <w:t xml:space="preserve">on </w:t>
            </w:r>
            <w:r>
              <w:rPr>
                <w:rFonts w:asciiTheme="majorHAnsi" w:hAnsiTheme="majorHAnsi"/>
              </w:rPr>
              <w:t xml:space="preserve">OCHA’s </w:t>
            </w:r>
            <w:r w:rsidR="00084112">
              <w:rPr>
                <w:rFonts w:asciiTheme="majorHAnsi" w:hAnsiTheme="majorHAnsi"/>
              </w:rPr>
              <w:t xml:space="preserve">improvements to enhance the scale and nimbleness of the CBPF mechanism to boost frontline response </w:t>
            </w:r>
            <w:r w:rsidR="00084112" w:rsidRPr="004C2C7C">
              <w:rPr>
                <w:rFonts w:ascii="Calibri" w:hAnsi="Calibri"/>
                <w:b/>
              </w:rPr>
              <w:t>[GB]</w:t>
            </w:r>
          </w:p>
        </w:tc>
        <w:tc>
          <w:tcPr>
            <w:tcW w:w="3827" w:type="dxa"/>
          </w:tcPr>
          <w:p w14:paraId="35971451" w14:textId="57A565E3" w:rsidR="00497E19" w:rsidRDefault="00497E19">
            <w:pPr>
              <w:rPr>
                <w:rFonts w:asciiTheme="majorHAnsi" w:hAnsiTheme="majorHAnsi"/>
              </w:rPr>
            </w:pPr>
            <w:r w:rsidRPr="00631C81">
              <w:rPr>
                <w:rFonts w:asciiTheme="majorHAnsi" w:hAnsiTheme="majorHAnsi"/>
                <w:b/>
              </w:rPr>
              <w:t>Lead:</w:t>
            </w:r>
            <w:r>
              <w:rPr>
                <w:rFonts w:asciiTheme="majorHAnsi" w:hAnsiTheme="majorHAnsi"/>
              </w:rPr>
              <w:t xml:space="preserve"> OCHA-FCS</w:t>
            </w:r>
          </w:p>
          <w:p w14:paraId="09756142" w14:textId="0104A62F" w:rsidR="00497E19" w:rsidRDefault="00497E19">
            <w:pPr>
              <w:rPr>
                <w:rFonts w:asciiTheme="majorHAnsi" w:hAnsiTheme="majorHAnsi"/>
              </w:rPr>
            </w:pPr>
          </w:p>
        </w:tc>
        <w:tc>
          <w:tcPr>
            <w:tcW w:w="5103" w:type="dxa"/>
          </w:tcPr>
          <w:p w14:paraId="7720D4AD" w14:textId="4749720F" w:rsidR="00497E19" w:rsidRPr="00241A50" w:rsidRDefault="00084112">
            <w:pPr>
              <w:rPr>
                <w:rFonts w:asciiTheme="majorHAnsi" w:hAnsiTheme="majorHAnsi"/>
                <w:sz w:val="20"/>
                <w:szCs w:val="20"/>
              </w:rPr>
            </w:pPr>
            <w:r w:rsidRPr="00241A50">
              <w:rPr>
                <w:rFonts w:asciiTheme="majorHAnsi" w:hAnsiTheme="majorHAnsi"/>
                <w:sz w:val="20"/>
                <w:szCs w:val="20"/>
              </w:rPr>
              <w:t xml:space="preserve">OCHA is working on functional improvements to enhance the scale and nimbleness of the CBPF mechanism. Related forums where OCHA’s thinking and initiative are </w:t>
            </w:r>
            <w:r w:rsidRPr="00D500C6">
              <w:rPr>
                <w:rFonts w:asciiTheme="majorHAnsi" w:hAnsiTheme="majorHAnsi"/>
                <w:noProof/>
                <w:sz w:val="20"/>
                <w:szCs w:val="20"/>
              </w:rPr>
              <w:t>being discussed</w:t>
            </w:r>
            <w:r w:rsidRPr="00241A50">
              <w:rPr>
                <w:rFonts w:asciiTheme="majorHAnsi" w:hAnsiTheme="majorHAnsi"/>
                <w:sz w:val="20"/>
                <w:szCs w:val="20"/>
              </w:rPr>
              <w:t xml:space="preserve"> include the PFWG, CBPF-NGO Dialogue </w:t>
            </w:r>
            <w:r w:rsidRPr="00D500C6">
              <w:rPr>
                <w:rFonts w:asciiTheme="majorHAnsi" w:hAnsiTheme="majorHAnsi"/>
                <w:noProof/>
                <w:sz w:val="20"/>
                <w:szCs w:val="20"/>
              </w:rPr>
              <w:t>Platform</w:t>
            </w:r>
            <w:r w:rsidRPr="00241A50">
              <w:rPr>
                <w:rFonts w:asciiTheme="majorHAnsi" w:hAnsiTheme="majorHAnsi"/>
                <w:sz w:val="20"/>
                <w:szCs w:val="20"/>
              </w:rPr>
              <w:t xml:space="preserve"> and the HFTT. The intent of this activity is to keep the HFTT informed of progress and harness feedback and technical advice from members of the task team.</w:t>
            </w:r>
          </w:p>
        </w:tc>
        <w:tc>
          <w:tcPr>
            <w:tcW w:w="1417" w:type="dxa"/>
          </w:tcPr>
          <w:p w14:paraId="00665FA5" w14:textId="1ECFFE11" w:rsidR="00497E19" w:rsidRDefault="00497E19">
            <w:pPr>
              <w:rPr>
                <w:rFonts w:asciiTheme="majorHAnsi" w:hAnsiTheme="majorHAnsi"/>
              </w:rPr>
            </w:pPr>
            <w:r>
              <w:rPr>
                <w:rFonts w:asciiTheme="majorHAnsi" w:hAnsiTheme="majorHAnsi"/>
              </w:rPr>
              <w:t>Ongoing</w:t>
            </w:r>
          </w:p>
        </w:tc>
      </w:tr>
      <w:tr w:rsidR="0029366A" w14:paraId="1DE14516" w14:textId="77777777" w:rsidTr="00241A50">
        <w:tc>
          <w:tcPr>
            <w:tcW w:w="5070" w:type="dxa"/>
          </w:tcPr>
          <w:p w14:paraId="34E09E92" w14:textId="046E705D" w:rsidR="0029366A" w:rsidRDefault="0029366A" w:rsidP="0029366A">
            <w:pPr>
              <w:pStyle w:val="ListParagraph"/>
              <w:numPr>
                <w:ilvl w:val="0"/>
                <w:numId w:val="2"/>
              </w:numPr>
              <w:rPr>
                <w:rFonts w:asciiTheme="majorHAnsi" w:hAnsiTheme="majorHAnsi"/>
              </w:rPr>
            </w:pPr>
            <w:r>
              <w:rPr>
                <w:rFonts w:asciiTheme="majorHAnsi" w:hAnsiTheme="majorHAnsi"/>
              </w:rPr>
              <w:lastRenderedPageBreak/>
              <w:t>Develop a ‘</w:t>
            </w:r>
            <w:r>
              <w:rPr>
                <w:rFonts w:asciiTheme="majorHAnsi" w:hAnsiTheme="majorHAnsi"/>
                <w:noProof/>
              </w:rPr>
              <w:t>localisation</w:t>
            </w:r>
            <w:r>
              <w:rPr>
                <w:rFonts w:asciiTheme="majorHAnsi" w:hAnsiTheme="majorHAnsi"/>
              </w:rPr>
              <w:t xml:space="preserve"> </w:t>
            </w:r>
            <w:r>
              <w:rPr>
                <w:rFonts w:asciiTheme="majorHAnsi" w:hAnsiTheme="majorHAnsi"/>
                <w:noProof/>
              </w:rPr>
              <w:t>marker’</w:t>
            </w:r>
            <w:r w:rsidR="00A67679">
              <w:rPr>
                <w:rFonts w:asciiTheme="majorHAnsi" w:hAnsiTheme="majorHAnsi"/>
                <w:noProof/>
              </w:rPr>
              <w:t xml:space="preserve"> </w:t>
            </w:r>
            <w:r w:rsidR="00A67679" w:rsidRPr="004C2C7C">
              <w:rPr>
                <w:rFonts w:ascii="Calibri" w:hAnsi="Calibri"/>
                <w:b/>
              </w:rPr>
              <w:t>[GB]</w:t>
            </w:r>
          </w:p>
        </w:tc>
        <w:tc>
          <w:tcPr>
            <w:tcW w:w="3827" w:type="dxa"/>
          </w:tcPr>
          <w:p w14:paraId="1ADC7E16" w14:textId="17BE31E4" w:rsidR="00DF15DC" w:rsidRDefault="00DF15DC" w:rsidP="00DF15DC">
            <w:pPr>
              <w:rPr>
                <w:rFonts w:asciiTheme="majorHAnsi" w:hAnsiTheme="majorHAnsi"/>
              </w:rPr>
            </w:pPr>
            <w:r>
              <w:rPr>
                <w:rFonts w:asciiTheme="majorHAnsi" w:hAnsiTheme="majorHAnsi"/>
                <w:b/>
              </w:rPr>
              <w:t xml:space="preserve">Lead: </w:t>
            </w:r>
            <w:r>
              <w:rPr>
                <w:rFonts w:asciiTheme="majorHAnsi" w:hAnsiTheme="majorHAnsi"/>
              </w:rPr>
              <w:t>CAFOD, O</w:t>
            </w:r>
            <w:r w:rsidR="00560926">
              <w:rPr>
                <w:rFonts w:asciiTheme="majorHAnsi" w:hAnsiTheme="majorHAnsi"/>
              </w:rPr>
              <w:t>CHA-FCS, DI</w:t>
            </w:r>
          </w:p>
          <w:p w14:paraId="28300827" w14:textId="0E1BBAEF" w:rsidR="0029366A" w:rsidRPr="00560926" w:rsidRDefault="00DF15DC" w:rsidP="00DF15DC">
            <w:pPr>
              <w:rPr>
                <w:rFonts w:asciiTheme="majorHAnsi" w:hAnsiTheme="majorHAnsi"/>
                <w:b/>
                <w:lang w:val="fr-CH"/>
              </w:rPr>
            </w:pPr>
            <w:r w:rsidRPr="00560926">
              <w:rPr>
                <w:rFonts w:asciiTheme="majorHAnsi" w:hAnsiTheme="majorHAnsi"/>
                <w:b/>
                <w:lang w:val="fr-CH"/>
              </w:rPr>
              <w:t xml:space="preserve">Support: </w:t>
            </w:r>
            <w:r w:rsidRPr="00560926">
              <w:rPr>
                <w:rFonts w:asciiTheme="majorHAnsi" w:hAnsiTheme="majorHAnsi"/>
                <w:lang w:val="fr-CH"/>
              </w:rPr>
              <w:t>ICVA</w:t>
            </w:r>
            <w:r w:rsidR="00560926" w:rsidRPr="00560926">
              <w:rPr>
                <w:rFonts w:asciiTheme="majorHAnsi" w:hAnsiTheme="majorHAnsi"/>
                <w:lang w:val="fr-CH"/>
              </w:rPr>
              <w:t>, OCHA-CERF, Oxfam</w:t>
            </w:r>
          </w:p>
        </w:tc>
        <w:tc>
          <w:tcPr>
            <w:tcW w:w="5103" w:type="dxa"/>
          </w:tcPr>
          <w:p w14:paraId="55B59416" w14:textId="0FB34C3F" w:rsidR="0029366A" w:rsidRPr="00241A50" w:rsidRDefault="00DF15DC">
            <w:pPr>
              <w:rPr>
                <w:rFonts w:asciiTheme="majorHAnsi" w:hAnsiTheme="majorHAnsi"/>
                <w:sz w:val="20"/>
                <w:szCs w:val="20"/>
              </w:rPr>
            </w:pPr>
            <w:r>
              <w:rPr>
                <w:rFonts w:asciiTheme="majorHAnsi" w:hAnsiTheme="majorHAnsi"/>
                <w:sz w:val="20"/>
                <w:szCs w:val="20"/>
              </w:rPr>
              <w:t xml:space="preserve">This activity links to the Grand Bargain Commitment to ‘develop, with the IASC, and apply a </w:t>
            </w:r>
            <w:r>
              <w:rPr>
                <w:rFonts w:asciiTheme="majorHAnsi" w:hAnsiTheme="majorHAnsi"/>
                <w:noProof/>
                <w:sz w:val="20"/>
                <w:szCs w:val="20"/>
              </w:rPr>
              <w:t>localisation</w:t>
            </w:r>
            <w:r>
              <w:rPr>
                <w:rFonts w:asciiTheme="majorHAnsi" w:hAnsiTheme="majorHAnsi"/>
                <w:sz w:val="20"/>
                <w:szCs w:val="20"/>
              </w:rPr>
              <w:t xml:space="preserve"> marker to measure direct and indirect funding to local and national responders’. GB Sherpa leads for the </w:t>
            </w:r>
            <w:r>
              <w:rPr>
                <w:rFonts w:asciiTheme="majorHAnsi" w:hAnsiTheme="majorHAnsi"/>
                <w:i/>
                <w:sz w:val="20"/>
                <w:szCs w:val="20"/>
              </w:rPr>
              <w:t xml:space="preserve">more support and </w:t>
            </w:r>
            <w:r>
              <w:rPr>
                <w:rFonts w:asciiTheme="majorHAnsi" w:hAnsiTheme="majorHAnsi"/>
                <w:i/>
                <w:noProof/>
                <w:sz w:val="20"/>
                <w:szCs w:val="20"/>
              </w:rPr>
              <w:t>funding</w:t>
            </w:r>
            <w:r>
              <w:rPr>
                <w:rFonts w:asciiTheme="majorHAnsi" w:hAnsiTheme="majorHAnsi"/>
                <w:i/>
                <w:sz w:val="20"/>
                <w:szCs w:val="20"/>
              </w:rPr>
              <w:t xml:space="preserve"> tools for local and </w:t>
            </w:r>
            <w:r>
              <w:rPr>
                <w:rFonts w:asciiTheme="majorHAnsi" w:hAnsiTheme="majorHAnsi"/>
                <w:i/>
                <w:noProof/>
                <w:sz w:val="20"/>
                <w:szCs w:val="20"/>
              </w:rPr>
              <w:t>national</w:t>
            </w:r>
            <w:r>
              <w:rPr>
                <w:rFonts w:asciiTheme="majorHAnsi" w:hAnsiTheme="majorHAnsi"/>
                <w:i/>
                <w:sz w:val="20"/>
                <w:szCs w:val="20"/>
              </w:rPr>
              <w:t xml:space="preserve"> responders</w:t>
            </w:r>
            <w:r>
              <w:rPr>
                <w:rFonts w:asciiTheme="majorHAnsi" w:hAnsiTheme="majorHAnsi"/>
                <w:sz w:val="20"/>
                <w:szCs w:val="20"/>
              </w:rPr>
              <w:t xml:space="preserve">, IFRC and </w:t>
            </w:r>
            <w:r>
              <w:rPr>
                <w:rFonts w:asciiTheme="majorHAnsi" w:hAnsiTheme="majorHAnsi"/>
                <w:noProof/>
                <w:sz w:val="20"/>
                <w:szCs w:val="20"/>
              </w:rPr>
              <w:t>Swiss</w:t>
            </w:r>
            <w:r>
              <w:rPr>
                <w:rFonts w:asciiTheme="majorHAnsi" w:hAnsiTheme="majorHAnsi"/>
                <w:sz w:val="20"/>
                <w:szCs w:val="20"/>
              </w:rPr>
              <w:t xml:space="preserve"> government, will be invited to contribute to framing of the marker.</w:t>
            </w:r>
          </w:p>
        </w:tc>
        <w:tc>
          <w:tcPr>
            <w:tcW w:w="1417" w:type="dxa"/>
          </w:tcPr>
          <w:p w14:paraId="31FEFA9E" w14:textId="56EA1F2F" w:rsidR="0029366A" w:rsidRDefault="00900DE0">
            <w:pPr>
              <w:rPr>
                <w:rFonts w:asciiTheme="majorHAnsi" w:hAnsiTheme="majorHAnsi"/>
              </w:rPr>
            </w:pPr>
            <w:r>
              <w:rPr>
                <w:rFonts w:asciiTheme="majorHAnsi" w:hAnsiTheme="majorHAnsi"/>
              </w:rPr>
              <w:t>2017</w:t>
            </w:r>
          </w:p>
        </w:tc>
      </w:tr>
      <w:tr w:rsidR="00497E19" w14:paraId="42258565" w14:textId="7AE68BFC" w:rsidTr="00241A50">
        <w:tc>
          <w:tcPr>
            <w:tcW w:w="5070" w:type="dxa"/>
          </w:tcPr>
          <w:p w14:paraId="72B5F58D" w14:textId="574132F3" w:rsidR="00497E19" w:rsidRDefault="00900DE0" w:rsidP="00900DE0">
            <w:pPr>
              <w:pStyle w:val="ListParagraph"/>
              <w:numPr>
                <w:ilvl w:val="0"/>
                <w:numId w:val="2"/>
              </w:numPr>
              <w:rPr>
                <w:rFonts w:asciiTheme="majorHAnsi" w:hAnsiTheme="majorHAnsi"/>
              </w:rPr>
            </w:pPr>
            <w:r w:rsidRPr="00900DE0">
              <w:rPr>
                <w:rFonts w:asciiTheme="majorHAnsi" w:hAnsiTheme="majorHAnsi"/>
              </w:rPr>
              <w:t xml:space="preserve">Commission a study exploring the scope and implications of multi-year financing in the context of multi-year planning, including on work across the humanitarian - development nexus. </w:t>
            </w:r>
            <w:r w:rsidRPr="00900DE0">
              <w:rPr>
                <w:rFonts w:asciiTheme="majorHAnsi" w:hAnsiTheme="majorHAnsi"/>
                <w:b/>
                <w:bCs/>
              </w:rPr>
              <w:t>[GB]</w:t>
            </w:r>
          </w:p>
        </w:tc>
        <w:tc>
          <w:tcPr>
            <w:tcW w:w="3827" w:type="dxa"/>
          </w:tcPr>
          <w:p w14:paraId="15541D18" w14:textId="7FC65E42" w:rsidR="00497E19" w:rsidRDefault="00497E19" w:rsidP="00D21AC7">
            <w:pPr>
              <w:rPr>
                <w:rFonts w:asciiTheme="majorHAnsi" w:hAnsiTheme="majorHAnsi"/>
              </w:rPr>
            </w:pPr>
            <w:r w:rsidRPr="00A022FC">
              <w:rPr>
                <w:rFonts w:asciiTheme="majorHAnsi" w:hAnsiTheme="majorHAnsi"/>
                <w:b/>
              </w:rPr>
              <w:t>Lead:</w:t>
            </w:r>
            <w:r>
              <w:rPr>
                <w:rFonts w:asciiTheme="majorHAnsi" w:hAnsiTheme="majorHAnsi"/>
              </w:rPr>
              <w:t xml:space="preserve"> </w:t>
            </w:r>
            <w:r w:rsidR="00D32FE0">
              <w:rPr>
                <w:rFonts w:asciiTheme="majorHAnsi" w:hAnsiTheme="majorHAnsi"/>
              </w:rPr>
              <w:t>OCHA-</w:t>
            </w:r>
            <w:r w:rsidR="0074616F">
              <w:rPr>
                <w:rFonts w:asciiTheme="majorHAnsi" w:hAnsiTheme="majorHAnsi"/>
              </w:rPr>
              <w:t>RMSS</w:t>
            </w:r>
            <w:r w:rsidR="00D21AC7">
              <w:rPr>
                <w:rFonts w:asciiTheme="majorHAnsi" w:hAnsiTheme="majorHAnsi"/>
              </w:rPr>
              <w:t>/PAMS, FAO</w:t>
            </w:r>
            <w:r w:rsidR="00F50B2B">
              <w:rPr>
                <w:rFonts w:asciiTheme="majorHAnsi" w:hAnsiTheme="majorHAnsi"/>
              </w:rPr>
              <w:t>, NRC</w:t>
            </w:r>
          </w:p>
          <w:p w14:paraId="499A086D" w14:textId="107D0B52" w:rsidR="00497E19" w:rsidRDefault="00497E19" w:rsidP="008016B1">
            <w:pPr>
              <w:rPr>
                <w:rFonts w:asciiTheme="majorHAnsi" w:hAnsiTheme="majorHAnsi"/>
              </w:rPr>
            </w:pPr>
            <w:r w:rsidRPr="008216F8">
              <w:rPr>
                <w:rFonts w:asciiTheme="majorHAnsi" w:hAnsiTheme="majorHAnsi"/>
                <w:b/>
              </w:rPr>
              <w:t>Support</w:t>
            </w:r>
            <w:r w:rsidR="00F50B2B">
              <w:rPr>
                <w:rFonts w:asciiTheme="majorHAnsi" w:hAnsiTheme="majorHAnsi"/>
              </w:rPr>
              <w:t xml:space="preserve">: UNDP, WHO, </w:t>
            </w:r>
            <w:bookmarkStart w:id="0" w:name="_GoBack"/>
            <w:bookmarkEnd w:id="0"/>
            <w:r w:rsidR="00F50B2B">
              <w:rPr>
                <w:rFonts w:asciiTheme="majorHAnsi" w:hAnsiTheme="majorHAnsi"/>
              </w:rPr>
              <w:t>WFP</w:t>
            </w:r>
          </w:p>
        </w:tc>
        <w:tc>
          <w:tcPr>
            <w:tcW w:w="5103" w:type="dxa"/>
          </w:tcPr>
          <w:p w14:paraId="35420E26" w14:textId="2E932393" w:rsidR="00497E19" w:rsidRDefault="00497E19">
            <w:pPr>
              <w:rPr>
                <w:rFonts w:asciiTheme="majorHAnsi" w:hAnsiTheme="majorHAnsi"/>
              </w:rPr>
            </w:pPr>
          </w:p>
        </w:tc>
        <w:tc>
          <w:tcPr>
            <w:tcW w:w="1417" w:type="dxa"/>
          </w:tcPr>
          <w:p w14:paraId="79954704" w14:textId="25574EED" w:rsidR="00497E19" w:rsidRPr="0057477A" w:rsidRDefault="00900DE0">
            <w:pPr>
              <w:rPr>
                <w:rFonts w:asciiTheme="majorHAnsi" w:hAnsiTheme="majorHAnsi"/>
                <w:highlight w:val="yellow"/>
              </w:rPr>
            </w:pPr>
            <w:r w:rsidRPr="00900DE0">
              <w:rPr>
                <w:rFonts w:asciiTheme="majorHAnsi" w:hAnsiTheme="majorHAnsi"/>
              </w:rPr>
              <w:t>2017</w:t>
            </w:r>
          </w:p>
        </w:tc>
      </w:tr>
    </w:tbl>
    <w:p w14:paraId="2B975781" w14:textId="7597A863" w:rsidR="00377E59" w:rsidRDefault="00377E59">
      <w:pPr>
        <w:rPr>
          <w:rFonts w:asciiTheme="majorHAnsi" w:hAnsiTheme="majorHAnsi"/>
        </w:rPr>
      </w:pPr>
    </w:p>
    <w:p w14:paraId="58029193" w14:textId="3A175D78" w:rsidR="00AE3457" w:rsidRDefault="00377E59" w:rsidP="00377E59">
      <w:pPr>
        <w:rPr>
          <w:rFonts w:asciiTheme="majorHAnsi" w:hAnsiTheme="majorHAnsi"/>
        </w:rPr>
      </w:pPr>
      <w:r>
        <w:rPr>
          <w:rFonts w:asciiTheme="majorHAnsi" w:hAnsiTheme="majorHAnsi"/>
        </w:rPr>
        <w:br w:type="page"/>
      </w:r>
    </w:p>
    <w:tbl>
      <w:tblPr>
        <w:tblStyle w:val="TableGrid"/>
        <w:tblW w:w="15613" w:type="dxa"/>
        <w:tblLook w:val="04A0" w:firstRow="1" w:lastRow="0" w:firstColumn="1" w:lastColumn="0" w:noHBand="0" w:noVBand="1"/>
      </w:tblPr>
      <w:tblGrid>
        <w:gridCol w:w="5328"/>
        <w:gridCol w:w="3748"/>
        <w:gridCol w:w="4549"/>
        <w:gridCol w:w="1988"/>
      </w:tblGrid>
      <w:tr w:rsidR="003B44F5" w:rsidRPr="00FE2DF6" w14:paraId="06EB2824" w14:textId="77777777" w:rsidTr="00C073D3">
        <w:tc>
          <w:tcPr>
            <w:tcW w:w="15613" w:type="dxa"/>
            <w:gridSpan w:val="4"/>
          </w:tcPr>
          <w:p w14:paraId="134942CA" w14:textId="77777777" w:rsidR="003F10DA" w:rsidRDefault="003F10DA" w:rsidP="003F10DA">
            <w:pPr>
              <w:rPr>
                <w:rFonts w:asciiTheme="majorHAnsi" w:hAnsiTheme="majorHAnsi"/>
                <w:b/>
                <w:color w:val="1F497D" w:themeColor="text2"/>
                <w:sz w:val="28"/>
                <w:szCs w:val="28"/>
              </w:rPr>
            </w:pPr>
            <w:r>
              <w:rPr>
                <w:rFonts w:asciiTheme="majorHAnsi" w:hAnsiTheme="majorHAnsi"/>
                <w:b/>
                <w:color w:val="1F497D" w:themeColor="text2"/>
                <w:sz w:val="28"/>
                <w:szCs w:val="28"/>
              </w:rPr>
              <w:lastRenderedPageBreak/>
              <w:t>Output</w:t>
            </w:r>
            <w:r w:rsidRPr="00FE2DF6">
              <w:rPr>
                <w:rFonts w:asciiTheme="majorHAnsi" w:hAnsiTheme="majorHAnsi"/>
                <w:b/>
                <w:color w:val="1F497D" w:themeColor="text2"/>
                <w:sz w:val="28"/>
                <w:szCs w:val="28"/>
              </w:rPr>
              <w:t xml:space="preserve"> #</w:t>
            </w:r>
            <w:r>
              <w:rPr>
                <w:rFonts w:asciiTheme="majorHAnsi" w:hAnsiTheme="majorHAnsi"/>
                <w:b/>
                <w:color w:val="1F497D" w:themeColor="text2"/>
                <w:sz w:val="28"/>
                <w:szCs w:val="28"/>
              </w:rPr>
              <w:t>2</w:t>
            </w:r>
            <w:r w:rsidRPr="00FE2DF6">
              <w:rPr>
                <w:rFonts w:asciiTheme="majorHAnsi" w:hAnsiTheme="majorHAnsi"/>
                <w:b/>
                <w:color w:val="1F497D" w:themeColor="text2"/>
                <w:sz w:val="28"/>
                <w:szCs w:val="28"/>
              </w:rPr>
              <w:t>:</w:t>
            </w:r>
            <w:r>
              <w:rPr>
                <w:rFonts w:asciiTheme="majorHAnsi" w:hAnsiTheme="majorHAnsi"/>
                <w:b/>
                <w:color w:val="1F497D" w:themeColor="text2"/>
                <w:sz w:val="28"/>
                <w:szCs w:val="28"/>
              </w:rPr>
              <w:t xml:space="preserve"> </w:t>
            </w:r>
            <w:r w:rsidRPr="00B610CD">
              <w:rPr>
                <w:rFonts w:asciiTheme="majorHAnsi" w:hAnsiTheme="majorHAnsi"/>
                <w:b/>
                <w:color w:val="1F497D" w:themeColor="text2"/>
                <w:sz w:val="28"/>
                <w:szCs w:val="28"/>
              </w:rPr>
              <w:t>Re-negotiate</w:t>
            </w:r>
            <w:r>
              <w:rPr>
                <w:rFonts w:asciiTheme="majorHAnsi" w:hAnsiTheme="majorHAnsi"/>
                <w:b/>
                <w:color w:val="1F497D" w:themeColor="text2"/>
                <w:sz w:val="28"/>
                <w:szCs w:val="28"/>
              </w:rPr>
              <w:t xml:space="preserve"> restrictive</w:t>
            </w:r>
            <w:r w:rsidRPr="00B610CD">
              <w:rPr>
                <w:rFonts w:asciiTheme="majorHAnsi" w:hAnsiTheme="majorHAnsi"/>
                <w:b/>
                <w:color w:val="1F497D" w:themeColor="text2"/>
                <w:sz w:val="28"/>
                <w:szCs w:val="28"/>
              </w:rPr>
              <w:t xml:space="preserve"> dono</w:t>
            </w:r>
            <w:r>
              <w:rPr>
                <w:rFonts w:asciiTheme="majorHAnsi" w:hAnsiTheme="majorHAnsi"/>
                <w:b/>
                <w:color w:val="1F497D" w:themeColor="text2"/>
                <w:sz w:val="28"/>
                <w:szCs w:val="28"/>
              </w:rPr>
              <w:t>r requirements</w:t>
            </w:r>
          </w:p>
          <w:p w14:paraId="08322612" w14:textId="77777777" w:rsidR="003B44F5" w:rsidRPr="00FE2DF6" w:rsidRDefault="003B44F5" w:rsidP="00C073D3">
            <w:pPr>
              <w:rPr>
                <w:rFonts w:asciiTheme="majorHAnsi" w:hAnsiTheme="majorHAnsi"/>
                <w:b/>
                <w:color w:val="1F497D" w:themeColor="text2"/>
                <w:sz w:val="28"/>
                <w:szCs w:val="28"/>
              </w:rPr>
            </w:pPr>
          </w:p>
        </w:tc>
      </w:tr>
      <w:tr w:rsidR="00497E19" w:rsidRPr="00FE2DF6" w14:paraId="0D53F028" w14:textId="77777777" w:rsidTr="00377E59">
        <w:trPr>
          <w:trHeight w:val="593"/>
        </w:trPr>
        <w:tc>
          <w:tcPr>
            <w:tcW w:w="5328" w:type="dxa"/>
            <w:vAlign w:val="center"/>
          </w:tcPr>
          <w:p w14:paraId="430DE3FB" w14:textId="77777777" w:rsidR="00497E19" w:rsidRPr="00FE2DF6" w:rsidRDefault="00497E19" w:rsidP="003B44F5">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Activities</w:t>
            </w:r>
          </w:p>
        </w:tc>
        <w:tc>
          <w:tcPr>
            <w:tcW w:w="3748" w:type="dxa"/>
            <w:vAlign w:val="center"/>
          </w:tcPr>
          <w:p w14:paraId="06EFFCB6" w14:textId="66ECA623" w:rsidR="00497E19" w:rsidRPr="00FE2DF6" w:rsidRDefault="00497E19" w:rsidP="003B44F5">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Focal Points</w:t>
            </w:r>
          </w:p>
        </w:tc>
        <w:tc>
          <w:tcPr>
            <w:tcW w:w="4549" w:type="dxa"/>
            <w:vAlign w:val="center"/>
          </w:tcPr>
          <w:p w14:paraId="0E0D251E" w14:textId="51FAC774" w:rsidR="00497E19" w:rsidRPr="00FE2DF6" w:rsidRDefault="00497E19" w:rsidP="004F3AD5">
            <w:pPr>
              <w:jc w:val="center"/>
              <w:rPr>
                <w:rFonts w:asciiTheme="majorHAnsi" w:hAnsiTheme="majorHAnsi"/>
                <w:b/>
                <w:color w:val="1F497D" w:themeColor="text2"/>
                <w:sz w:val="26"/>
                <w:szCs w:val="26"/>
              </w:rPr>
            </w:pPr>
            <w:r w:rsidRPr="00783305">
              <w:rPr>
                <w:rFonts w:ascii="Calibri" w:hAnsi="Calibri"/>
                <w:b/>
                <w:color w:val="1F497D"/>
                <w:sz w:val="26"/>
                <w:szCs w:val="26"/>
              </w:rPr>
              <w:t>Complementarity</w:t>
            </w:r>
            <w:r w:rsidR="004F3AD5">
              <w:rPr>
                <w:rFonts w:ascii="Calibri" w:hAnsi="Calibri"/>
                <w:b/>
                <w:color w:val="1F497D"/>
                <w:sz w:val="26"/>
                <w:szCs w:val="26"/>
              </w:rPr>
              <w:t>/Notes</w:t>
            </w:r>
          </w:p>
        </w:tc>
        <w:tc>
          <w:tcPr>
            <w:tcW w:w="1988" w:type="dxa"/>
            <w:vAlign w:val="center"/>
          </w:tcPr>
          <w:p w14:paraId="3FBE9481" w14:textId="3B99959B" w:rsidR="00497E19" w:rsidRPr="00FE2DF6" w:rsidRDefault="00497E19" w:rsidP="003B44F5">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Timeframe</w:t>
            </w:r>
          </w:p>
        </w:tc>
      </w:tr>
      <w:tr w:rsidR="00497E19" w:rsidRPr="00E40464" w14:paraId="6F220D94" w14:textId="77777777" w:rsidTr="00377E59">
        <w:tc>
          <w:tcPr>
            <w:tcW w:w="5328" w:type="dxa"/>
          </w:tcPr>
          <w:p w14:paraId="6830F975" w14:textId="1F6417AF" w:rsidR="00497E19" w:rsidRDefault="00497E19" w:rsidP="002347B4">
            <w:pPr>
              <w:pStyle w:val="ListParagraph"/>
              <w:numPr>
                <w:ilvl w:val="0"/>
                <w:numId w:val="9"/>
              </w:numPr>
              <w:rPr>
                <w:rFonts w:asciiTheme="majorHAnsi" w:hAnsiTheme="majorHAnsi"/>
              </w:rPr>
            </w:pPr>
            <w:r>
              <w:rPr>
                <w:rFonts w:asciiTheme="majorHAnsi" w:hAnsiTheme="majorHAnsi"/>
              </w:rPr>
              <w:t xml:space="preserve">Finalise and roll-out HFTT Donor Condition report </w:t>
            </w:r>
            <w:r w:rsidRPr="004C2C7C">
              <w:rPr>
                <w:rFonts w:ascii="Calibri" w:hAnsi="Calibri"/>
                <w:b/>
              </w:rPr>
              <w:t>[GB]</w:t>
            </w:r>
          </w:p>
          <w:p w14:paraId="7C67B55C" w14:textId="42731D67" w:rsidR="00497E19" w:rsidRDefault="00497E19" w:rsidP="0080338D">
            <w:pPr>
              <w:pStyle w:val="ListParagraph"/>
              <w:numPr>
                <w:ilvl w:val="1"/>
                <w:numId w:val="9"/>
              </w:numPr>
              <w:rPr>
                <w:rFonts w:asciiTheme="majorHAnsi" w:hAnsiTheme="majorHAnsi"/>
              </w:rPr>
            </w:pPr>
            <w:r>
              <w:rPr>
                <w:rFonts w:asciiTheme="majorHAnsi" w:hAnsiTheme="majorHAnsi"/>
              </w:rPr>
              <w:t>Adopt the report as IASC HFTT paper with confirmation from co-sponsors</w:t>
            </w:r>
          </w:p>
          <w:p w14:paraId="77234F97" w14:textId="42908443" w:rsidR="00497E19" w:rsidRDefault="00497E19" w:rsidP="002347B4">
            <w:pPr>
              <w:pStyle w:val="ListParagraph"/>
              <w:numPr>
                <w:ilvl w:val="1"/>
                <w:numId w:val="9"/>
              </w:numPr>
              <w:rPr>
                <w:rFonts w:asciiTheme="majorHAnsi" w:hAnsiTheme="majorHAnsi"/>
              </w:rPr>
            </w:pPr>
            <w:r>
              <w:rPr>
                <w:rFonts w:asciiTheme="majorHAnsi" w:hAnsiTheme="majorHAnsi"/>
              </w:rPr>
              <w:t xml:space="preserve">Share final product with GHD </w:t>
            </w:r>
          </w:p>
          <w:p w14:paraId="5CFA7692" w14:textId="77777777" w:rsidR="00497E19" w:rsidRPr="00E40464" w:rsidRDefault="00497E19" w:rsidP="00F57E6C">
            <w:pPr>
              <w:pStyle w:val="ListParagraph"/>
              <w:ind w:left="1080"/>
              <w:rPr>
                <w:rFonts w:asciiTheme="majorHAnsi" w:hAnsiTheme="majorHAnsi"/>
              </w:rPr>
            </w:pPr>
          </w:p>
        </w:tc>
        <w:tc>
          <w:tcPr>
            <w:tcW w:w="3748" w:type="dxa"/>
          </w:tcPr>
          <w:p w14:paraId="0FA3AACA" w14:textId="2FC0315A" w:rsidR="00497E19" w:rsidRDefault="00497E19" w:rsidP="00321497">
            <w:pPr>
              <w:rPr>
                <w:rFonts w:asciiTheme="majorHAnsi" w:hAnsiTheme="majorHAnsi"/>
              </w:rPr>
            </w:pPr>
            <w:r w:rsidRPr="00631C81">
              <w:rPr>
                <w:rFonts w:asciiTheme="majorHAnsi" w:hAnsiTheme="majorHAnsi"/>
                <w:b/>
              </w:rPr>
              <w:t>Lead:</w:t>
            </w:r>
            <w:r>
              <w:rPr>
                <w:rFonts w:asciiTheme="majorHAnsi" w:hAnsiTheme="majorHAnsi"/>
              </w:rPr>
              <w:t xml:space="preserve"> UNFPA, WFP</w:t>
            </w:r>
          </w:p>
          <w:p w14:paraId="14DBC281" w14:textId="75F69B96" w:rsidR="00497E19" w:rsidRPr="0080338D" w:rsidRDefault="00497E19" w:rsidP="00321497">
            <w:pPr>
              <w:rPr>
                <w:rFonts w:asciiTheme="majorHAnsi" w:hAnsiTheme="majorHAnsi"/>
              </w:rPr>
            </w:pPr>
            <w:r w:rsidRPr="0080338D">
              <w:rPr>
                <w:rFonts w:asciiTheme="majorHAnsi" w:hAnsiTheme="majorHAnsi"/>
                <w:b/>
              </w:rPr>
              <w:t xml:space="preserve">Support: </w:t>
            </w:r>
            <w:r>
              <w:rPr>
                <w:rFonts w:asciiTheme="majorHAnsi" w:hAnsiTheme="majorHAnsi"/>
              </w:rPr>
              <w:t>Co-chairs, co-sponsors</w:t>
            </w:r>
          </w:p>
          <w:p w14:paraId="4164782A" w14:textId="07489943" w:rsidR="00497E19" w:rsidRPr="00E40464" w:rsidRDefault="00497E19" w:rsidP="00631C81">
            <w:pPr>
              <w:rPr>
                <w:rFonts w:asciiTheme="majorHAnsi" w:hAnsiTheme="majorHAnsi"/>
              </w:rPr>
            </w:pPr>
          </w:p>
        </w:tc>
        <w:tc>
          <w:tcPr>
            <w:tcW w:w="4549" w:type="dxa"/>
          </w:tcPr>
          <w:p w14:paraId="54EDD11B" w14:textId="0972B490" w:rsidR="00497E19" w:rsidRDefault="00DC542B" w:rsidP="00321497">
            <w:pPr>
              <w:rPr>
                <w:rFonts w:asciiTheme="majorHAnsi" w:hAnsiTheme="majorHAnsi"/>
              </w:rPr>
            </w:pPr>
            <w:r w:rsidRPr="00377E59">
              <w:rPr>
                <w:rFonts w:asciiTheme="majorHAnsi" w:hAnsiTheme="majorHAnsi"/>
              </w:rPr>
              <w:t>“</w:t>
            </w:r>
            <w:hyperlink r:id="rId7" w:history="1">
              <w:r w:rsidR="00A10D35" w:rsidRPr="00377E59">
                <w:rPr>
                  <w:rStyle w:val="Hyperlink"/>
                  <w:rFonts w:asciiTheme="majorHAnsi" w:hAnsiTheme="majorHAnsi"/>
                  <w:color w:val="auto"/>
                </w:rPr>
                <w:t>Donor Conditions and Their Implications for Humanitarian Response</w:t>
              </w:r>
            </w:hyperlink>
            <w:r w:rsidRPr="00377E59">
              <w:rPr>
                <w:rFonts w:asciiTheme="majorHAnsi" w:hAnsiTheme="majorHAnsi"/>
              </w:rPr>
              <w:t>”</w:t>
            </w:r>
            <w:r w:rsidR="00A10D35" w:rsidRPr="00377E59">
              <w:rPr>
                <w:rFonts w:asciiTheme="majorHAnsi" w:hAnsiTheme="majorHAnsi"/>
              </w:rPr>
              <w:t xml:space="preserve"> </w:t>
            </w:r>
            <w:r w:rsidR="00A10D35">
              <w:rPr>
                <w:rFonts w:asciiTheme="majorHAnsi" w:hAnsiTheme="majorHAnsi"/>
              </w:rPr>
              <w:t>presented at the March 2016 Working Group meeting with GHD donors, published in April 2016</w:t>
            </w:r>
          </w:p>
        </w:tc>
        <w:tc>
          <w:tcPr>
            <w:tcW w:w="1988" w:type="dxa"/>
          </w:tcPr>
          <w:p w14:paraId="4662AAAA" w14:textId="60E87CD2" w:rsidR="00497E19" w:rsidRDefault="00A10D35" w:rsidP="00321497">
            <w:pPr>
              <w:rPr>
                <w:rFonts w:asciiTheme="majorHAnsi" w:hAnsiTheme="majorHAnsi"/>
              </w:rPr>
            </w:pPr>
            <w:r>
              <w:rPr>
                <w:rFonts w:asciiTheme="majorHAnsi" w:hAnsiTheme="majorHAnsi"/>
              </w:rPr>
              <w:t>C</w:t>
            </w:r>
            <w:r w:rsidR="00C073D3">
              <w:rPr>
                <w:rFonts w:asciiTheme="majorHAnsi" w:hAnsiTheme="majorHAnsi"/>
              </w:rPr>
              <w:t>omplete</w:t>
            </w:r>
            <w:r w:rsidR="00900DE0">
              <w:rPr>
                <w:rFonts w:asciiTheme="majorHAnsi" w:hAnsiTheme="majorHAnsi"/>
              </w:rPr>
              <w:t>d</w:t>
            </w:r>
          </w:p>
          <w:p w14:paraId="523A1991" w14:textId="77777777" w:rsidR="00497E19" w:rsidRDefault="00497E19" w:rsidP="00321497">
            <w:pPr>
              <w:rPr>
                <w:rFonts w:asciiTheme="majorHAnsi" w:hAnsiTheme="majorHAnsi"/>
              </w:rPr>
            </w:pPr>
          </w:p>
          <w:p w14:paraId="3B3804EF" w14:textId="69469CB5" w:rsidR="00497E19" w:rsidRPr="00E40464" w:rsidRDefault="00497E19" w:rsidP="00321497">
            <w:pPr>
              <w:rPr>
                <w:rFonts w:asciiTheme="majorHAnsi" w:hAnsiTheme="majorHAnsi"/>
              </w:rPr>
            </w:pPr>
          </w:p>
        </w:tc>
      </w:tr>
      <w:tr w:rsidR="00497E19" w14:paraId="4885ED5B" w14:textId="77777777" w:rsidTr="00377E59">
        <w:tc>
          <w:tcPr>
            <w:tcW w:w="5328" w:type="dxa"/>
          </w:tcPr>
          <w:p w14:paraId="1F7E24E3" w14:textId="77777777" w:rsidR="00497E19" w:rsidRPr="0057477A" w:rsidRDefault="00497E19" w:rsidP="002347B4">
            <w:pPr>
              <w:pStyle w:val="ListParagraph"/>
              <w:numPr>
                <w:ilvl w:val="0"/>
                <w:numId w:val="9"/>
              </w:numPr>
              <w:rPr>
                <w:rFonts w:asciiTheme="majorHAnsi" w:hAnsiTheme="majorHAnsi"/>
              </w:rPr>
            </w:pPr>
            <w:r>
              <w:rPr>
                <w:rFonts w:asciiTheme="majorHAnsi" w:hAnsiTheme="majorHAnsi"/>
              </w:rPr>
              <w:t xml:space="preserve">Finalise and roll-out NGO Field-Level Analysis of Donor Conditions’ impact </w:t>
            </w:r>
            <w:r w:rsidRPr="004C2C7C">
              <w:rPr>
                <w:rFonts w:ascii="Calibri" w:hAnsi="Calibri"/>
                <w:b/>
              </w:rPr>
              <w:t>[GB]</w:t>
            </w:r>
          </w:p>
          <w:p w14:paraId="086FCEEB" w14:textId="5DED5469" w:rsidR="00497E19" w:rsidRPr="00C27594" w:rsidRDefault="00497E19" w:rsidP="0057477A">
            <w:pPr>
              <w:pStyle w:val="ListParagraph"/>
              <w:ind w:left="360"/>
              <w:rPr>
                <w:rFonts w:asciiTheme="majorHAnsi" w:hAnsiTheme="majorHAnsi"/>
              </w:rPr>
            </w:pPr>
          </w:p>
        </w:tc>
        <w:tc>
          <w:tcPr>
            <w:tcW w:w="3748" w:type="dxa"/>
          </w:tcPr>
          <w:p w14:paraId="29C19571" w14:textId="77777777" w:rsidR="00497E19" w:rsidRDefault="00497E19" w:rsidP="00321497">
            <w:pPr>
              <w:rPr>
                <w:rFonts w:asciiTheme="majorHAnsi" w:hAnsiTheme="majorHAnsi"/>
              </w:rPr>
            </w:pPr>
            <w:r w:rsidRPr="0080338D">
              <w:rPr>
                <w:rFonts w:asciiTheme="majorHAnsi" w:hAnsiTheme="majorHAnsi"/>
                <w:b/>
              </w:rPr>
              <w:t>Lead:</w:t>
            </w:r>
            <w:r>
              <w:rPr>
                <w:rFonts w:asciiTheme="majorHAnsi" w:hAnsiTheme="majorHAnsi"/>
              </w:rPr>
              <w:t xml:space="preserve"> ICVA</w:t>
            </w:r>
          </w:p>
          <w:p w14:paraId="4461D347" w14:textId="29CD7A22" w:rsidR="00497E19" w:rsidRDefault="00497E19" w:rsidP="003F0EFD">
            <w:pPr>
              <w:rPr>
                <w:rFonts w:asciiTheme="majorHAnsi" w:hAnsiTheme="majorHAnsi"/>
              </w:rPr>
            </w:pPr>
            <w:r w:rsidRPr="0080338D">
              <w:rPr>
                <w:rFonts w:asciiTheme="majorHAnsi" w:hAnsiTheme="majorHAnsi"/>
                <w:b/>
              </w:rPr>
              <w:t>Support:</w:t>
            </w:r>
            <w:r>
              <w:rPr>
                <w:rFonts w:asciiTheme="majorHAnsi" w:hAnsiTheme="majorHAnsi"/>
              </w:rPr>
              <w:t xml:space="preserve"> NRC </w:t>
            </w:r>
          </w:p>
        </w:tc>
        <w:tc>
          <w:tcPr>
            <w:tcW w:w="4549" w:type="dxa"/>
          </w:tcPr>
          <w:p w14:paraId="2D8E13AC" w14:textId="54F6BEC5" w:rsidR="00497E19" w:rsidRDefault="00DC542B" w:rsidP="00A10D35">
            <w:pPr>
              <w:rPr>
                <w:rFonts w:asciiTheme="majorHAnsi" w:hAnsiTheme="majorHAnsi"/>
              </w:rPr>
            </w:pPr>
            <w:r w:rsidRPr="00377E59">
              <w:rPr>
                <w:rFonts w:asciiTheme="majorHAnsi" w:hAnsiTheme="majorHAnsi"/>
              </w:rPr>
              <w:t>“</w:t>
            </w:r>
            <w:hyperlink r:id="rId8" w:history="1">
              <w:r w:rsidR="00A10D35" w:rsidRPr="00377E59">
                <w:rPr>
                  <w:rStyle w:val="Hyperlink"/>
                  <w:rFonts w:asciiTheme="majorHAnsi" w:hAnsiTheme="majorHAnsi"/>
                  <w:color w:val="auto"/>
                </w:rPr>
                <w:t>Less Paper More Aid</w:t>
              </w:r>
            </w:hyperlink>
            <w:r w:rsidRPr="00377E59">
              <w:rPr>
                <w:rFonts w:asciiTheme="majorHAnsi" w:hAnsiTheme="majorHAnsi"/>
              </w:rPr>
              <w:t>”</w:t>
            </w:r>
            <w:r w:rsidR="00A10D35" w:rsidRPr="00377E59">
              <w:rPr>
                <w:rFonts w:asciiTheme="majorHAnsi" w:hAnsiTheme="majorHAnsi"/>
              </w:rPr>
              <w:t xml:space="preserve"> </w:t>
            </w:r>
            <w:r w:rsidR="008E3361">
              <w:rPr>
                <w:rFonts w:asciiTheme="majorHAnsi" w:hAnsiTheme="majorHAnsi"/>
              </w:rPr>
              <w:t xml:space="preserve">published in May 2016, </w:t>
            </w:r>
            <w:r w:rsidR="00A10D35">
              <w:rPr>
                <w:rFonts w:asciiTheme="majorHAnsi" w:hAnsiTheme="majorHAnsi"/>
              </w:rPr>
              <w:t>findings presented to UN agencies and Member States at the 17 May 2016 “NGOs Forward” Member briefing</w:t>
            </w:r>
          </w:p>
          <w:p w14:paraId="26CAF3C2" w14:textId="75A0A910" w:rsidR="008E3361" w:rsidRDefault="008E3361" w:rsidP="00A10D35">
            <w:pPr>
              <w:rPr>
                <w:rFonts w:asciiTheme="majorHAnsi" w:hAnsiTheme="majorHAnsi"/>
              </w:rPr>
            </w:pPr>
          </w:p>
        </w:tc>
        <w:tc>
          <w:tcPr>
            <w:tcW w:w="1988" w:type="dxa"/>
          </w:tcPr>
          <w:p w14:paraId="02F2E313" w14:textId="52096791" w:rsidR="00C073D3" w:rsidRDefault="00C073D3" w:rsidP="00321497">
            <w:pPr>
              <w:rPr>
                <w:rFonts w:asciiTheme="majorHAnsi" w:hAnsiTheme="majorHAnsi"/>
              </w:rPr>
            </w:pPr>
            <w:r>
              <w:rPr>
                <w:rFonts w:asciiTheme="majorHAnsi" w:hAnsiTheme="majorHAnsi"/>
              </w:rPr>
              <w:t>Complete</w:t>
            </w:r>
            <w:r w:rsidR="00900DE0">
              <w:rPr>
                <w:rFonts w:asciiTheme="majorHAnsi" w:hAnsiTheme="majorHAnsi"/>
              </w:rPr>
              <w:t>d</w:t>
            </w:r>
          </w:p>
          <w:p w14:paraId="77F336B0" w14:textId="19015E71" w:rsidR="00497E19" w:rsidRDefault="00497E19" w:rsidP="00A10D35">
            <w:pPr>
              <w:rPr>
                <w:rFonts w:asciiTheme="majorHAnsi" w:hAnsiTheme="majorHAnsi"/>
              </w:rPr>
            </w:pPr>
          </w:p>
        </w:tc>
      </w:tr>
      <w:tr w:rsidR="00497E19" w14:paraId="74607688" w14:textId="77777777" w:rsidTr="00377E59">
        <w:tc>
          <w:tcPr>
            <w:tcW w:w="5328" w:type="dxa"/>
          </w:tcPr>
          <w:p w14:paraId="4559ED82" w14:textId="2C6C53C7" w:rsidR="00497E19" w:rsidRPr="0057477A" w:rsidRDefault="00497E19" w:rsidP="002347B4">
            <w:pPr>
              <w:pStyle w:val="ListParagraph"/>
              <w:numPr>
                <w:ilvl w:val="0"/>
                <w:numId w:val="9"/>
              </w:numPr>
              <w:rPr>
                <w:rFonts w:asciiTheme="majorHAnsi" w:hAnsiTheme="majorHAnsi"/>
              </w:rPr>
            </w:pPr>
            <w:r w:rsidRPr="00CD1DCA">
              <w:rPr>
                <w:rFonts w:asciiTheme="majorHAnsi" w:hAnsiTheme="majorHAnsi"/>
              </w:rPr>
              <w:t xml:space="preserve">Develop </w:t>
            </w:r>
            <w:r w:rsidR="00A10D35">
              <w:rPr>
                <w:rFonts w:asciiTheme="majorHAnsi" w:hAnsiTheme="majorHAnsi"/>
              </w:rPr>
              <w:t>light</w:t>
            </w:r>
            <w:r w:rsidRPr="00CD1DCA">
              <w:rPr>
                <w:rFonts w:asciiTheme="majorHAnsi" w:hAnsiTheme="majorHAnsi"/>
              </w:rPr>
              <w:t xml:space="preserve"> advocacy </w:t>
            </w:r>
            <w:r w:rsidR="008E3361">
              <w:rPr>
                <w:rFonts w:asciiTheme="majorHAnsi" w:hAnsiTheme="majorHAnsi"/>
              </w:rPr>
              <w:t>product that: 1) maps out who is doing what related to donor conditions; 2) suggests</w:t>
            </w:r>
            <w:r w:rsidR="00A10D35">
              <w:rPr>
                <w:rFonts w:asciiTheme="majorHAnsi" w:hAnsiTheme="majorHAnsi"/>
              </w:rPr>
              <w:t xml:space="preserve"> key </w:t>
            </w:r>
            <w:r w:rsidR="008E3361">
              <w:rPr>
                <w:rFonts w:asciiTheme="majorHAnsi" w:hAnsiTheme="majorHAnsi"/>
              </w:rPr>
              <w:t xml:space="preserve">emerging </w:t>
            </w:r>
            <w:r w:rsidR="00A10D35">
              <w:rPr>
                <w:rFonts w:asciiTheme="majorHAnsi" w:hAnsiTheme="majorHAnsi"/>
              </w:rPr>
              <w:t>messages</w:t>
            </w:r>
            <w:r w:rsidR="00E16154">
              <w:rPr>
                <w:rFonts w:asciiTheme="majorHAnsi" w:hAnsiTheme="majorHAnsi"/>
              </w:rPr>
              <w:t xml:space="preserve"> &amp; targets</w:t>
            </w:r>
            <w:r w:rsidR="00A10D35">
              <w:rPr>
                <w:rFonts w:asciiTheme="majorHAnsi" w:hAnsiTheme="majorHAnsi"/>
              </w:rPr>
              <w:t xml:space="preserve"> </w:t>
            </w:r>
            <w:r w:rsidRPr="004C2C7C">
              <w:rPr>
                <w:rFonts w:ascii="Calibri" w:hAnsi="Calibri"/>
                <w:b/>
              </w:rPr>
              <w:t>[GB]</w:t>
            </w:r>
          </w:p>
          <w:p w14:paraId="52670ACE" w14:textId="5968F80A" w:rsidR="00497E19" w:rsidRPr="00CD1DCA" w:rsidRDefault="00497E19" w:rsidP="0057477A">
            <w:pPr>
              <w:pStyle w:val="ListParagraph"/>
              <w:ind w:left="360"/>
              <w:rPr>
                <w:rFonts w:asciiTheme="majorHAnsi" w:hAnsiTheme="majorHAnsi"/>
              </w:rPr>
            </w:pPr>
          </w:p>
        </w:tc>
        <w:tc>
          <w:tcPr>
            <w:tcW w:w="3748" w:type="dxa"/>
          </w:tcPr>
          <w:p w14:paraId="75191BF9" w14:textId="52D6B349" w:rsidR="00497E19" w:rsidRDefault="00497E19" w:rsidP="00A65196">
            <w:pPr>
              <w:rPr>
                <w:rFonts w:asciiTheme="majorHAnsi" w:hAnsiTheme="majorHAnsi"/>
              </w:rPr>
            </w:pPr>
            <w:r w:rsidRPr="0080338D">
              <w:rPr>
                <w:rFonts w:asciiTheme="majorHAnsi" w:hAnsiTheme="majorHAnsi"/>
                <w:b/>
              </w:rPr>
              <w:t>Lead:</w:t>
            </w:r>
            <w:r>
              <w:rPr>
                <w:rFonts w:asciiTheme="majorHAnsi" w:hAnsiTheme="majorHAnsi"/>
              </w:rPr>
              <w:t xml:space="preserve"> </w:t>
            </w:r>
            <w:r w:rsidR="00A10D35">
              <w:rPr>
                <w:rFonts w:asciiTheme="majorHAnsi" w:hAnsiTheme="majorHAnsi"/>
              </w:rPr>
              <w:t>NRC + WFP</w:t>
            </w:r>
          </w:p>
          <w:p w14:paraId="56165CD9" w14:textId="11A8E7FD" w:rsidR="00497E19" w:rsidDel="00EE229D" w:rsidRDefault="00497E19" w:rsidP="00A10D35">
            <w:pPr>
              <w:rPr>
                <w:rFonts w:asciiTheme="majorHAnsi" w:hAnsiTheme="majorHAnsi"/>
              </w:rPr>
            </w:pPr>
            <w:r w:rsidRPr="0080338D">
              <w:rPr>
                <w:rFonts w:asciiTheme="majorHAnsi" w:hAnsiTheme="majorHAnsi"/>
                <w:b/>
              </w:rPr>
              <w:t>Support:</w:t>
            </w:r>
            <w:r>
              <w:rPr>
                <w:rFonts w:asciiTheme="majorHAnsi" w:hAnsiTheme="majorHAnsi"/>
              </w:rPr>
              <w:t xml:space="preserve"> UNFPA, ICVA, CAFOD, WHO</w:t>
            </w:r>
          </w:p>
        </w:tc>
        <w:tc>
          <w:tcPr>
            <w:tcW w:w="4549" w:type="dxa"/>
          </w:tcPr>
          <w:p w14:paraId="47B177E7" w14:textId="183EEEE8" w:rsidR="00497E19" w:rsidRDefault="00DC542B" w:rsidP="008E3361">
            <w:pPr>
              <w:rPr>
                <w:rFonts w:asciiTheme="majorHAnsi" w:hAnsiTheme="majorHAnsi"/>
              </w:rPr>
            </w:pPr>
            <w:r>
              <w:rPr>
                <w:rFonts w:asciiTheme="majorHAnsi" w:hAnsiTheme="majorHAnsi"/>
              </w:rPr>
              <w:t xml:space="preserve">Building on NRC </w:t>
            </w:r>
            <w:r w:rsidR="008E3361">
              <w:rPr>
                <w:rFonts w:asciiTheme="majorHAnsi" w:hAnsiTheme="majorHAnsi"/>
              </w:rPr>
              <w:t xml:space="preserve">planned </w:t>
            </w:r>
            <w:r>
              <w:rPr>
                <w:rFonts w:asciiTheme="majorHAnsi" w:hAnsiTheme="majorHAnsi"/>
              </w:rPr>
              <w:t xml:space="preserve">tour of capitals presenting the findings of </w:t>
            </w:r>
            <w:r w:rsidR="008E3361">
              <w:rPr>
                <w:rFonts w:asciiTheme="majorHAnsi" w:hAnsiTheme="majorHAnsi"/>
              </w:rPr>
              <w:t>recent NRC study.</w:t>
            </w:r>
          </w:p>
        </w:tc>
        <w:tc>
          <w:tcPr>
            <w:tcW w:w="1988" w:type="dxa"/>
          </w:tcPr>
          <w:p w14:paraId="32F4CCC5" w14:textId="1EDFB7B2" w:rsidR="00497E19" w:rsidDel="00EE229D" w:rsidRDefault="00900DE0" w:rsidP="00321497">
            <w:pPr>
              <w:rPr>
                <w:rFonts w:asciiTheme="majorHAnsi" w:hAnsiTheme="majorHAnsi"/>
              </w:rPr>
            </w:pPr>
            <w:r>
              <w:rPr>
                <w:rFonts w:asciiTheme="majorHAnsi" w:hAnsiTheme="majorHAnsi"/>
              </w:rPr>
              <w:t>2017</w:t>
            </w:r>
          </w:p>
        </w:tc>
      </w:tr>
      <w:tr w:rsidR="00A10D35" w14:paraId="1EF9166A" w14:textId="77777777" w:rsidTr="00377E59">
        <w:tc>
          <w:tcPr>
            <w:tcW w:w="5328" w:type="dxa"/>
          </w:tcPr>
          <w:p w14:paraId="5A6A43A4" w14:textId="6ECB00EA" w:rsidR="00A10D35" w:rsidRDefault="00DC542B" w:rsidP="00E16154">
            <w:pPr>
              <w:pStyle w:val="ListParagraph"/>
              <w:numPr>
                <w:ilvl w:val="0"/>
                <w:numId w:val="9"/>
              </w:numPr>
              <w:rPr>
                <w:rFonts w:asciiTheme="majorHAnsi" w:hAnsiTheme="majorHAnsi"/>
              </w:rPr>
            </w:pPr>
            <w:r>
              <w:rPr>
                <w:rFonts w:asciiTheme="majorHAnsi" w:hAnsiTheme="majorHAnsi"/>
              </w:rPr>
              <w:t xml:space="preserve">Organize a workshop with reporting practitioners and experts </w:t>
            </w:r>
            <w:r w:rsidR="008E3361">
              <w:rPr>
                <w:rFonts w:asciiTheme="majorHAnsi" w:hAnsiTheme="majorHAnsi"/>
              </w:rPr>
              <w:t xml:space="preserve">to: 1) </w:t>
            </w:r>
            <w:r w:rsidR="00E16154">
              <w:rPr>
                <w:rFonts w:asciiTheme="majorHAnsi" w:hAnsiTheme="majorHAnsi"/>
              </w:rPr>
              <w:t xml:space="preserve">reach a common understanding of existing </w:t>
            </w:r>
            <w:r w:rsidR="008E3361">
              <w:rPr>
                <w:rFonts w:asciiTheme="majorHAnsi" w:hAnsiTheme="majorHAnsi"/>
              </w:rPr>
              <w:t>reporting requirements; 2) highlight concerns and obstacles; &amp; 3) consider GPPI proposed harmonization template.</w:t>
            </w:r>
            <w:r w:rsidR="007E35B7">
              <w:rPr>
                <w:rFonts w:asciiTheme="majorHAnsi" w:hAnsiTheme="majorHAnsi"/>
              </w:rPr>
              <w:t xml:space="preserve"> </w:t>
            </w:r>
            <w:r w:rsidR="007E35B7" w:rsidRPr="004C2C7C">
              <w:rPr>
                <w:rFonts w:ascii="Calibri" w:hAnsi="Calibri"/>
                <w:b/>
              </w:rPr>
              <w:t>[GB]</w:t>
            </w:r>
          </w:p>
        </w:tc>
        <w:tc>
          <w:tcPr>
            <w:tcW w:w="3748" w:type="dxa"/>
          </w:tcPr>
          <w:p w14:paraId="6A4DD090" w14:textId="00A8A64E" w:rsidR="00DC542B" w:rsidRDefault="00DC542B" w:rsidP="00DC542B">
            <w:pPr>
              <w:rPr>
                <w:rFonts w:asciiTheme="majorHAnsi" w:hAnsiTheme="majorHAnsi"/>
              </w:rPr>
            </w:pPr>
            <w:r w:rsidRPr="0080338D">
              <w:rPr>
                <w:rFonts w:asciiTheme="majorHAnsi" w:hAnsiTheme="majorHAnsi"/>
                <w:b/>
              </w:rPr>
              <w:t>Lead:</w:t>
            </w:r>
            <w:r w:rsidR="00D21AC7">
              <w:rPr>
                <w:rFonts w:asciiTheme="majorHAnsi" w:hAnsiTheme="majorHAnsi"/>
              </w:rPr>
              <w:t xml:space="preserve"> ICVA, </w:t>
            </w:r>
            <w:r>
              <w:rPr>
                <w:rFonts w:asciiTheme="majorHAnsi" w:hAnsiTheme="majorHAnsi"/>
              </w:rPr>
              <w:t>UNICEF</w:t>
            </w:r>
          </w:p>
          <w:p w14:paraId="39B1E0BE" w14:textId="177065D1" w:rsidR="00A10D35" w:rsidRPr="0080338D" w:rsidRDefault="00DC542B" w:rsidP="00DC542B">
            <w:pPr>
              <w:rPr>
                <w:rFonts w:asciiTheme="majorHAnsi" w:hAnsiTheme="majorHAnsi"/>
                <w:b/>
              </w:rPr>
            </w:pPr>
            <w:r w:rsidRPr="0080338D">
              <w:rPr>
                <w:rFonts w:asciiTheme="majorHAnsi" w:hAnsiTheme="majorHAnsi"/>
                <w:b/>
              </w:rPr>
              <w:t>Support:</w:t>
            </w:r>
            <w:r>
              <w:rPr>
                <w:rFonts w:asciiTheme="majorHAnsi" w:hAnsiTheme="majorHAnsi"/>
              </w:rPr>
              <w:t xml:space="preserve"> </w:t>
            </w:r>
            <w:r w:rsidR="008E3361">
              <w:rPr>
                <w:rFonts w:asciiTheme="majorHAnsi" w:hAnsiTheme="majorHAnsi"/>
              </w:rPr>
              <w:t xml:space="preserve"> </w:t>
            </w:r>
            <w:r w:rsidR="008E3361" w:rsidRPr="00D21AC7">
              <w:rPr>
                <w:rFonts w:asciiTheme="majorHAnsi" w:hAnsiTheme="majorHAnsi"/>
              </w:rPr>
              <w:t>TBC</w:t>
            </w:r>
          </w:p>
        </w:tc>
        <w:tc>
          <w:tcPr>
            <w:tcW w:w="4549" w:type="dxa"/>
          </w:tcPr>
          <w:p w14:paraId="78079DA8" w14:textId="3DBBE433" w:rsidR="00A10D35" w:rsidRDefault="008E3361" w:rsidP="00321497">
            <w:pPr>
              <w:rPr>
                <w:rFonts w:asciiTheme="majorHAnsi" w:hAnsiTheme="majorHAnsi"/>
              </w:rPr>
            </w:pPr>
            <w:r>
              <w:rPr>
                <w:rFonts w:asciiTheme="majorHAnsi" w:hAnsiTheme="majorHAnsi"/>
              </w:rPr>
              <w:t xml:space="preserve">Build on the findings of </w:t>
            </w:r>
            <w:r w:rsidR="003611F4">
              <w:rPr>
                <w:rFonts w:asciiTheme="majorHAnsi" w:hAnsiTheme="majorHAnsi"/>
              </w:rPr>
              <w:t xml:space="preserve">activities #1 and #2 as well as </w:t>
            </w:r>
            <w:r>
              <w:rPr>
                <w:rFonts w:asciiTheme="majorHAnsi" w:hAnsiTheme="majorHAnsi"/>
              </w:rPr>
              <w:t xml:space="preserve">a forthcoming GPPI study.  Complement Grand Bargain reporting </w:t>
            </w:r>
            <w:proofErr w:type="spellStart"/>
            <w:r>
              <w:rPr>
                <w:rFonts w:asciiTheme="majorHAnsi" w:hAnsiTheme="majorHAnsi"/>
              </w:rPr>
              <w:t>workstream</w:t>
            </w:r>
            <w:proofErr w:type="spellEnd"/>
            <w:r>
              <w:rPr>
                <w:rFonts w:asciiTheme="majorHAnsi" w:hAnsiTheme="majorHAnsi"/>
              </w:rPr>
              <w:t>.</w:t>
            </w:r>
          </w:p>
        </w:tc>
        <w:tc>
          <w:tcPr>
            <w:tcW w:w="1988" w:type="dxa"/>
          </w:tcPr>
          <w:p w14:paraId="57381E8E" w14:textId="4DD7195D" w:rsidR="00A10D35" w:rsidRPr="00F61242" w:rsidRDefault="00900DE0" w:rsidP="008E3361">
            <w:pPr>
              <w:rPr>
                <w:rFonts w:asciiTheme="majorHAnsi" w:hAnsiTheme="majorHAnsi"/>
                <w:highlight w:val="yellow"/>
              </w:rPr>
            </w:pPr>
            <w:r>
              <w:rPr>
                <w:rFonts w:asciiTheme="majorHAnsi" w:hAnsiTheme="majorHAnsi"/>
              </w:rPr>
              <w:t xml:space="preserve">2016 </w:t>
            </w:r>
            <w:r w:rsidR="00D21AC7">
              <w:rPr>
                <w:rFonts w:asciiTheme="majorHAnsi" w:hAnsiTheme="majorHAnsi"/>
              </w:rPr>
              <w:t>Q4</w:t>
            </w:r>
          </w:p>
        </w:tc>
      </w:tr>
      <w:tr w:rsidR="00497E19" w14:paraId="2A7BE55C" w14:textId="77777777" w:rsidTr="00377E59">
        <w:tc>
          <w:tcPr>
            <w:tcW w:w="5328" w:type="dxa"/>
          </w:tcPr>
          <w:p w14:paraId="25F97449" w14:textId="77777777" w:rsidR="00497E19" w:rsidRPr="0057477A" w:rsidRDefault="00497E19" w:rsidP="002347B4">
            <w:pPr>
              <w:pStyle w:val="ListParagraph"/>
              <w:numPr>
                <w:ilvl w:val="0"/>
                <w:numId w:val="9"/>
              </w:numPr>
            </w:pPr>
            <w:r>
              <w:rPr>
                <w:rFonts w:asciiTheme="majorHAnsi" w:hAnsiTheme="majorHAnsi"/>
              </w:rPr>
              <w:t xml:space="preserve">Explore options for the creation of a regularly updated donor comparison index to strengthen awareness of the GHD Principles and advocate for their implementation </w:t>
            </w:r>
            <w:r w:rsidRPr="004C2C7C">
              <w:rPr>
                <w:rFonts w:ascii="Calibri" w:hAnsi="Calibri"/>
                <w:b/>
              </w:rPr>
              <w:t>[GB]</w:t>
            </w:r>
          </w:p>
          <w:p w14:paraId="22838EC7" w14:textId="5F5311F2" w:rsidR="00497E19" w:rsidRPr="00C27594" w:rsidRDefault="00497E19" w:rsidP="0057477A">
            <w:pPr>
              <w:pStyle w:val="ListParagraph"/>
              <w:ind w:left="360"/>
            </w:pPr>
          </w:p>
        </w:tc>
        <w:tc>
          <w:tcPr>
            <w:tcW w:w="3748" w:type="dxa"/>
          </w:tcPr>
          <w:p w14:paraId="4C468CCB" w14:textId="19686B9E" w:rsidR="00497E19" w:rsidRDefault="00497E19" w:rsidP="00321497">
            <w:pPr>
              <w:rPr>
                <w:rFonts w:asciiTheme="majorHAnsi" w:hAnsiTheme="majorHAnsi"/>
              </w:rPr>
            </w:pPr>
            <w:r w:rsidRPr="0080338D">
              <w:rPr>
                <w:rFonts w:asciiTheme="majorHAnsi" w:hAnsiTheme="majorHAnsi"/>
                <w:b/>
              </w:rPr>
              <w:t>Lead:</w:t>
            </w:r>
            <w:r>
              <w:rPr>
                <w:rFonts w:asciiTheme="majorHAnsi" w:hAnsiTheme="majorHAnsi"/>
              </w:rPr>
              <w:t xml:space="preserve"> </w:t>
            </w:r>
            <w:r w:rsidRPr="00D21AC7">
              <w:rPr>
                <w:rFonts w:asciiTheme="majorHAnsi" w:hAnsiTheme="majorHAnsi"/>
              </w:rPr>
              <w:t>TBC</w:t>
            </w:r>
          </w:p>
          <w:p w14:paraId="49B893BD" w14:textId="55F53E00" w:rsidR="00497E19" w:rsidRDefault="00497E19" w:rsidP="00321497">
            <w:pPr>
              <w:rPr>
                <w:rFonts w:asciiTheme="majorHAnsi" w:hAnsiTheme="majorHAnsi"/>
              </w:rPr>
            </w:pPr>
            <w:r w:rsidRPr="0080338D">
              <w:rPr>
                <w:rFonts w:asciiTheme="majorHAnsi" w:hAnsiTheme="majorHAnsi"/>
                <w:b/>
              </w:rPr>
              <w:t>Support</w:t>
            </w:r>
            <w:r>
              <w:rPr>
                <w:rFonts w:asciiTheme="majorHAnsi" w:hAnsiTheme="majorHAnsi"/>
              </w:rPr>
              <w:t xml:space="preserve">: </w:t>
            </w:r>
            <w:r w:rsidRPr="00D21AC7">
              <w:rPr>
                <w:rFonts w:asciiTheme="majorHAnsi" w:hAnsiTheme="majorHAnsi"/>
              </w:rPr>
              <w:t>TBC</w:t>
            </w:r>
          </w:p>
        </w:tc>
        <w:tc>
          <w:tcPr>
            <w:tcW w:w="4549" w:type="dxa"/>
          </w:tcPr>
          <w:p w14:paraId="1FBF2897" w14:textId="47C0397D" w:rsidR="00497E19" w:rsidRDefault="00E16154" w:rsidP="00321497">
            <w:pPr>
              <w:rPr>
                <w:rFonts w:asciiTheme="majorHAnsi" w:hAnsiTheme="majorHAnsi"/>
              </w:rPr>
            </w:pPr>
            <w:r>
              <w:rPr>
                <w:rFonts w:asciiTheme="majorHAnsi" w:hAnsiTheme="majorHAnsi"/>
              </w:rPr>
              <w:t xml:space="preserve">CIVICUS will be developing a “generosity tracker” over the next year, &amp; the Grand Bargain transparency </w:t>
            </w:r>
            <w:proofErr w:type="spellStart"/>
            <w:r>
              <w:rPr>
                <w:rFonts w:asciiTheme="majorHAnsi" w:hAnsiTheme="majorHAnsi"/>
              </w:rPr>
              <w:t>workstream</w:t>
            </w:r>
            <w:proofErr w:type="spellEnd"/>
            <w:r>
              <w:rPr>
                <w:rFonts w:asciiTheme="majorHAnsi" w:hAnsiTheme="majorHAnsi"/>
              </w:rPr>
              <w:t xml:space="preserve"> will result in additional activities related to the IATI data standard.</w:t>
            </w:r>
          </w:p>
        </w:tc>
        <w:tc>
          <w:tcPr>
            <w:tcW w:w="1988" w:type="dxa"/>
          </w:tcPr>
          <w:p w14:paraId="566B8B75" w14:textId="627B5D22" w:rsidR="00497E19" w:rsidRDefault="00497E19" w:rsidP="00321497">
            <w:pPr>
              <w:rPr>
                <w:rFonts w:asciiTheme="majorHAnsi" w:hAnsiTheme="majorHAnsi"/>
              </w:rPr>
            </w:pPr>
            <w:r w:rsidRPr="00D21AC7">
              <w:rPr>
                <w:rFonts w:asciiTheme="majorHAnsi" w:hAnsiTheme="majorHAnsi"/>
              </w:rPr>
              <w:t>On hold,</w:t>
            </w:r>
            <w:r>
              <w:rPr>
                <w:rFonts w:asciiTheme="majorHAnsi" w:hAnsiTheme="majorHAnsi"/>
              </w:rPr>
              <w:t xml:space="preserve"> pending </w:t>
            </w:r>
            <w:r w:rsidR="00A10D35">
              <w:rPr>
                <w:rFonts w:asciiTheme="majorHAnsi" w:hAnsiTheme="majorHAnsi"/>
              </w:rPr>
              <w:t>development of other trackers</w:t>
            </w:r>
          </w:p>
          <w:p w14:paraId="70D80670" w14:textId="690BE9DA" w:rsidR="00497E19" w:rsidRDefault="00497E19" w:rsidP="00321497">
            <w:pPr>
              <w:rPr>
                <w:rFonts w:asciiTheme="majorHAnsi" w:hAnsiTheme="majorHAnsi"/>
              </w:rPr>
            </w:pPr>
          </w:p>
        </w:tc>
      </w:tr>
    </w:tbl>
    <w:p w14:paraId="621F2400" w14:textId="77777777" w:rsidR="003B44F5" w:rsidRDefault="003B44F5" w:rsidP="00AE3457">
      <w:pPr>
        <w:rPr>
          <w:rFonts w:asciiTheme="majorHAnsi" w:hAnsiTheme="majorHAnsi"/>
        </w:rPr>
      </w:pPr>
    </w:p>
    <w:tbl>
      <w:tblPr>
        <w:tblStyle w:val="TableGrid"/>
        <w:tblW w:w="15613" w:type="dxa"/>
        <w:tblLook w:val="04A0" w:firstRow="1" w:lastRow="0" w:firstColumn="1" w:lastColumn="0" w:noHBand="0" w:noVBand="1"/>
      </w:tblPr>
      <w:tblGrid>
        <w:gridCol w:w="4666"/>
        <w:gridCol w:w="4667"/>
        <w:gridCol w:w="4667"/>
        <w:gridCol w:w="1613"/>
      </w:tblGrid>
      <w:tr w:rsidR="003B44F5" w:rsidRPr="00FE2DF6" w14:paraId="249E9F2E" w14:textId="77777777" w:rsidTr="00C073D3">
        <w:tc>
          <w:tcPr>
            <w:tcW w:w="15613" w:type="dxa"/>
            <w:gridSpan w:val="4"/>
          </w:tcPr>
          <w:p w14:paraId="3ACEB115" w14:textId="77777777" w:rsidR="003B44F5" w:rsidRDefault="003B44F5" w:rsidP="00C073D3">
            <w:pPr>
              <w:rPr>
                <w:rFonts w:asciiTheme="majorHAnsi" w:hAnsiTheme="majorHAnsi"/>
                <w:b/>
                <w:color w:val="1F497D" w:themeColor="text2"/>
                <w:sz w:val="28"/>
                <w:szCs w:val="28"/>
              </w:rPr>
            </w:pPr>
            <w:r>
              <w:rPr>
                <w:rFonts w:asciiTheme="majorHAnsi" w:hAnsiTheme="majorHAnsi"/>
                <w:b/>
                <w:color w:val="1F497D" w:themeColor="text2"/>
                <w:sz w:val="28"/>
                <w:szCs w:val="28"/>
              </w:rPr>
              <w:lastRenderedPageBreak/>
              <w:t>Output</w:t>
            </w:r>
            <w:r w:rsidRPr="00FE2DF6">
              <w:rPr>
                <w:rFonts w:asciiTheme="majorHAnsi" w:hAnsiTheme="majorHAnsi"/>
                <w:b/>
                <w:color w:val="1F497D" w:themeColor="text2"/>
                <w:sz w:val="28"/>
                <w:szCs w:val="28"/>
              </w:rPr>
              <w:t xml:space="preserve"> #</w:t>
            </w:r>
            <w:r>
              <w:rPr>
                <w:rFonts w:asciiTheme="majorHAnsi" w:hAnsiTheme="majorHAnsi"/>
                <w:b/>
                <w:color w:val="1F497D" w:themeColor="text2"/>
                <w:sz w:val="28"/>
                <w:szCs w:val="28"/>
              </w:rPr>
              <w:t>3</w:t>
            </w:r>
            <w:r w:rsidRPr="00FE2DF6">
              <w:rPr>
                <w:rFonts w:asciiTheme="majorHAnsi" w:hAnsiTheme="majorHAnsi"/>
                <w:b/>
                <w:color w:val="1F497D" w:themeColor="text2"/>
                <w:sz w:val="28"/>
                <w:szCs w:val="28"/>
              </w:rPr>
              <w:t>:</w:t>
            </w:r>
            <w:r>
              <w:rPr>
                <w:rFonts w:asciiTheme="majorHAnsi" w:hAnsiTheme="majorHAnsi"/>
                <w:b/>
                <w:color w:val="1F497D" w:themeColor="text2"/>
                <w:sz w:val="28"/>
                <w:szCs w:val="28"/>
              </w:rPr>
              <w:t xml:space="preserve"> </w:t>
            </w:r>
            <w:r w:rsidRPr="00B610CD">
              <w:rPr>
                <w:rFonts w:asciiTheme="majorHAnsi" w:hAnsiTheme="majorHAnsi"/>
                <w:b/>
                <w:color w:val="1F497D" w:themeColor="text2"/>
                <w:sz w:val="28"/>
                <w:szCs w:val="28"/>
              </w:rPr>
              <w:t>Contribute to aid effectiveness by reducing the humanitarian</w:t>
            </w:r>
            <w:r>
              <w:rPr>
                <w:rFonts w:asciiTheme="majorHAnsi" w:hAnsiTheme="majorHAnsi"/>
                <w:b/>
                <w:color w:val="1F497D" w:themeColor="text2"/>
                <w:sz w:val="28"/>
                <w:szCs w:val="28"/>
              </w:rPr>
              <w:t>-</w:t>
            </w:r>
            <w:r w:rsidRPr="00B610CD">
              <w:rPr>
                <w:rFonts w:asciiTheme="majorHAnsi" w:hAnsiTheme="majorHAnsi"/>
                <w:b/>
                <w:color w:val="1F497D" w:themeColor="text2"/>
                <w:sz w:val="28"/>
                <w:szCs w:val="28"/>
              </w:rPr>
              <w:t>development divide</w:t>
            </w:r>
          </w:p>
          <w:p w14:paraId="266C5250" w14:textId="77777777" w:rsidR="003B44F5" w:rsidRPr="00FE2DF6" w:rsidRDefault="003B44F5" w:rsidP="00C073D3">
            <w:pPr>
              <w:rPr>
                <w:rFonts w:asciiTheme="majorHAnsi" w:hAnsiTheme="majorHAnsi"/>
                <w:b/>
                <w:color w:val="1F497D" w:themeColor="text2"/>
                <w:sz w:val="28"/>
                <w:szCs w:val="28"/>
              </w:rPr>
            </w:pPr>
          </w:p>
        </w:tc>
      </w:tr>
      <w:tr w:rsidR="003B44F5" w:rsidRPr="00FE2DF6" w14:paraId="1B7507C0" w14:textId="77777777" w:rsidTr="003B44F5">
        <w:trPr>
          <w:trHeight w:val="614"/>
        </w:trPr>
        <w:tc>
          <w:tcPr>
            <w:tcW w:w="4666" w:type="dxa"/>
            <w:vAlign w:val="center"/>
          </w:tcPr>
          <w:p w14:paraId="3293CE07" w14:textId="77777777" w:rsidR="003B44F5" w:rsidRPr="00FE2DF6" w:rsidRDefault="003B44F5" w:rsidP="003B44F5">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Activities</w:t>
            </w:r>
          </w:p>
        </w:tc>
        <w:tc>
          <w:tcPr>
            <w:tcW w:w="4667" w:type="dxa"/>
            <w:vAlign w:val="center"/>
          </w:tcPr>
          <w:p w14:paraId="6B53A680" w14:textId="74CDA23D" w:rsidR="003B44F5" w:rsidRPr="00FE2DF6" w:rsidRDefault="003B44F5" w:rsidP="003B44F5">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Focal Points</w:t>
            </w:r>
          </w:p>
        </w:tc>
        <w:tc>
          <w:tcPr>
            <w:tcW w:w="4667" w:type="dxa"/>
            <w:vAlign w:val="center"/>
          </w:tcPr>
          <w:p w14:paraId="098020F8" w14:textId="1CC29F1C" w:rsidR="003B44F5" w:rsidRPr="00FE2DF6" w:rsidRDefault="003B44F5" w:rsidP="003B44F5">
            <w:pPr>
              <w:jc w:val="center"/>
              <w:rPr>
                <w:rFonts w:asciiTheme="majorHAnsi" w:hAnsiTheme="majorHAnsi"/>
                <w:b/>
                <w:color w:val="1F497D" w:themeColor="text2"/>
                <w:sz w:val="26"/>
                <w:szCs w:val="26"/>
              </w:rPr>
            </w:pPr>
            <w:r w:rsidRPr="00783305">
              <w:rPr>
                <w:rFonts w:ascii="Calibri" w:hAnsi="Calibri"/>
                <w:b/>
                <w:color w:val="1F497D"/>
                <w:sz w:val="26"/>
                <w:szCs w:val="26"/>
              </w:rPr>
              <w:t>Complementarity</w:t>
            </w:r>
            <w:r w:rsidR="004F3AD5">
              <w:rPr>
                <w:rFonts w:ascii="Calibri" w:hAnsi="Calibri"/>
                <w:b/>
                <w:color w:val="1F497D"/>
                <w:sz w:val="26"/>
                <w:szCs w:val="26"/>
              </w:rPr>
              <w:t>/Notes</w:t>
            </w:r>
          </w:p>
        </w:tc>
        <w:tc>
          <w:tcPr>
            <w:tcW w:w="1613" w:type="dxa"/>
            <w:vAlign w:val="center"/>
          </w:tcPr>
          <w:p w14:paraId="0327730A" w14:textId="1799FCB3" w:rsidR="003B44F5" w:rsidRPr="00FE2DF6" w:rsidRDefault="003B44F5" w:rsidP="003B44F5">
            <w:pPr>
              <w:jc w:val="center"/>
              <w:rPr>
                <w:rFonts w:asciiTheme="majorHAnsi" w:hAnsiTheme="majorHAnsi"/>
                <w:b/>
                <w:color w:val="1F497D" w:themeColor="text2"/>
                <w:sz w:val="26"/>
                <w:szCs w:val="26"/>
              </w:rPr>
            </w:pPr>
            <w:r w:rsidRPr="00FE2DF6">
              <w:rPr>
                <w:rFonts w:asciiTheme="majorHAnsi" w:hAnsiTheme="majorHAnsi"/>
                <w:b/>
                <w:color w:val="1F497D" w:themeColor="text2"/>
                <w:sz w:val="26"/>
                <w:szCs w:val="26"/>
              </w:rPr>
              <w:t>Timeframe</w:t>
            </w:r>
          </w:p>
        </w:tc>
      </w:tr>
      <w:tr w:rsidR="0081755A" w14:paraId="1189231D" w14:textId="77777777" w:rsidTr="003B44F5">
        <w:tc>
          <w:tcPr>
            <w:tcW w:w="4666" w:type="dxa"/>
          </w:tcPr>
          <w:p w14:paraId="38165D7E" w14:textId="0469F269" w:rsidR="0081755A" w:rsidRPr="0081755A" w:rsidRDefault="0081755A" w:rsidP="0081755A">
            <w:pPr>
              <w:pStyle w:val="ListParagraph"/>
              <w:numPr>
                <w:ilvl w:val="0"/>
                <w:numId w:val="12"/>
              </w:numPr>
              <w:ind w:left="284" w:hanging="284"/>
              <w:rPr>
                <w:rFonts w:asciiTheme="majorHAnsi" w:hAnsiTheme="majorHAnsi"/>
              </w:rPr>
            </w:pPr>
            <w:r w:rsidRPr="0081755A">
              <w:rPr>
                <w:rFonts w:asciiTheme="majorHAnsi" w:hAnsiTheme="majorHAnsi"/>
              </w:rPr>
              <w:t xml:space="preserve">Lead the HFTT’s engagement with interagency policy around the hum/dev agenda through contributing to and participating in the IASC/UNDG retreat in 2016 and carrying over leadership of the financing dialogue and research into 2017. </w:t>
            </w:r>
          </w:p>
        </w:tc>
        <w:tc>
          <w:tcPr>
            <w:tcW w:w="4667" w:type="dxa"/>
          </w:tcPr>
          <w:p w14:paraId="55638012" w14:textId="02CEFA9F" w:rsidR="0081755A" w:rsidRPr="0081755A" w:rsidRDefault="0081755A" w:rsidP="0081755A">
            <w:pPr>
              <w:rPr>
                <w:rFonts w:asciiTheme="majorHAnsi" w:hAnsiTheme="majorHAnsi"/>
              </w:rPr>
            </w:pPr>
            <w:r w:rsidRPr="0081755A">
              <w:rPr>
                <w:rFonts w:asciiTheme="majorHAnsi" w:hAnsiTheme="majorHAnsi"/>
                <w:b/>
              </w:rPr>
              <w:t>Lead:</w:t>
            </w:r>
            <w:r w:rsidRPr="0081755A">
              <w:rPr>
                <w:rFonts w:asciiTheme="majorHAnsi" w:hAnsiTheme="majorHAnsi"/>
              </w:rPr>
              <w:t xml:space="preserve"> FAO,</w:t>
            </w:r>
            <w:r>
              <w:rPr>
                <w:rFonts w:asciiTheme="majorHAnsi" w:hAnsiTheme="majorHAnsi"/>
              </w:rPr>
              <w:t xml:space="preserve"> UNDP,</w:t>
            </w:r>
            <w:r w:rsidRPr="0081755A">
              <w:rPr>
                <w:rFonts w:asciiTheme="majorHAnsi" w:hAnsiTheme="majorHAnsi"/>
              </w:rPr>
              <w:t xml:space="preserve"> W</w:t>
            </w:r>
            <w:r>
              <w:rPr>
                <w:rFonts w:asciiTheme="majorHAnsi" w:hAnsiTheme="majorHAnsi"/>
              </w:rPr>
              <w:t xml:space="preserve">orld </w:t>
            </w:r>
            <w:r w:rsidRPr="0081755A">
              <w:rPr>
                <w:rFonts w:asciiTheme="majorHAnsi" w:hAnsiTheme="majorHAnsi"/>
              </w:rPr>
              <w:t>B</w:t>
            </w:r>
            <w:r>
              <w:rPr>
                <w:rFonts w:asciiTheme="majorHAnsi" w:hAnsiTheme="majorHAnsi"/>
              </w:rPr>
              <w:t>ank</w:t>
            </w:r>
          </w:p>
          <w:p w14:paraId="4D0D8343" w14:textId="0A588914" w:rsidR="0081755A" w:rsidRPr="0081755A" w:rsidRDefault="0081755A" w:rsidP="0081755A">
            <w:pPr>
              <w:rPr>
                <w:rFonts w:asciiTheme="majorHAnsi" w:hAnsiTheme="majorHAnsi"/>
              </w:rPr>
            </w:pPr>
            <w:r w:rsidRPr="0081755A">
              <w:rPr>
                <w:rFonts w:asciiTheme="majorHAnsi" w:hAnsiTheme="majorHAnsi"/>
                <w:b/>
              </w:rPr>
              <w:t>Support:</w:t>
            </w:r>
            <w:r>
              <w:rPr>
                <w:rFonts w:asciiTheme="majorHAnsi" w:hAnsiTheme="majorHAnsi"/>
              </w:rPr>
              <w:t xml:space="preserve"> OCHA, UNHCR</w:t>
            </w:r>
            <w:r w:rsidRPr="0081755A">
              <w:rPr>
                <w:rFonts w:asciiTheme="majorHAnsi" w:hAnsiTheme="majorHAnsi"/>
              </w:rPr>
              <w:t xml:space="preserve">, WFP, WHO, NGOs </w:t>
            </w:r>
          </w:p>
        </w:tc>
        <w:tc>
          <w:tcPr>
            <w:tcW w:w="4667" w:type="dxa"/>
          </w:tcPr>
          <w:p w14:paraId="1137AF3C" w14:textId="4098A65B" w:rsidR="0081755A" w:rsidRPr="0081755A" w:rsidRDefault="0081755A" w:rsidP="0081755A">
            <w:pPr>
              <w:rPr>
                <w:rFonts w:asciiTheme="majorHAnsi" w:hAnsiTheme="majorHAnsi"/>
              </w:rPr>
            </w:pPr>
            <w:r w:rsidRPr="0081755A">
              <w:rPr>
                <w:rFonts w:asciiTheme="majorHAnsi" w:hAnsiTheme="majorHAnsi"/>
              </w:rPr>
              <w:t>Complements the work of the IASC TT on hum/dev nexus</w:t>
            </w:r>
          </w:p>
        </w:tc>
        <w:tc>
          <w:tcPr>
            <w:tcW w:w="1613" w:type="dxa"/>
          </w:tcPr>
          <w:p w14:paraId="1A718F0A" w14:textId="3B32D40A" w:rsidR="0081755A" w:rsidRPr="0081755A" w:rsidRDefault="0081755A" w:rsidP="0081755A">
            <w:pPr>
              <w:rPr>
                <w:rFonts w:asciiTheme="majorHAnsi" w:hAnsiTheme="majorHAnsi"/>
              </w:rPr>
            </w:pPr>
            <w:r w:rsidRPr="0081755A">
              <w:rPr>
                <w:rFonts w:asciiTheme="majorHAnsi" w:hAnsiTheme="majorHAnsi"/>
              </w:rPr>
              <w:t>On-going with work extending into 2017</w:t>
            </w:r>
          </w:p>
        </w:tc>
      </w:tr>
      <w:tr w:rsidR="0081755A" w14:paraId="48849F6D" w14:textId="77777777" w:rsidTr="003B44F5">
        <w:tc>
          <w:tcPr>
            <w:tcW w:w="4666" w:type="dxa"/>
          </w:tcPr>
          <w:p w14:paraId="027FCBD6" w14:textId="5A4695FA" w:rsidR="0081755A" w:rsidRPr="0081755A" w:rsidRDefault="0081755A" w:rsidP="0081755A">
            <w:pPr>
              <w:pStyle w:val="ListParagraph"/>
              <w:numPr>
                <w:ilvl w:val="0"/>
                <w:numId w:val="12"/>
              </w:numPr>
              <w:ind w:left="284" w:hanging="284"/>
              <w:rPr>
                <w:rFonts w:asciiTheme="majorHAnsi" w:hAnsiTheme="majorHAnsi"/>
              </w:rPr>
            </w:pPr>
            <w:r w:rsidRPr="0081755A">
              <w:rPr>
                <w:rFonts w:asciiTheme="majorHAnsi" w:hAnsiTheme="majorHAnsi"/>
              </w:rPr>
              <w:t xml:space="preserve">Consolidate key themes and messages from relevant on-going mapping exercises in order to utilise information better within the HFTT and IASC communities on the cross-section around humanitarian and development financing.  This includes, facilitating debriefs for the HFTT. </w:t>
            </w:r>
          </w:p>
        </w:tc>
        <w:tc>
          <w:tcPr>
            <w:tcW w:w="4667" w:type="dxa"/>
          </w:tcPr>
          <w:p w14:paraId="3DAA201F" w14:textId="27470621" w:rsidR="0081755A" w:rsidRPr="0081755A" w:rsidRDefault="0081755A" w:rsidP="0081755A">
            <w:pPr>
              <w:rPr>
                <w:rFonts w:asciiTheme="majorHAnsi" w:hAnsiTheme="majorHAnsi"/>
              </w:rPr>
            </w:pPr>
            <w:r w:rsidRPr="0081755A">
              <w:rPr>
                <w:rFonts w:asciiTheme="majorHAnsi" w:hAnsiTheme="majorHAnsi"/>
                <w:b/>
              </w:rPr>
              <w:t>Lead:</w:t>
            </w:r>
            <w:r w:rsidRPr="0081755A">
              <w:rPr>
                <w:rFonts w:asciiTheme="majorHAnsi" w:hAnsiTheme="majorHAnsi"/>
              </w:rPr>
              <w:t xml:space="preserve"> FAO,</w:t>
            </w:r>
            <w:r>
              <w:rPr>
                <w:rFonts w:asciiTheme="majorHAnsi" w:hAnsiTheme="majorHAnsi"/>
              </w:rPr>
              <w:t xml:space="preserve"> UNDP,</w:t>
            </w:r>
            <w:r w:rsidRPr="0081755A">
              <w:rPr>
                <w:rFonts w:asciiTheme="majorHAnsi" w:hAnsiTheme="majorHAnsi"/>
              </w:rPr>
              <w:t xml:space="preserve"> W</w:t>
            </w:r>
            <w:r>
              <w:rPr>
                <w:rFonts w:asciiTheme="majorHAnsi" w:hAnsiTheme="majorHAnsi"/>
              </w:rPr>
              <w:t xml:space="preserve">orld </w:t>
            </w:r>
            <w:r w:rsidRPr="0081755A">
              <w:rPr>
                <w:rFonts w:asciiTheme="majorHAnsi" w:hAnsiTheme="majorHAnsi"/>
              </w:rPr>
              <w:t>B</w:t>
            </w:r>
            <w:r>
              <w:rPr>
                <w:rFonts w:asciiTheme="majorHAnsi" w:hAnsiTheme="majorHAnsi"/>
              </w:rPr>
              <w:t>ank</w:t>
            </w:r>
          </w:p>
          <w:p w14:paraId="7BBB8C75" w14:textId="6AC2FA93" w:rsidR="0081755A" w:rsidRPr="0081755A" w:rsidRDefault="0081755A" w:rsidP="0081755A">
            <w:pPr>
              <w:rPr>
                <w:rFonts w:asciiTheme="majorHAnsi" w:hAnsiTheme="majorHAnsi"/>
                <w:b/>
              </w:rPr>
            </w:pPr>
          </w:p>
        </w:tc>
        <w:tc>
          <w:tcPr>
            <w:tcW w:w="4667" w:type="dxa"/>
          </w:tcPr>
          <w:p w14:paraId="65085BCA" w14:textId="77777777" w:rsidR="0081755A" w:rsidRPr="0081755A" w:rsidRDefault="0081755A" w:rsidP="0081755A">
            <w:pPr>
              <w:rPr>
                <w:rFonts w:asciiTheme="majorHAnsi" w:hAnsiTheme="majorHAnsi"/>
              </w:rPr>
            </w:pPr>
          </w:p>
        </w:tc>
        <w:tc>
          <w:tcPr>
            <w:tcW w:w="1613" w:type="dxa"/>
          </w:tcPr>
          <w:p w14:paraId="0CB64BBF" w14:textId="4FF4F002" w:rsidR="0081755A" w:rsidRPr="0081755A" w:rsidRDefault="00900DE0" w:rsidP="0081755A">
            <w:pPr>
              <w:rPr>
                <w:rFonts w:asciiTheme="majorHAnsi" w:hAnsiTheme="majorHAnsi"/>
                <w:highlight w:val="yellow"/>
              </w:rPr>
            </w:pPr>
            <w:r>
              <w:rPr>
                <w:rFonts w:asciiTheme="majorHAnsi" w:hAnsiTheme="majorHAnsi"/>
              </w:rPr>
              <w:t xml:space="preserve">2016 </w:t>
            </w:r>
            <w:r w:rsidR="0081755A" w:rsidRPr="0081755A">
              <w:rPr>
                <w:rFonts w:asciiTheme="majorHAnsi" w:hAnsiTheme="majorHAnsi"/>
              </w:rPr>
              <w:t>Q4</w:t>
            </w:r>
          </w:p>
        </w:tc>
      </w:tr>
    </w:tbl>
    <w:p w14:paraId="7308970D" w14:textId="45BA7C6B" w:rsidR="005E62D7" w:rsidRDefault="005E62D7">
      <w:pPr>
        <w:rPr>
          <w:rFonts w:asciiTheme="majorHAnsi" w:hAnsiTheme="majorHAnsi"/>
        </w:rPr>
      </w:pPr>
    </w:p>
    <w:p w14:paraId="1E43E413" w14:textId="77777777" w:rsidR="005E62D7" w:rsidRDefault="005E62D7">
      <w:pPr>
        <w:rPr>
          <w:rFonts w:asciiTheme="majorHAnsi" w:hAnsiTheme="majorHAnsi"/>
        </w:rPr>
      </w:pPr>
      <w:r>
        <w:rPr>
          <w:rFonts w:asciiTheme="majorHAnsi" w:hAnsiTheme="majorHAnsi"/>
        </w:rPr>
        <w:br w:type="page"/>
      </w:r>
    </w:p>
    <w:p w14:paraId="3FB99B65" w14:textId="77777777" w:rsidR="003B44F5" w:rsidRDefault="003B44F5">
      <w:pPr>
        <w:rPr>
          <w:rFonts w:asciiTheme="majorHAnsi" w:hAnsiTheme="majorHAnsi"/>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592"/>
        <w:gridCol w:w="2857"/>
        <w:gridCol w:w="3500"/>
      </w:tblGrid>
      <w:tr w:rsidR="003B44F5" w:rsidRPr="00783305" w14:paraId="5EDFCBA8" w14:textId="77777777" w:rsidTr="00C073D3">
        <w:tc>
          <w:tcPr>
            <w:tcW w:w="15559" w:type="dxa"/>
            <w:gridSpan w:val="4"/>
          </w:tcPr>
          <w:p w14:paraId="2B8DA0F1" w14:textId="77777777" w:rsidR="003B44F5" w:rsidRDefault="003B44F5" w:rsidP="00C073D3">
            <w:pPr>
              <w:rPr>
                <w:rFonts w:ascii="Calibri" w:hAnsi="Calibri"/>
                <w:b/>
                <w:color w:val="1F497D"/>
                <w:sz w:val="28"/>
                <w:szCs w:val="28"/>
              </w:rPr>
            </w:pPr>
            <w:r w:rsidRPr="00783305">
              <w:rPr>
                <w:rFonts w:ascii="Calibri" w:hAnsi="Calibri"/>
                <w:b/>
                <w:color w:val="1F497D"/>
                <w:sz w:val="28"/>
                <w:szCs w:val="28"/>
              </w:rPr>
              <w:t>Output #</w:t>
            </w:r>
            <w:r>
              <w:rPr>
                <w:rFonts w:ascii="Calibri" w:hAnsi="Calibri"/>
                <w:b/>
                <w:color w:val="1F497D"/>
                <w:sz w:val="28"/>
                <w:szCs w:val="28"/>
              </w:rPr>
              <w:t>4:</w:t>
            </w:r>
            <w:r w:rsidRPr="00783305">
              <w:rPr>
                <w:rFonts w:ascii="Calibri" w:hAnsi="Calibri"/>
                <w:b/>
                <w:color w:val="1F497D"/>
                <w:sz w:val="28"/>
                <w:szCs w:val="28"/>
              </w:rPr>
              <w:t xml:space="preserve"> </w:t>
            </w:r>
            <w:r w:rsidRPr="000E75D6">
              <w:rPr>
                <w:rFonts w:ascii="Calibri" w:hAnsi="Calibri"/>
                <w:b/>
                <w:color w:val="1F497D"/>
                <w:sz w:val="28"/>
                <w:szCs w:val="28"/>
              </w:rPr>
              <w:t>Improve transparency through strengthening empirical knowledge base on funding flows (in and out)</w:t>
            </w:r>
          </w:p>
          <w:p w14:paraId="7364034E" w14:textId="77777777" w:rsidR="003B44F5" w:rsidRPr="00783305" w:rsidRDefault="003B44F5" w:rsidP="00C073D3">
            <w:pPr>
              <w:rPr>
                <w:rFonts w:ascii="Calibri" w:hAnsi="Calibri"/>
                <w:b/>
                <w:color w:val="1F497D"/>
                <w:sz w:val="28"/>
                <w:szCs w:val="28"/>
              </w:rPr>
            </w:pPr>
          </w:p>
        </w:tc>
      </w:tr>
      <w:tr w:rsidR="003B44F5" w:rsidRPr="00783305" w14:paraId="1595C996" w14:textId="77777777" w:rsidTr="00377E59">
        <w:tc>
          <w:tcPr>
            <w:tcW w:w="4666" w:type="dxa"/>
          </w:tcPr>
          <w:p w14:paraId="483C9936" w14:textId="77777777" w:rsidR="003B44F5" w:rsidRPr="00783305" w:rsidRDefault="003B44F5" w:rsidP="00321497">
            <w:pPr>
              <w:rPr>
                <w:rFonts w:ascii="Calibri" w:hAnsi="Calibri"/>
                <w:b/>
                <w:color w:val="1F497D"/>
                <w:sz w:val="26"/>
                <w:szCs w:val="26"/>
              </w:rPr>
            </w:pPr>
            <w:r w:rsidRPr="00783305">
              <w:rPr>
                <w:rFonts w:ascii="Calibri" w:hAnsi="Calibri"/>
                <w:b/>
                <w:color w:val="1F497D"/>
                <w:sz w:val="26"/>
                <w:szCs w:val="26"/>
              </w:rPr>
              <w:t>Activities</w:t>
            </w:r>
          </w:p>
        </w:tc>
        <w:tc>
          <w:tcPr>
            <w:tcW w:w="4667" w:type="dxa"/>
          </w:tcPr>
          <w:p w14:paraId="14FF5001" w14:textId="77777777" w:rsidR="003B44F5" w:rsidRDefault="003B44F5" w:rsidP="00A369F5">
            <w:pPr>
              <w:rPr>
                <w:rFonts w:ascii="Calibri" w:hAnsi="Calibri"/>
                <w:b/>
                <w:color w:val="1F497D"/>
                <w:sz w:val="26"/>
                <w:szCs w:val="26"/>
              </w:rPr>
            </w:pPr>
            <w:r w:rsidRPr="00783305">
              <w:rPr>
                <w:rFonts w:ascii="Calibri" w:hAnsi="Calibri"/>
                <w:b/>
                <w:color w:val="1F497D"/>
                <w:sz w:val="26"/>
                <w:szCs w:val="26"/>
              </w:rPr>
              <w:t xml:space="preserve">Focal Points </w:t>
            </w:r>
          </w:p>
          <w:p w14:paraId="57CE8E79" w14:textId="75A6A470" w:rsidR="003B44F5" w:rsidRPr="00783305" w:rsidRDefault="003B44F5" w:rsidP="00A369F5">
            <w:pPr>
              <w:rPr>
                <w:rFonts w:ascii="Calibri" w:hAnsi="Calibri"/>
                <w:b/>
                <w:color w:val="1F497D"/>
                <w:sz w:val="26"/>
                <w:szCs w:val="26"/>
              </w:rPr>
            </w:pPr>
          </w:p>
        </w:tc>
        <w:tc>
          <w:tcPr>
            <w:tcW w:w="2682" w:type="dxa"/>
          </w:tcPr>
          <w:p w14:paraId="2A3C9A57" w14:textId="715EB336" w:rsidR="003B44F5" w:rsidRPr="00783305" w:rsidRDefault="003B44F5" w:rsidP="00321497">
            <w:pPr>
              <w:rPr>
                <w:rFonts w:ascii="Calibri" w:hAnsi="Calibri"/>
                <w:b/>
                <w:color w:val="1F497D"/>
                <w:sz w:val="26"/>
                <w:szCs w:val="26"/>
              </w:rPr>
            </w:pPr>
            <w:r w:rsidRPr="00783305">
              <w:rPr>
                <w:rFonts w:ascii="Calibri" w:hAnsi="Calibri"/>
                <w:b/>
                <w:color w:val="1F497D"/>
                <w:sz w:val="26"/>
                <w:szCs w:val="26"/>
              </w:rPr>
              <w:t>Complementarity</w:t>
            </w:r>
            <w:r w:rsidR="004F3AD5">
              <w:rPr>
                <w:rFonts w:ascii="Calibri" w:hAnsi="Calibri"/>
                <w:b/>
                <w:color w:val="1F497D"/>
                <w:sz w:val="26"/>
                <w:szCs w:val="26"/>
              </w:rPr>
              <w:t>/Notes</w:t>
            </w:r>
          </w:p>
        </w:tc>
        <w:tc>
          <w:tcPr>
            <w:tcW w:w="3544" w:type="dxa"/>
          </w:tcPr>
          <w:p w14:paraId="71F9C209" w14:textId="7A6FD084" w:rsidR="003B44F5" w:rsidRPr="00783305" w:rsidRDefault="003B44F5" w:rsidP="00321497">
            <w:pPr>
              <w:rPr>
                <w:rFonts w:ascii="Calibri" w:hAnsi="Calibri"/>
                <w:b/>
                <w:color w:val="1F497D"/>
                <w:sz w:val="26"/>
                <w:szCs w:val="26"/>
              </w:rPr>
            </w:pPr>
            <w:r w:rsidRPr="00783305">
              <w:rPr>
                <w:rFonts w:ascii="Calibri" w:hAnsi="Calibri"/>
                <w:b/>
                <w:color w:val="1F497D"/>
                <w:sz w:val="26"/>
                <w:szCs w:val="26"/>
              </w:rPr>
              <w:t>Timeframe</w:t>
            </w:r>
          </w:p>
        </w:tc>
      </w:tr>
      <w:tr w:rsidR="00380800" w:rsidRPr="00783305" w14:paraId="43D4F7E3" w14:textId="77777777" w:rsidTr="00377E59">
        <w:tc>
          <w:tcPr>
            <w:tcW w:w="4666" w:type="dxa"/>
          </w:tcPr>
          <w:p w14:paraId="58C4B9FE" w14:textId="781B5177" w:rsidR="00380800" w:rsidRDefault="00380800" w:rsidP="00A022FC">
            <w:pPr>
              <w:pStyle w:val="ListParagraph"/>
              <w:numPr>
                <w:ilvl w:val="0"/>
                <w:numId w:val="11"/>
              </w:numPr>
              <w:rPr>
                <w:rFonts w:ascii="Calibri" w:hAnsi="Calibri"/>
              </w:rPr>
            </w:pPr>
            <w:r w:rsidRPr="00A353A9">
              <w:rPr>
                <w:rFonts w:ascii="Calibri" w:hAnsi="Calibri"/>
              </w:rPr>
              <w:t>Develop materials, key messages and guidelines for using IATI for humanitarian reporting, including clarity on differences between IATI, FTS and other reporting systems</w:t>
            </w:r>
            <w:r w:rsidR="007E35B7">
              <w:rPr>
                <w:rFonts w:ascii="Calibri" w:hAnsi="Calibri"/>
              </w:rPr>
              <w:t xml:space="preserve">. </w:t>
            </w:r>
            <w:r w:rsidR="007E35B7" w:rsidRPr="004C2C7C">
              <w:rPr>
                <w:rFonts w:ascii="Calibri" w:hAnsi="Calibri"/>
                <w:b/>
              </w:rPr>
              <w:t>[GB]</w:t>
            </w:r>
          </w:p>
        </w:tc>
        <w:tc>
          <w:tcPr>
            <w:tcW w:w="4667" w:type="dxa"/>
          </w:tcPr>
          <w:p w14:paraId="71A0AF93" w14:textId="77777777" w:rsidR="00380800" w:rsidRDefault="00380800" w:rsidP="00380800">
            <w:pPr>
              <w:rPr>
                <w:rFonts w:ascii="Calibri" w:hAnsi="Calibri"/>
              </w:rPr>
            </w:pPr>
            <w:r w:rsidRPr="00B253CB">
              <w:rPr>
                <w:rFonts w:ascii="Calibri" w:hAnsi="Calibri"/>
                <w:b/>
              </w:rPr>
              <w:t>Lead:</w:t>
            </w:r>
            <w:r>
              <w:rPr>
                <w:rFonts w:ascii="Calibri" w:hAnsi="Calibri"/>
              </w:rPr>
              <w:t xml:space="preserve"> DI, OCHA-FTS</w:t>
            </w:r>
          </w:p>
          <w:p w14:paraId="0E202256" w14:textId="3C7C83FA" w:rsidR="00380800" w:rsidRPr="0080338D" w:rsidRDefault="00380800" w:rsidP="00380800">
            <w:pPr>
              <w:rPr>
                <w:rFonts w:ascii="Calibri" w:hAnsi="Calibri"/>
                <w:b/>
              </w:rPr>
            </w:pPr>
            <w:r w:rsidRPr="00B253CB">
              <w:rPr>
                <w:rFonts w:ascii="Calibri" w:hAnsi="Calibri"/>
                <w:b/>
              </w:rPr>
              <w:t>Support:</w:t>
            </w:r>
            <w:r>
              <w:rPr>
                <w:rFonts w:ascii="Calibri" w:hAnsi="Calibri"/>
              </w:rPr>
              <w:t xml:space="preserve"> UNICEF +1 CSO (tbc) + 1 Donor (tbc)</w:t>
            </w:r>
          </w:p>
        </w:tc>
        <w:tc>
          <w:tcPr>
            <w:tcW w:w="2682" w:type="dxa"/>
          </w:tcPr>
          <w:p w14:paraId="01D207A6" w14:textId="77777777" w:rsidR="00380800" w:rsidRDefault="00380800" w:rsidP="00321497">
            <w:pPr>
              <w:rPr>
                <w:rFonts w:ascii="Calibri" w:hAnsi="Calibri"/>
              </w:rPr>
            </w:pPr>
          </w:p>
        </w:tc>
        <w:tc>
          <w:tcPr>
            <w:tcW w:w="3544" w:type="dxa"/>
          </w:tcPr>
          <w:p w14:paraId="717C2CF0" w14:textId="1F944E6E" w:rsidR="00380800" w:rsidRPr="00783305" w:rsidRDefault="00900DE0" w:rsidP="00C073D3">
            <w:pPr>
              <w:rPr>
                <w:rFonts w:ascii="Calibri" w:hAnsi="Calibri"/>
              </w:rPr>
            </w:pPr>
            <w:r>
              <w:rPr>
                <w:rFonts w:ascii="Calibri" w:hAnsi="Calibri"/>
              </w:rPr>
              <w:t xml:space="preserve">2016 </w:t>
            </w:r>
            <w:r w:rsidR="00380800">
              <w:rPr>
                <w:rFonts w:ascii="Calibri" w:hAnsi="Calibri"/>
              </w:rPr>
              <w:t>Q4</w:t>
            </w:r>
          </w:p>
        </w:tc>
      </w:tr>
      <w:tr w:rsidR="003B44F5" w:rsidRPr="00783305" w14:paraId="50E06E02" w14:textId="77777777" w:rsidTr="00377E59">
        <w:tc>
          <w:tcPr>
            <w:tcW w:w="4666" w:type="dxa"/>
          </w:tcPr>
          <w:p w14:paraId="115E0792" w14:textId="151CA330" w:rsidR="003B44F5" w:rsidRPr="00783305" w:rsidRDefault="00380800" w:rsidP="00377E59">
            <w:pPr>
              <w:pStyle w:val="ListParagraph"/>
              <w:numPr>
                <w:ilvl w:val="0"/>
                <w:numId w:val="11"/>
              </w:numPr>
              <w:rPr>
                <w:rFonts w:ascii="Calibri" w:hAnsi="Calibri"/>
              </w:rPr>
            </w:pPr>
            <w:r w:rsidRPr="00A353A9">
              <w:rPr>
                <w:rFonts w:ascii="Calibri" w:hAnsi="Calibri"/>
              </w:rPr>
              <w:t xml:space="preserve">Review and make recommendations on policy issues and challenges concerning humanitarian financial tracking in FTS, </w:t>
            </w:r>
            <w:r w:rsidR="00377E59" w:rsidRPr="00A353A9">
              <w:rPr>
                <w:rFonts w:ascii="Calibri" w:hAnsi="Calibri"/>
              </w:rPr>
              <w:t>including</w:t>
            </w:r>
            <w:r w:rsidR="00377E59">
              <w:rPr>
                <w:rFonts w:ascii="Calibri" w:hAnsi="Calibri"/>
              </w:rPr>
              <w:t xml:space="preserve"> </w:t>
            </w:r>
            <w:r w:rsidR="00377E59" w:rsidRPr="00A353A9">
              <w:rPr>
                <w:rFonts w:ascii="Calibri" w:hAnsi="Calibri"/>
              </w:rPr>
              <w:t>criteria</w:t>
            </w:r>
            <w:r w:rsidRPr="00A353A9">
              <w:rPr>
                <w:rFonts w:ascii="Calibri" w:hAnsi="Calibri"/>
              </w:rPr>
              <w:t xml:space="preserve"> for inclusion</w:t>
            </w:r>
            <w:r>
              <w:rPr>
                <w:rFonts w:ascii="Calibri" w:hAnsi="Calibri"/>
              </w:rPr>
              <w:t xml:space="preserve"> and developing a comprehensive</w:t>
            </w:r>
            <w:r w:rsidRPr="00635497">
              <w:rPr>
                <w:rFonts w:ascii="Calibri" w:hAnsi="Calibri"/>
              </w:rPr>
              <w:t xml:space="preserve"> </w:t>
            </w:r>
            <w:r>
              <w:rPr>
                <w:rFonts w:ascii="Calibri" w:hAnsi="Calibri"/>
              </w:rPr>
              <w:t>IASC policy on FTS reporting.</w:t>
            </w:r>
            <w:r w:rsidR="007E35B7">
              <w:rPr>
                <w:rFonts w:ascii="Calibri" w:hAnsi="Calibri"/>
              </w:rPr>
              <w:t xml:space="preserve"> </w:t>
            </w:r>
          </w:p>
        </w:tc>
        <w:tc>
          <w:tcPr>
            <w:tcW w:w="4667" w:type="dxa"/>
          </w:tcPr>
          <w:p w14:paraId="030C67A1" w14:textId="7C8478FE" w:rsidR="003B44F5" w:rsidRDefault="003B44F5" w:rsidP="00321497">
            <w:pPr>
              <w:rPr>
                <w:rFonts w:ascii="Calibri" w:hAnsi="Calibri"/>
              </w:rPr>
            </w:pPr>
            <w:r w:rsidRPr="0080338D">
              <w:rPr>
                <w:rFonts w:ascii="Calibri" w:hAnsi="Calibri"/>
                <w:b/>
              </w:rPr>
              <w:t>Lead:</w:t>
            </w:r>
            <w:r>
              <w:rPr>
                <w:rFonts w:ascii="Calibri" w:hAnsi="Calibri"/>
              </w:rPr>
              <w:t xml:space="preserve"> OCHA-FTS</w:t>
            </w:r>
          </w:p>
          <w:p w14:paraId="5F55140D" w14:textId="5FBE8475" w:rsidR="003B44F5" w:rsidRPr="00783305" w:rsidRDefault="003B44F5" w:rsidP="008016B1">
            <w:pPr>
              <w:rPr>
                <w:rFonts w:ascii="Calibri" w:hAnsi="Calibri"/>
              </w:rPr>
            </w:pPr>
            <w:r w:rsidRPr="00BC3FB9">
              <w:rPr>
                <w:rFonts w:ascii="Calibri" w:hAnsi="Calibri"/>
                <w:b/>
              </w:rPr>
              <w:t>Support</w:t>
            </w:r>
            <w:r>
              <w:rPr>
                <w:rFonts w:ascii="Calibri" w:hAnsi="Calibri"/>
              </w:rPr>
              <w:t>: UNICEF, UNHCR</w:t>
            </w:r>
            <w:r w:rsidR="00235971">
              <w:rPr>
                <w:rFonts w:ascii="Calibri" w:hAnsi="Calibri"/>
              </w:rPr>
              <w:t>, WHO</w:t>
            </w:r>
          </w:p>
        </w:tc>
        <w:tc>
          <w:tcPr>
            <w:tcW w:w="2682" w:type="dxa"/>
          </w:tcPr>
          <w:p w14:paraId="3755763E" w14:textId="6250D04F" w:rsidR="003B44F5" w:rsidRPr="00783305" w:rsidRDefault="003B44F5" w:rsidP="00BC3FB9">
            <w:pPr>
              <w:rPr>
                <w:rFonts w:ascii="Calibri" w:hAnsi="Calibri"/>
              </w:rPr>
            </w:pPr>
          </w:p>
        </w:tc>
        <w:tc>
          <w:tcPr>
            <w:tcW w:w="3544" w:type="dxa"/>
          </w:tcPr>
          <w:p w14:paraId="64A60A27" w14:textId="17919360" w:rsidR="003B44F5" w:rsidRPr="00783305" w:rsidRDefault="00900DE0" w:rsidP="00321497">
            <w:pPr>
              <w:rPr>
                <w:rFonts w:ascii="Calibri" w:hAnsi="Calibri"/>
              </w:rPr>
            </w:pPr>
            <w:r>
              <w:rPr>
                <w:rFonts w:ascii="Calibri" w:hAnsi="Calibri"/>
              </w:rPr>
              <w:t xml:space="preserve">2016 </w:t>
            </w:r>
            <w:r w:rsidR="003B44F5" w:rsidRPr="00783305">
              <w:rPr>
                <w:rFonts w:ascii="Calibri" w:hAnsi="Calibri"/>
              </w:rPr>
              <w:t>Q4</w:t>
            </w:r>
            <w:r w:rsidR="003B44F5">
              <w:rPr>
                <w:rFonts w:ascii="Calibri" w:hAnsi="Calibri"/>
              </w:rPr>
              <w:t xml:space="preserve"> </w:t>
            </w:r>
          </w:p>
        </w:tc>
      </w:tr>
      <w:tr w:rsidR="003B44F5" w:rsidRPr="00783305" w14:paraId="669AF6BB" w14:textId="77777777" w:rsidTr="00377E59">
        <w:tc>
          <w:tcPr>
            <w:tcW w:w="4666" w:type="dxa"/>
          </w:tcPr>
          <w:p w14:paraId="68275209" w14:textId="173AE423" w:rsidR="003B44F5" w:rsidRPr="00783305" w:rsidRDefault="003B44F5" w:rsidP="003E7EAA">
            <w:pPr>
              <w:pStyle w:val="ListParagraph"/>
              <w:numPr>
                <w:ilvl w:val="0"/>
                <w:numId w:val="11"/>
              </w:numPr>
              <w:rPr>
                <w:rFonts w:ascii="Calibri" w:hAnsi="Calibri"/>
              </w:rPr>
            </w:pPr>
            <w:r>
              <w:rPr>
                <w:rFonts w:ascii="Calibri" w:hAnsi="Calibri"/>
              </w:rPr>
              <w:t xml:space="preserve">Commission a study on creating a global reporting platform </w:t>
            </w:r>
            <w:r w:rsidRPr="004C2C7C">
              <w:rPr>
                <w:rFonts w:ascii="Calibri" w:hAnsi="Calibri"/>
                <w:b/>
              </w:rPr>
              <w:t>[GB]</w:t>
            </w:r>
          </w:p>
        </w:tc>
        <w:tc>
          <w:tcPr>
            <w:tcW w:w="4667" w:type="dxa"/>
          </w:tcPr>
          <w:p w14:paraId="49187153" w14:textId="55DCDF5C" w:rsidR="003B44F5" w:rsidRDefault="003B44F5" w:rsidP="00321497">
            <w:pPr>
              <w:rPr>
                <w:rFonts w:ascii="Calibri" w:hAnsi="Calibri"/>
              </w:rPr>
            </w:pPr>
            <w:r w:rsidRPr="000A3D91">
              <w:rPr>
                <w:rFonts w:ascii="Calibri" w:hAnsi="Calibri"/>
                <w:b/>
              </w:rPr>
              <w:t>Lead</w:t>
            </w:r>
            <w:r>
              <w:rPr>
                <w:rFonts w:ascii="Calibri" w:hAnsi="Calibri"/>
              </w:rPr>
              <w:t xml:space="preserve">: </w:t>
            </w:r>
            <w:r w:rsidRPr="00783305">
              <w:rPr>
                <w:rFonts w:ascii="Calibri" w:hAnsi="Calibri"/>
              </w:rPr>
              <w:t>UNDP</w:t>
            </w:r>
            <w:r w:rsidRPr="007A701F" w:rsidDel="007A701F">
              <w:rPr>
                <w:rFonts w:ascii="Calibri" w:hAnsi="Calibri"/>
                <w:highlight w:val="yellow"/>
              </w:rPr>
              <w:t xml:space="preserve"> </w:t>
            </w:r>
          </w:p>
          <w:p w14:paraId="0A9EC588" w14:textId="797D55F3" w:rsidR="003B44F5" w:rsidRPr="00783305" w:rsidRDefault="003B44F5" w:rsidP="00602E64">
            <w:pPr>
              <w:rPr>
                <w:rFonts w:ascii="Calibri" w:hAnsi="Calibri"/>
              </w:rPr>
            </w:pPr>
            <w:r w:rsidRPr="00BC3FB9">
              <w:rPr>
                <w:rFonts w:ascii="Calibri" w:hAnsi="Calibri"/>
                <w:b/>
              </w:rPr>
              <w:t>Support</w:t>
            </w:r>
            <w:r>
              <w:rPr>
                <w:rFonts w:ascii="Calibri" w:hAnsi="Calibri"/>
              </w:rPr>
              <w:t>: DI</w:t>
            </w:r>
          </w:p>
        </w:tc>
        <w:tc>
          <w:tcPr>
            <w:tcW w:w="2682" w:type="dxa"/>
          </w:tcPr>
          <w:p w14:paraId="080CB2A0" w14:textId="73AC985C" w:rsidR="003B44F5" w:rsidRPr="00783305" w:rsidRDefault="003B44F5" w:rsidP="00321497">
            <w:pPr>
              <w:rPr>
                <w:rFonts w:ascii="Calibri" w:hAnsi="Calibri"/>
              </w:rPr>
            </w:pPr>
            <w:r>
              <w:rPr>
                <w:rFonts w:ascii="Calibri" w:hAnsi="Calibri"/>
              </w:rPr>
              <w:t>In support of HLP recommendation of a global platform to capture a more complete funding picture (expa</w:t>
            </w:r>
            <w:r w:rsidR="005E62D7">
              <w:rPr>
                <w:rFonts w:ascii="Calibri" w:hAnsi="Calibri"/>
              </w:rPr>
              <w:t>nding beyond FTS to capture development</w:t>
            </w:r>
            <w:r>
              <w:rPr>
                <w:rFonts w:ascii="Calibri" w:hAnsi="Calibri"/>
              </w:rPr>
              <w:t xml:space="preserve"> and resilience funding, remittances etc.)</w:t>
            </w:r>
          </w:p>
        </w:tc>
        <w:tc>
          <w:tcPr>
            <w:tcW w:w="3544" w:type="dxa"/>
          </w:tcPr>
          <w:p w14:paraId="6A2D4AC9" w14:textId="685610FC" w:rsidR="003B44F5" w:rsidRPr="00783305" w:rsidRDefault="00241A50" w:rsidP="00380800">
            <w:pPr>
              <w:rPr>
                <w:rFonts w:ascii="Calibri" w:hAnsi="Calibri"/>
              </w:rPr>
            </w:pPr>
            <w:r w:rsidRPr="00900DE0">
              <w:rPr>
                <w:rFonts w:asciiTheme="majorHAnsi" w:hAnsiTheme="majorHAnsi"/>
              </w:rPr>
              <w:t>On hold,</w:t>
            </w:r>
            <w:r>
              <w:rPr>
                <w:rFonts w:asciiTheme="majorHAnsi" w:hAnsiTheme="majorHAnsi"/>
              </w:rPr>
              <w:t xml:space="preserve"> </w:t>
            </w:r>
            <w:r w:rsidR="00380800">
              <w:rPr>
                <w:rFonts w:asciiTheme="majorHAnsi" w:hAnsiTheme="majorHAnsi"/>
              </w:rPr>
              <w:t xml:space="preserve">until the beginning of 2017, pending the finalization of the GB process. The TT will meanwhile ensure coherence and coordination with other relevant initiatives in preparation for possible work at the beginning of next year.   </w:t>
            </w:r>
          </w:p>
        </w:tc>
      </w:tr>
    </w:tbl>
    <w:p w14:paraId="3F319820" w14:textId="77777777" w:rsidR="00495297" w:rsidRDefault="00495297">
      <w:pPr>
        <w:rPr>
          <w:rFonts w:asciiTheme="majorHAnsi" w:hAnsiTheme="majorHAnsi"/>
        </w:rPr>
      </w:pPr>
    </w:p>
    <w:p w14:paraId="17136C4C" w14:textId="2452F17A" w:rsidR="009C1678" w:rsidRDefault="009C1678" w:rsidP="00900DE0">
      <w:pPr>
        <w:rPr>
          <w:rFonts w:asciiTheme="majorHAnsi" w:hAnsiTheme="majorHAnsi"/>
        </w:rPr>
      </w:pPr>
    </w:p>
    <w:sectPr w:rsidR="009C1678" w:rsidSect="00497E19">
      <w:headerReference w:type="default" r:id="rId9"/>
      <w:pgSz w:w="16837" w:h="11905"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481D" w14:textId="77777777" w:rsidR="00402BB8" w:rsidRDefault="00402BB8" w:rsidP="00251F05">
      <w:r>
        <w:separator/>
      </w:r>
    </w:p>
  </w:endnote>
  <w:endnote w:type="continuationSeparator" w:id="0">
    <w:p w14:paraId="794DBA00" w14:textId="77777777" w:rsidR="00402BB8" w:rsidRDefault="00402BB8" w:rsidP="002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21B01" w14:textId="77777777" w:rsidR="00402BB8" w:rsidRDefault="00402BB8" w:rsidP="00251F05">
      <w:r>
        <w:separator/>
      </w:r>
    </w:p>
  </w:footnote>
  <w:footnote w:type="continuationSeparator" w:id="0">
    <w:p w14:paraId="4088FC38" w14:textId="77777777" w:rsidR="00402BB8" w:rsidRDefault="00402BB8" w:rsidP="0025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913A" w14:textId="77777777" w:rsidR="008E3361" w:rsidRDefault="008E3361" w:rsidP="00251F05">
    <w:pPr>
      <w:pStyle w:val="Header"/>
      <w:ind w:left="10800"/>
    </w:pPr>
    <w:r>
      <w:rPr>
        <w:noProof/>
        <w:lang w:eastAsia="zh-CN"/>
      </w:rPr>
      <w:drawing>
        <wp:inline distT="0" distB="0" distL="0" distR="0" wp14:anchorId="3DB4EB1B" wp14:editId="60AC482B">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6C970FF8" w14:textId="77777777" w:rsidR="008E3361" w:rsidRDefault="008E3361" w:rsidP="00251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5562"/>
    <w:multiLevelType w:val="hybridMultilevel"/>
    <w:tmpl w:val="98EE494C"/>
    <w:lvl w:ilvl="0" w:tplc="D85E2B54">
      <w:start w:val="3"/>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13773"/>
    <w:multiLevelType w:val="hybridMultilevel"/>
    <w:tmpl w:val="DA8A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30B7C"/>
    <w:multiLevelType w:val="hybridMultilevel"/>
    <w:tmpl w:val="7DCA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32D74"/>
    <w:multiLevelType w:val="hybridMultilevel"/>
    <w:tmpl w:val="39945D1A"/>
    <w:lvl w:ilvl="0" w:tplc="2F5C3CDC">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D7E67"/>
    <w:multiLevelType w:val="hybridMultilevel"/>
    <w:tmpl w:val="F586A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664C8D"/>
    <w:multiLevelType w:val="hybridMultilevel"/>
    <w:tmpl w:val="E4F2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1F182A"/>
    <w:multiLevelType w:val="hybridMultilevel"/>
    <w:tmpl w:val="A62C6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846C1B"/>
    <w:multiLevelType w:val="hybridMultilevel"/>
    <w:tmpl w:val="28220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A6FBF"/>
    <w:multiLevelType w:val="hybridMultilevel"/>
    <w:tmpl w:val="A7C6F186"/>
    <w:lvl w:ilvl="0" w:tplc="D98C80C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8954EF"/>
    <w:multiLevelType w:val="hybridMultilevel"/>
    <w:tmpl w:val="B9C2FB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C33AEC"/>
    <w:multiLevelType w:val="hybridMultilevel"/>
    <w:tmpl w:val="A7C6F186"/>
    <w:lvl w:ilvl="0" w:tplc="D98C8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A948C3"/>
    <w:multiLevelType w:val="hybridMultilevel"/>
    <w:tmpl w:val="01C422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10"/>
  </w:num>
  <w:num w:numId="5">
    <w:abstractNumId w:val="3"/>
  </w:num>
  <w:num w:numId="6">
    <w:abstractNumId w:val="0"/>
  </w:num>
  <w:num w:numId="7">
    <w:abstractNumId w:val="1"/>
  </w:num>
  <w:num w:numId="8">
    <w:abstractNumId w:val="2"/>
  </w:num>
  <w:num w:numId="9">
    <w:abstractNumId w:val="11"/>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2MjE1M7a0NDWzMDBW0lEKTi0uzszPAykwrAUAH0TuFywAAAA="/>
  </w:docVars>
  <w:rsids>
    <w:rsidRoot w:val="00251F05"/>
    <w:rsid w:val="00056A56"/>
    <w:rsid w:val="00084112"/>
    <w:rsid w:val="00090F5E"/>
    <w:rsid w:val="000A3D91"/>
    <w:rsid w:val="000A6930"/>
    <w:rsid w:val="000C3F09"/>
    <w:rsid w:val="000D42BA"/>
    <w:rsid w:val="000E2EEA"/>
    <w:rsid w:val="00141276"/>
    <w:rsid w:val="001854FA"/>
    <w:rsid w:val="00190AFE"/>
    <w:rsid w:val="001B1197"/>
    <w:rsid w:val="001C1BBB"/>
    <w:rsid w:val="0021365E"/>
    <w:rsid w:val="0021595A"/>
    <w:rsid w:val="00215A97"/>
    <w:rsid w:val="002347B4"/>
    <w:rsid w:val="00235971"/>
    <w:rsid w:val="00241A50"/>
    <w:rsid w:val="002447CC"/>
    <w:rsid w:val="00251F05"/>
    <w:rsid w:val="0029366A"/>
    <w:rsid w:val="00295892"/>
    <w:rsid w:val="002B4DB6"/>
    <w:rsid w:val="002D3F0F"/>
    <w:rsid w:val="002E7243"/>
    <w:rsid w:val="002F06E4"/>
    <w:rsid w:val="00321497"/>
    <w:rsid w:val="00324341"/>
    <w:rsid w:val="003611F4"/>
    <w:rsid w:val="0037072E"/>
    <w:rsid w:val="00373A26"/>
    <w:rsid w:val="00377E59"/>
    <w:rsid w:val="00380800"/>
    <w:rsid w:val="003B44F5"/>
    <w:rsid w:val="003B64C6"/>
    <w:rsid w:val="003B6ED9"/>
    <w:rsid w:val="003D481A"/>
    <w:rsid w:val="003D6335"/>
    <w:rsid w:val="003E7EAA"/>
    <w:rsid w:val="003F0EFD"/>
    <w:rsid w:val="003F10DA"/>
    <w:rsid w:val="003F1748"/>
    <w:rsid w:val="003F581C"/>
    <w:rsid w:val="00402BB8"/>
    <w:rsid w:val="00425614"/>
    <w:rsid w:val="00432C73"/>
    <w:rsid w:val="004423B5"/>
    <w:rsid w:val="00452773"/>
    <w:rsid w:val="00486098"/>
    <w:rsid w:val="00495297"/>
    <w:rsid w:val="00497E19"/>
    <w:rsid w:val="004B5E64"/>
    <w:rsid w:val="004C2C7C"/>
    <w:rsid w:val="004E7EA2"/>
    <w:rsid w:val="004F3AD5"/>
    <w:rsid w:val="004F3FA8"/>
    <w:rsid w:val="004F57C3"/>
    <w:rsid w:val="00522B3E"/>
    <w:rsid w:val="00534D15"/>
    <w:rsid w:val="0053639E"/>
    <w:rsid w:val="00560926"/>
    <w:rsid w:val="0057477A"/>
    <w:rsid w:val="005A368C"/>
    <w:rsid w:val="005D039B"/>
    <w:rsid w:val="005E62D7"/>
    <w:rsid w:val="00602E64"/>
    <w:rsid w:val="00606269"/>
    <w:rsid w:val="00624B64"/>
    <w:rsid w:val="00631C81"/>
    <w:rsid w:val="00634A82"/>
    <w:rsid w:val="00660703"/>
    <w:rsid w:val="00663BC6"/>
    <w:rsid w:val="0069276B"/>
    <w:rsid w:val="00702560"/>
    <w:rsid w:val="00720BB2"/>
    <w:rsid w:val="00724440"/>
    <w:rsid w:val="0074616F"/>
    <w:rsid w:val="0077739E"/>
    <w:rsid w:val="007A701F"/>
    <w:rsid w:val="007B1B04"/>
    <w:rsid w:val="007B6804"/>
    <w:rsid w:val="007C4E2C"/>
    <w:rsid w:val="007E19C9"/>
    <w:rsid w:val="007E2B8A"/>
    <w:rsid w:val="007E35B7"/>
    <w:rsid w:val="008016B1"/>
    <w:rsid w:val="0080338D"/>
    <w:rsid w:val="0081755A"/>
    <w:rsid w:val="008216F8"/>
    <w:rsid w:val="00852C41"/>
    <w:rsid w:val="00864057"/>
    <w:rsid w:val="0088054F"/>
    <w:rsid w:val="00883980"/>
    <w:rsid w:val="008C4E1D"/>
    <w:rsid w:val="008E08EB"/>
    <w:rsid w:val="008E3361"/>
    <w:rsid w:val="008F6AC6"/>
    <w:rsid w:val="00900DE0"/>
    <w:rsid w:val="00995B00"/>
    <w:rsid w:val="009C1678"/>
    <w:rsid w:val="009E0CA3"/>
    <w:rsid w:val="009E7FC6"/>
    <w:rsid w:val="00A022FC"/>
    <w:rsid w:val="00A05BB8"/>
    <w:rsid w:val="00A10D35"/>
    <w:rsid w:val="00A23895"/>
    <w:rsid w:val="00A34DFE"/>
    <w:rsid w:val="00A369F5"/>
    <w:rsid w:val="00A4145A"/>
    <w:rsid w:val="00A55113"/>
    <w:rsid w:val="00A57D99"/>
    <w:rsid w:val="00A62FAF"/>
    <w:rsid w:val="00A65196"/>
    <w:rsid w:val="00A67679"/>
    <w:rsid w:val="00A902BE"/>
    <w:rsid w:val="00A91BF1"/>
    <w:rsid w:val="00AC07D2"/>
    <w:rsid w:val="00AD3CF3"/>
    <w:rsid w:val="00AD44BB"/>
    <w:rsid w:val="00AE3457"/>
    <w:rsid w:val="00AE5E43"/>
    <w:rsid w:val="00AF5756"/>
    <w:rsid w:val="00B253CB"/>
    <w:rsid w:val="00B25FC3"/>
    <w:rsid w:val="00BB084D"/>
    <w:rsid w:val="00BC3FB9"/>
    <w:rsid w:val="00BC5D8D"/>
    <w:rsid w:val="00BE15E1"/>
    <w:rsid w:val="00BF5CE5"/>
    <w:rsid w:val="00C073D3"/>
    <w:rsid w:val="00C25EBD"/>
    <w:rsid w:val="00C27594"/>
    <w:rsid w:val="00C37D4C"/>
    <w:rsid w:val="00C8009B"/>
    <w:rsid w:val="00C84C8D"/>
    <w:rsid w:val="00CA31F7"/>
    <w:rsid w:val="00CD1DCA"/>
    <w:rsid w:val="00CF6F17"/>
    <w:rsid w:val="00D112CD"/>
    <w:rsid w:val="00D21AC7"/>
    <w:rsid w:val="00D32FE0"/>
    <w:rsid w:val="00D42CD0"/>
    <w:rsid w:val="00D500C6"/>
    <w:rsid w:val="00D72883"/>
    <w:rsid w:val="00D7700E"/>
    <w:rsid w:val="00DA1F79"/>
    <w:rsid w:val="00DC542B"/>
    <w:rsid w:val="00DC7296"/>
    <w:rsid w:val="00DD6F6D"/>
    <w:rsid w:val="00DF15DC"/>
    <w:rsid w:val="00DF1E30"/>
    <w:rsid w:val="00DF43F3"/>
    <w:rsid w:val="00E060ED"/>
    <w:rsid w:val="00E10F5B"/>
    <w:rsid w:val="00E15022"/>
    <w:rsid w:val="00E16154"/>
    <w:rsid w:val="00E40464"/>
    <w:rsid w:val="00E97BD7"/>
    <w:rsid w:val="00EB48E6"/>
    <w:rsid w:val="00EC2FF7"/>
    <w:rsid w:val="00EE229D"/>
    <w:rsid w:val="00EE3FFC"/>
    <w:rsid w:val="00EF5826"/>
    <w:rsid w:val="00F071E0"/>
    <w:rsid w:val="00F32A7F"/>
    <w:rsid w:val="00F401BD"/>
    <w:rsid w:val="00F50B2B"/>
    <w:rsid w:val="00F57E6C"/>
    <w:rsid w:val="00F61242"/>
    <w:rsid w:val="00F718BA"/>
    <w:rsid w:val="00FB4547"/>
    <w:rsid w:val="00FB5B7A"/>
    <w:rsid w:val="00FB7CFE"/>
    <w:rsid w:val="00FE2DF6"/>
    <w:rsid w:val="00FE4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8C7213"/>
  <w15:docId w15:val="{E2108C38-EADA-4FF0-8D6E-90648666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F05"/>
    <w:pPr>
      <w:tabs>
        <w:tab w:val="center" w:pos="4320"/>
        <w:tab w:val="right" w:pos="8640"/>
      </w:tabs>
    </w:pPr>
  </w:style>
  <w:style w:type="character" w:customStyle="1" w:styleId="HeaderChar">
    <w:name w:val="Header Char"/>
    <w:basedOn w:val="DefaultParagraphFont"/>
    <w:link w:val="Header"/>
    <w:uiPriority w:val="99"/>
    <w:rsid w:val="00251F05"/>
    <w:rPr>
      <w:lang w:val="en-GB"/>
    </w:rPr>
  </w:style>
  <w:style w:type="paragraph" w:styleId="Footer">
    <w:name w:val="footer"/>
    <w:basedOn w:val="Normal"/>
    <w:link w:val="FooterChar"/>
    <w:uiPriority w:val="99"/>
    <w:unhideWhenUsed/>
    <w:rsid w:val="00251F05"/>
    <w:pPr>
      <w:tabs>
        <w:tab w:val="center" w:pos="4320"/>
        <w:tab w:val="right" w:pos="8640"/>
      </w:tabs>
    </w:pPr>
  </w:style>
  <w:style w:type="character" w:customStyle="1" w:styleId="FooterChar">
    <w:name w:val="Footer Char"/>
    <w:basedOn w:val="DefaultParagraphFont"/>
    <w:link w:val="Footer"/>
    <w:uiPriority w:val="99"/>
    <w:rsid w:val="00251F05"/>
    <w:rPr>
      <w:lang w:val="en-GB"/>
    </w:rPr>
  </w:style>
  <w:style w:type="paragraph" w:styleId="BalloonText">
    <w:name w:val="Balloon Text"/>
    <w:basedOn w:val="Normal"/>
    <w:link w:val="BalloonTextChar"/>
    <w:uiPriority w:val="99"/>
    <w:semiHidden/>
    <w:unhideWhenUsed/>
    <w:rsid w:val="00251F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F05"/>
    <w:rPr>
      <w:rFonts w:ascii="Lucida Grande" w:hAnsi="Lucida Grande"/>
      <w:sz w:val="18"/>
      <w:szCs w:val="18"/>
      <w:lang w:val="en-GB"/>
    </w:rPr>
  </w:style>
  <w:style w:type="table" w:styleId="TableGrid">
    <w:name w:val="Table Grid"/>
    <w:basedOn w:val="TableNormal"/>
    <w:uiPriority w:val="59"/>
    <w:rsid w:val="00251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594"/>
    <w:pPr>
      <w:ind w:left="720"/>
      <w:contextualSpacing/>
    </w:pPr>
  </w:style>
  <w:style w:type="paragraph" w:styleId="FootnoteText">
    <w:name w:val="footnote text"/>
    <w:basedOn w:val="Normal"/>
    <w:link w:val="FootnoteTextChar"/>
    <w:uiPriority w:val="99"/>
    <w:unhideWhenUsed/>
    <w:rsid w:val="00056A56"/>
  </w:style>
  <w:style w:type="character" w:customStyle="1" w:styleId="FootnoteTextChar">
    <w:name w:val="Footnote Text Char"/>
    <w:basedOn w:val="DefaultParagraphFont"/>
    <w:link w:val="FootnoteText"/>
    <w:uiPriority w:val="99"/>
    <w:rsid w:val="00056A56"/>
    <w:rPr>
      <w:lang w:val="en-GB"/>
    </w:rPr>
  </w:style>
  <w:style w:type="character" w:styleId="FootnoteReference">
    <w:name w:val="footnote reference"/>
    <w:basedOn w:val="DefaultParagraphFont"/>
    <w:uiPriority w:val="99"/>
    <w:unhideWhenUsed/>
    <w:rsid w:val="00056A56"/>
    <w:rPr>
      <w:vertAlign w:val="superscript"/>
    </w:rPr>
  </w:style>
  <w:style w:type="character" w:styleId="CommentReference">
    <w:name w:val="annotation reference"/>
    <w:basedOn w:val="DefaultParagraphFont"/>
    <w:uiPriority w:val="99"/>
    <w:semiHidden/>
    <w:unhideWhenUsed/>
    <w:rsid w:val="00056A56"/>
    <w:rPr>
      <w:sz w:val="18"/>
      <w:szCs w:val="18"/>
    </w:rPr>
  </w:style>
  <w:style w:type="paragraph" w:styleId="CommentText">
    <w:name w:val="annotation text"/>
    <w:basedOn w:val="Normal"/>
    <w:link w:val="CommentTextChar"/>
    <w:uiPriority w:val="99"/>
    <w:unhideWhenUsed/>
    <w:rsid w:val="00056A56"/>
  </w:style>
  <w:style w:type="character" w:customStyle="1" w:styleId="CommentTextChar">
    <w:name w:val="Comment Text Char"/>
    <w:basedOn w:val="DefaultParagraphFont"/>
    <w:link w:val="CommentText"/>
    <w:uiPriority w:val="99"/>
    <w:rsid w:val="00056A56"/>
    <w:rPr>
      <w:lang w:val="en-GB"/>
    </w:rPr>
  </w:style>
  <w:style w:type="paragraph" w:styleId="CommentSubject">
    <w:name w:val="annotation subject"/>
    <w:basedOn w:val="CommentText"/>
    <w:next w:val="CommentText"/>
    <w:link w:val="CommentSubjectChar"/>
    <w:uiPriority w:val="99"/>
    <w:semiHidden/>
    <w:unhideWhenUsed/>
    <w:rsid w:val="00056A56"/>
    <w:rPr>
      <w:b/>
      <w:bCs/>
      <w:sz w:val="20"/>
      <w:szCs w:val="20"/>
    </w:rPr>
  </w:style>
  <w:style w:type="character" w:customStyle="1" w:styleId="CommentSubjectChar">
    <w:name w:val="Comment Subject Char"/>
    <w:basedOn w:val="CommentTextChar"/>
    <w:link w:val="CommentSubject"/>
    <w:uiPriority w:val="99"/>
    <w:semiHidden/>
    <w:rsid w:val="00056A56"/>
    <w:rPr>
      <w:b/>
      <w:bCs/>
      <w:sz w:val="20"/>
      <w:szCs w:val="20"/>
      <w:lang w:val="en-GB"/>
    </w:rPr>
  </w:style>
  <w:style w:type="paragraph" w:styleId="Revision">
    <w:name w:val="Revision"/>
    <w:hidden/>
    <w:uiPriority w:val="99"/>
    <w:semiHidden/>
    <w:rsid w:val="00FB4547"/>
    <w:rPr>
      <w:lang w:val="en-GB"/>
    </w:rPr>
  </w:style>
  <w:style w:type="character" w:styleId="Hyperlink">
    <w:name w:val="Hyperlink"/>
    <w:basedOn w:val="DefaultParagraphFont"/>
    <w:uiPriority w:val="99"/>
    <w:unhideWhenUsed/>
    <w:rsid w:val="00A10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4027">
      <w:bodyDiv w:val="1"/>
      <w:marLeft w:val="0"/>
      <w:marRight w:val="0"/>
      <w:marTop w:val="0"/>
      <w:marBottom w:val="0"/>
      <w:divBdr>
        <w:top w:val="none" w:sz="0" w:space="0" w:color="auto"/>
        <w:left w:val="none" w:sz="0" w:space="0" w:color="auto"/>
        <w:bottom w:val="none" w:sz="0" w:space="0" w:color="auto"/>
        <w:right w:val="none" w:sz="0" w:space="0" w:color="auto"/>
      </w:divBdr>
    </w:div>
    <w:div w:id="1006052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an.Chaves\AppData\Local\Temp\notes78F222\LessPaperMoreAid.org" TargetMode="External"/><Relationship Id="rId3" Type="http://schemas.openxmlformats.org/officeDocument/2006/relationships/settings" Target="settings.xml"/><Relationship Id="rId7" Type="http://schemas.openxmlformats.org/officeDocument/2006/relationships/hyperlink" Target="http://www.alnap.org/resource/22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Mateusz BUCZEK</cp:lastModifiedBy>
  <cp:revision>16</cp:revision>
  <cp:lastPrinted>2016-10-03T10:52:00Z</cp:lastPrinted>
  <dcterms:created xsi:type="dcterms:W3CDTF">2016-07-18T14:18:00Z</dcterms:created>
  <dcterms:modified xsi:type="dcterms:W3CDTF">2016-10-03T14:11:00Z</dcterms:modified>
</cp:coreProperties>
</file>