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0B175" w14:textId="05393DEB" w:rsidR="00C46958" w:rsidRPr="00BA3BE1" w:rsidRDefault="0040663C" w:rsidP="0041554C">
      <w:pPr>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eastAsia="Times New Roman" w:cs="Times New Roman"/>
          <w:b/>
          <w:bCs/>
          <w:sz w:val="32"/>
          <w:szCs w:val="26"/>
          <w:lang w:eastAsia="en-GB"/>
        </w:rPr>
      </w:pPr>
      <w:r>
        <w:rPr>
          <w:rFonts w:eastAsia="Times New Roman" w:cs="Times New Roman"/>
          <w:b/>
          <w:bCs/>
          <w:color w:val="FFFFFF" w:themeColor="background1"/>
          <w:sz w:val="32"/>
          <w:szCs w:val="26"/>
          <w:lang w:eastAsia="en-GB"/>
        </w:rPr>
        <w:t xml:space="preserve">Draft IASC - Protection Policy Roll </w:t>
      </w:r>
      <w:r w:rsidR="000D0630">
        <w:rPr>
          <w:rFonts w:eastAsia="Times New Roman" w:cs="Times New Roman"/>
          <w:b/>
          <w:bCs/>
          <w:color w:val="FFFFFF" w:themeColor="background1"/>
          <w:sz w:val="32"/>
          <w:szCs w:val="26"/>
          <w:lang w:eastAsia="en-GB"/>
        </w:rPr>
        <w:t>O</w:t>
      </w:r>
      <w:r>
        <w:rPr>
          <w:rFonts w:eastAsia="Times New Roman" w:cs="Times New Roman"/>
          <w:b/>
          <w:bCs/>
          <w:color w:val="FFFFFF" w:themeColor="background1"/>
          <w:sz w:val="32"/>
          <w:szCs w:val="26"/>
          <w:lang w:eastAsia="en-GB"/>
        </w:rPr>
        <w:t xml:space="preserve">ut and </w:t>
      </w:r>
      <w:r w:rsidR="000D0630">
        <w:rPr>
          <w:rFonts w:eastAsia="Times New Roman" w:cs="Times New Roman"/>
          <w:b/>
          <w:bCs/>
          <w:color w:val="FFFFFF" w:themeColor="background1"/>
          <w:sz w:val="32"/>
          <w:szCs w:val="26"/>
          <w:lang w:eastAsia="en-GB"/>
        </w:rPr>
        <w:t>I</w:t>
      </w:r>
      <w:r>
        <w:rPr>
          <w:rFonts w:eastAsia="Times New Roman" w:cs="Times New Roman"/>
          <w:b/>
          <w:bCs/>
          <w:color w:val="FFFFFF" w:themeColor="background1"/>
          <w:sz w:val="32"/>
          <w:szCs w:val="26"/>
          <w:lang w:eastAsia="en-GB"/>
        </w:rPr>
        <w:t xml:space="preserve">mplementation </w:t>
      </w:r>
      <w:r w:rsidR="000D0630">
        <w:rPr>
          <w:rFonts w:eastAsia="Times New Roman" w:cs="Times New Roman"/>
          <w:b/>
          <w:bCs/>
          <w:color w:val="FFFFFF" w:themeColor="background1"/>
          <w:sz w:val="32"/>
          <w:szCs w:val="26"/>
          <w:lang w:eastAsia="en-GB"/>
        </w:rPr>
        <w:t>P</w:t>
      </w:r>
      <w:r>
        <w:rPr>
          <w:rFonts w:eastAsia="Times New Roman" w:cs="Times New Roman"/>
          <w:b/>
          <w:bCs/>
          <w:color w:val="FFFFFF" w:themeColor="background1"/>
          <w:sz w:val="32"/>
          <w:szCs w:val="26"/>
          <w:lang w:eastAsia="en-GB"/>
        </w:rPr>
        <w:t xml:space="preserve">lan </w:t>
      </w:r>
      <w:r w:rsidR="007A7CC8">
        <w:rPr>
          <w:rFonts w:eastAsia="Times New Roman" w:cs="Times New Roman"/>
          <w:b/>
          <w:bCs/>
          <w:color w:val="FFFFFF" w:themeColor="background1"/>
          <w:sz w:val="32"/>
          <w:szCs w:val="26"/>
          <w:lang w:eastAsia="en-GB"/>
        </w:rPr>
        <w:t>(DRAFT 26</w:t>
      </w:r>
      <w:r w:rsidR="00335E02">
        <w:rPr>
          <w:rFonts w:eastAsia="Times New Roman" w:cs="Times New Roman"/>
          <w:b/>
          <w:bCs/>
          <w:color w:val="FFFFFF" w:themeColor="background1"/>
          <w:sz w:val="32"/>
          <w:szCs w:val="26"/>
          <w:lang w:eastAsia="en-GB"/>
        </w:rPr>
        <w:t xml:space="preserve"> September) </w:t>
      </w:r>
    </w:p>
    <w:p w14:paraId="4324CFB6" w14:textId="77777777" w:rsidR="0015724F" w:rsidRDefault="0015724F" w:rsidP="009A6F93">
      <w:pPr>
        <w:spacing w:after="0"/>
        <w:rPr>
          <w:rFonts w:cs="Calibri,Bold"/>
          <w:b/>
          <w:bCs/>
          <w:sz w:val="24"/>
          <w:szCs w:val="24"/>
        </w:rPr>
      </w:pPr>
    </w:p>
    <w:p w14:paraId="795BDF98" w14:textId="549DCC98" w:rsidR="00335E02" w:rsidRPr="00335E02" w:rsidRDefault="00335E02" w:rsidP="00335E02">
      <w:pPr>
        <w:spacing w:after="0"/>
        <w:ind w:left="360" w:right="636"/>
        <w:rPr>
          <w:b/>
        </w:rPr>
      </w:pPr>
      <w:r w:rsidRPr="00335E02">
        <w:rPr>
          <w:b/>
        </w:rPr>
        <w:t xml:space="preserve">Notes: </w:t>
      </w:r>
    </w:p>
    <w:p w14:paraId="5FE68608" w14:textId="12C62FCC" w:rsidR="0017783E" w:rsidRDefault="00335E02" w:rsidP="0017783E">
      <w:pPr>
        <w:spacing w:after="0"/>
        <w:ind w:left="360" w:right="636"/>
      </w:pPr>
      <w:r>
        <w:t>This document contains an initial draft rollout and dissemination plan for the IASC Protection Policy for the consideration and advice of the IASC WG. This</w:t>
      </w:r>
      <w:r w:rsidR="0017783E">
        <w:t xml:space="preserve"> draft </w:t>
      </w:r>
      <w:r>
        <w:t>is intended to illustrate the most significant areas of work involved</w:t>
      </w:r>
      <w:r w:rsidR="0017783E">
        <w:t xml:space="preserve">, with an emphasis on the Task Team playing a facilitative role in relation to the key stakeholders and by maximising the roles of existing entities and mechanisms. The </w:t>
      </w:r>
      <w:r>
        <w:t xml:space="preserve">activities listed </w:t>
      </w:r>
      <w:r w:rsidR="0017783E">
        <w:t xml:space="preserve">herein </w:t>
      </w:r>
      <w:r>
        <w:t>are not exhaustive. If and when it is agreed that a Task Team should be formed, this plan will necessarily be fleshed out</w:t>
      </w:r>
      <w:r w:rsidR="0017783E" w:rsidRPr="0017783E">
        <w:t xml:space="preserve"> </w:t>
      </w:r>
      <w:r w:rsidR="0017783E">
        <w:t>further</w:t>
      </w:r>
      <w:r>
        <w:t xml:space="preserve">. </w:t>
      </w:r>
    </w:p>
    <w:p w14:paraId="7C95D24D" w14:textId="77777777" w:rsidR="00335E02" w:rsidRDefault="00335E02" w:rsidP="00335E02">
      <w:pPr>
        <w:spacing w:after="0"/>
        <w:ind w:left="360" w:right="636"/>
      </w:pPr>
    </w:p>
    <w:p w14:paraId="1AB1BDB3" w14:textId="6A4F3780" w:rsidR="00335E02" w:rsidRDefault="00335E02" w:rsidP="00335E02">
      <w:pPr>
        <w:spacing w:after="0"/>
        <w:ind w:left="360" w:right="636"/>
      </w:pPr>
      <w:r>
        <w:t xml:space="preserve">“Focal point” means </w:t>
      </w:r>
      <w:r w:rsidRPr="00F1651E">
        <w:rPr>
          <w:u w:val="single"/>
        </w:rPr>
        <w:t>the actor in the lead role to facilitate the implementation of the task</w:t>
      </w:r>
      <w:r w:rsidR="00AC11CB">
        <w:rPr>
          <w:u w:val="single"/>
        </w:rPr>
        <w:t xml:space="preserve">. </w:t>
      </w:r>
      <w:r w:rsidR="00AC11CB">
        <w:t>T</w:t>
      </w:r>
      <w:r>
        <w:t xml:space="preserve">he entity or actor listed in this column will therefore typically be limited to one entity or actor. </w:t>
      </w:r>
      <w:r w:rsidR="00C307B8">
        <w:t xml:space="preserve">It will not include an exhaustive list of every actor involved in the activity. </w:t>
      </w:r>
    </w:p>
    <w:p w14:paraId="2FC73AE5" w14:textId="77777777" w:rsidR="00335E02" w:rsidRDefault="00335E02" w:rsidP="00335E02">
      <w:pPr>
        <w:spacing w:after="0"/>
        <w:ind w:left="360" w:right="636"/>
      </w:pPr>
    </w:p>
    <w:p w14:paraId="092B25E2" w14:textId="692024B1" w:rsidR="00335E02" w:rsidRDefault="00335E02" w:rsidP="00335E02">
      <w:pPr>
        <w:spacing w:after="0"/>
        <w:ind w:left="360" w:right="636"/>
      </w:pPr>
      <w:r>
        <w:t xml:space="preserve">This document refers repeatedly to “Key Stakeholders”. These Key Stakeholders include those listed below. Throughout the course of implementation, each activity will necessarily involve the identification of the particular stakeholders concerned.  </w:t>
      </w:r>
    </w:p>
    <w:p w14:paraId="5758F58A" w14:textId="77777777" w:rsidR="00335E02" w:rsidRPr="002571F5" w:rsidRDefault="00335E02" w:rsidP="00335E02">
      <w:pPr>
        <w:pStyle w:val="ListParagraph"/>
        <w:numPr>
          <w:ilvl w:val="0"/>
          <w:numId w:val="19"/>
        </w:numPr>
        <w:spacing w:after="0" w:line="240" w:lineRule="auto"/>
        <w:ind w:left="900" w:right="636"/>
      </w:pPr>
      <w:r w:rsidRPr="002571F5">
        <w:t>All IASC Principals, including the Emergency Relief Coordinator, the High Commissioner for Refugees, the High Commissioner for Human Rights</w:t>
      </w:r>
    </w:p>
    <w:p w14:paraId="0AD08FF2" w14:textId="77777777" w:rsidR="00335E02" w:rsidRPr="002571F5" w:rsidRDefault="00335E02" w:rsidP="00335E02">
      <w:pPr>
        <w:pStyle w:val="ListParagraph"/>
        <w:numPr>
          <w:ilvl w:val="0"/>
          <w:numId w:val="19"/>
        </w:numPr>
        <w:spacing w:after="0" w:line="240" w:lineRule="auto"/>
        <w:ind w:left="900" w:right="636"/>
      </w:pPr>
      <w:r w:rsidRPr="002571F5">
        <w:t xml:space="preserve">All IASC members </w:t>
      </w:r>
    </w:p>
    <w:p w14:paraId="7E2EDE19" w14:textId="77777777" w:rsidR="00335E02" w:rsidRPr="002571F5" w:rsidRDefault="00335E02" w:rsidP="00335E02">
      <w:pPr>
        <w:pStyle w:val="ListParagraph"/>
        <w:numPr>
          <w:ilvl w:val="0"/>
          <w:numId w:val="19"/>
        </w:numPr>
        <w:spacing w:after="0" w:line="240" w:lineRule="auto"/>
        <w:ind w:left="900" w:right="636"/>
      </w:pPr>
      <w:r w:rsidRPr="002571F5">
        <w:t xml:space="preserve">Humanitarian Coordinators </w:t>
      </w:r>
    </w:p>
    <w:p w14:paraId="670B6535" w14:textId="77777777" w:rsidR="00335E02" w:rsidRPr="002571F5" w:rsidRDefault="00335E02" w:rsidP="00335E02">
      <w:pPr>
        <w:pStyle w:val="ListParagraph"/>
        <w:numPr>
          <w:ilvl w:val="0"/>
          <w:numId w:val="19"/>
        </w:numPr>
        <w:spacing w:after="0" w:line="240" w:lineRule="auto"/>
        <w:ind w:left="900" w:right="636"/>
      </w:pPr>
      <w:r w:rsidRPr="002571F5">
        <w:t xml:space="preserve">Humanitarian Country Teams </w:t>
      </w:r>
    </w:p>
    <w:p w14:paraId="3B369379" w14:textId="77777777" w:rsidR="00335E02" w:rsidRDefault="00335E02" w:rsidP="00335E02">
      <w:pPr>
        <w:pStyle w:val="ListParagraph"/>
        <w:numPr>
          <w:ilvl w:val="0"/>
          <w:numId w:val="19"/>
        </w:numPr>
        <w:spacing w:after="0" w:line="240" w:lineRule="auto"/>
        <w:ind w:left="900" w:right="636"/>
      </w:pPr>
      <w:r w:rsidRPr="002571F5">
        <w:t>Emergency Directors Group</w:t>
      </w:r>
    </w:p>
    <w:p w14:paraId="37C44E0B" w14:textId="77777777" w:rsidR="00335E02" w:rsidRPr="002571F5" w:rsidRDefault="00335E02" w:rsidP="00335E02">
      <w:pPr>
        <w:pStyle w:val="ListParagraph"/>
        <w:numPr>
          <w:ilvl w:val="0"/>
          <w:numId w:val="19"/>
        </w:numPr>
        <w:spacing w:after="0" w:line="240" w:lineRule="auto"/>
        <w:ind w:left="900" w:right="636"/>
      </w:pPr>
      <w:r w:rsidRPr="002571F5">
        <w:t xml:space="preserve">STAIT  </w:t>
      </w:r>
    </w:p>
    <w:p w14:paraId="00F2C19C" w14:textId="77777777" w:rsidR="00335E02" w:rsidRPr="002571F5" w:rsidRDefault="00335E02" w:rsidP="00335E02">
      <w:pPr>
        <w:pStyle w:val="ListParagraph"/>
        <w:numPr>
          <w:ilvl w:val="0"/>
          <w:numId w:val="19"/>
        </w:numPr>
        <w:spacing w:after="0" w:line="240" w:lineRule="auto"/>
        <w:ind w:left="900" w:right="636"/>
      </w:pPr>
      <w:r w:rsidRPr="002571F5">
        <w:t xml:space="preserve">OCHA Humanitarian Leadership </w:t>
      </w:r>
      <w:r>
        <w:t>Strengthening</w:t>
      </w:r>
      <w:r w:rsidRPr="002571F5">
        <w:t xml:space="preserve"> Unit (HLSU) </w:t>
      </w:r>
    </w:p>
    <w:p w14:paraId="7BFA2754" w14:textId="77777777" w:rsidR="00335E02" w:rsidRPr="002571F5" w:rsidRDefault="00335E02" w:rsidP="00335E02">
      <w:pPr>
        <w:pStyle w:val="ListParagraph"/>
        <w:numPr>
          <w:ilvl w:val="0"/>
          <w:numId w:val="19"/>
        </w:numPr>
        <w:spacing w:after="0" w:line="240" w:lineRule="auto"/>
        <w:ind w:left="900" w:right="636"/>
      </w:pPr>
      <w:r w:rsidRPr="002571F5">
        <w:t xml:space="preserve">Global Protection Cluster and field level protection clusters </w:t>
      </w:r>
    </w:p>
    <w:p w14:paraId="46C3C16B" w14:textId="77777777" w:rsidR="00335E02" w:rsidRDefault="00335E02" w:rsidP="00335E02">
      <w:pPr>
        <w:pStyle w:val="ListParagraph"/>
        <w:numPr>
          <w:ilvl w:val="0"/>
          <w:numId w:val="19"/>
        </w:numPr>
        <w:spacing w:after="0" w:line="240" w:lineRule="auto"/>
        <w:ind w:left="900" w:right="636"/>
      </w:pPr>
      <w:r w:rsidRPr="002571F5">
        <w:t xml:space="preserve">All Global Cluster Coordinators and field level cluster coordinators </w:t>
      </w:r>
    </w:p>
    <w:p w14:paraId="5EE00DA5" w14:textId="77777777" w:rsidR="00335E02" w:rsidRPr="002571F5" w:rsidRDefault="00335E02" w:rsidP="00335E02">
      <w:pPr>
        <w:pStyle w:val="ListParagraph"/>
        <w:numPr>
          <w:ilvl w:val="0"/>
          <w:numId w:val="19"/>
        </w:numPr>
        <w:spacing w:after="0" w:line="240" w:lineRule="auto"/>
        <w:ind w:left="900" w:right="636"/>
      </w:pPr>
      <w:r>
        <w:t xml:space="preserve">Inter-Cluster Coordination Group </w:t>
      </w:r>
    </w:p>
    <w:p w14:paraId="547862BC" w14:textId="77777777" w:rsidR="00335E02" w:rsidRDefault="00335E02" w:rsidP="00335E02">
      <w:pPr>
        <w:pStyle w:val="ListParagraph"/>
        <w:numPr>
          <w:ilvl w:val="0"/>
          <w:numId w:val="19"/>
        </w:numPr>
        <w:spacing w:after="0" w:line="240" w:lineRule="auto"/>
        <w:ind w:left="900" w:right="636"/>
      </w:pPr>
      <w:r>
        <w:t xml:space="preserve">International NGOs </w:t>
      </w:r>
    </w:p>
    <w:p w14:paraId="2970A070" w14:textId="77777777" w:rsidR="00335E02" w:rsidRPr="002571F5" w:rsidRDefault="00335E02" w:rsidP="00335E02">
      <w:pPr>
        <w:pStyle w:val="ListParagraph"/>
        <w:numPr>
          <w:ilvl w:val="0"/>
          <w:numId w:val="19"/>
        </w:numPr>
        <w:spacing w:after="0" w:line="240" w:lineRule="auto"/>
        <w:ind w:left="900" w:right="636"/>
      </w:pPr>
      <w:r w:rsidRPr="002571F5">
        <w:t>National NGO Consortia</w:t>
      </w:r>
    </w:p>
    <w:p w14:paraId="60C7AFDE" w14:textId="77777777" w:rsidR="00335E02" w:rsidRDefault="00335E02" w:rsidP="00335E02">
      <w:pPr>
        <w:pStyle w:val="ListParagraph"/>
        <w:numPr>
          <w:ilvl w:val="0"/>
          <w:numId w:val="19"/>
        </w:numPr>
        <w:spacing w:after="0" w:line="240" w:lineRule="auto"/>
        <w:ind w:left="900" w:right="636"/>
      </w:pPr>
      <w:r>
        <w:t>National and local NGOs</w:t>
      </w:r>
    </w:p>
    <w:p w14:paraId="67B2C6EA" w14:textId="77777777" w:rsidR="00335E02" w:rsidRDefault="00335E02" w:rsidP="00335E02">
      <w:pPr>
        <w:pStyle w:val="ListParagraph"/>
        <w:numPr>
          <w:ilvl w:val="0"/>
          <w:numId w:val="19"/>
        </w:numPr>
        <w:spacing w:after="0" w:line="240" w:lineRule="auto"/>
        <w:ind w:left="900" w:right="636"/>
      </w:pPr>
      <w:r>
        <w:t xml:space="preserve">Donor governments </w:t>
      </w:r>
    </w:p>
    <w:p w14:paraId="5085F518" w14:textId="77777777" w:rsidR="00335E02" w:rsidRDefault="00335E02" w:rsidP="00335E02">
      <w:pPr>
        <w:pStyle w:val="ListParagraph"/>
        <w:numPr>
          <w:ilvl w:val="0"/>
          <w:numId w:val="19"/>
        </w:numPr>
        <w:spacing w:after="0" w:line="240" w:lineRule="auto"/>
        <w:ind w:left="900" w:right="636"/>
      </w:pPr>
      <w:r>
        <w:t xml:space="preserve">National governments (as/if appropriate) </w:t>
      </w:r>
    </w:p>
    <w:p w14:paraId="3E187DC0" w14:textId="77777777" w:rsidR="00335E02" w:rsidRDefault="00335E02" w:rsidP="00335E02">
      <w:pPr>
        <w:spacing w:after="0"/>
      </w:pPr>
    </w:p>
    <w:p w14:paraId="76FC5ADC" w14:textId="77777777" w:rsidR="00335E02" w:rsidRDefault="00335E02">
      <w:pPr>
        <w:rPr>
          <w:rFonts w:cs="Calibri,Bold"/>
          <w:b/>
          <w:bCs/>
          <w:sz w:val="24"/>
          <w:szCs w:val="24"/>
        </w:rPr>
      </w:pPr>
      <w:r>
        <w:rPr>
          <w:rFonts w:cs="Calibri,Bold"/>
          <w:b/>
          <w:bCs/>
          <w:sz w:val="24"/>
          <w:szCs w:val="24"/>
        </w:rPr>
        <w:br w:type="page"/>
      </w:r>
    </w:p>
    <w:tbl>
      <w:tblPr>
        <w:tblStyle w:val="TableGrid"/>
        <w:tblW w:w="5000" w:type="pct"/>
        <w:tblLook w:val="04A0" w:firstRow="1" w:lastRow="0" w:firstColumn="1" w:lastColumn="0" w:noHBand="0" w:noVBand="1"/>
      </w:tblPr>
      <w:tblGrid>
        <w:gridCol w:w="2248"/>
        <w:gridCol w:w="3169"/>
        <w:gridCol w:w="1612"/>
        <w:gridCol w:w="1333"/>
        <w:gridCol w:w="3004"/>
        <w:gridCol w:w="12"/>
        <w:gridCol w:w="3948"/>
      </w:tblGrid>
      <w:tr w:rsidR="00AC11CB" w:rsidRPr="00603BF7" w14:paraId="7DDD27E1" w14:textId="77777777" w:rsidTr="00864FA5">
        <w:trPr>
          <w:trHeight w:val="417"/>
        </w:trPr>
        <w:tc>
          <w:tcPr>
            <w:tcW w:w="5000" w:type="pct"/>
            <w:gridSpan w:val="7"/>
            <w:tcBorders>
              <w:bottom w:val="single" w:sz="4" w:space="0" w:color="auto"/>
            </w:tcBorders>
            <w:shd w:val="clear" w:color="auto" w:fill="BFBFBF" w:themeFill="background1" w:themeFillShade="BF"/>
          </w:tcPr>
          <w:p w14:paraId="2F056AC1" w14:textId="02A5F870" w:rsidR="00AC11CB" w:rsidRPr="00AC11CB" w:rsidRDefault="00BE37EB" w:rsidP="00AC11CB">
            <w:pPr>
              <w:pStyle w:val="ListParagraph"/>
              <w:numPr>
                <w:ilvl w:val="0"/>
                <w:numId w:val="21"/>
              </w:numPr>
              <w:rPr>
                <w:b/>
                <w:sz w:val="28"/>
                <w:szCs w:val="28"/>
                <w:lang w:val="en-US"/>
              </w:rPr>
            </w:pPr>
            <w:r>
              <w:rPr>
                <w:rFonts w:cs="Calibri,Bold"/>
                <w:b/>
                <w:bCs/>
                <w:sz w:val="24"/>
                <w:szCs w:val="24"/>
              </w:rPr>
              <w:lastRenderedPageBreak/>
              <w:t>PROMOTION (</w:t>
            </w:r>
            <w:r w:rsidR="00FD5B48">
              <w:rPr>
                <w:rFonts w:cs="Calibri,Bold"/>
                <w:b/>
                <w:bCs/>
                <w:sz w:val="24"/>
                <w:szCs w:val="24"/>
              </w:rPr>
              <w:t>COMMUNICATION AND DISSEMINATION</w:t>
            </w:r>
            <w:r>
              <w:rPr>
                <w:rFonts w:cs="Calibri,Bold"/>
                <w:b/>
                <w:bCs/>
                <w:sz w:val="24"/>
                <w:szCs w:val="24"/>
              </w:rPr>
              <w:t>)</w:t>
            </w:r>
            <w:r w:rsidR="00AC11CB" w:rsidRPr="00AC11CB">
              <w:rPr>
                <w:b/>
                <w:sz w:val="28"/>
                <w:szCs w:val="28"/>
                <w:lang w:val="en-US"/>
              </w:rPr>
              <w:t xml:space="preserve"> </w:t>
            </w:r>
          </w:p>
        </w:tc>
      </w:tr>
      <w:tr w:rsidR="00AC11CB" w:rsidRPr="00603BF7" w14:paraId="009D54DF" w14:textId="77777777" w:rsidTr="00864FA5">
        <w:trPr>
          <w:trHeight w:val="417"/>
        </w:trPr>
        <w:tc>
          <w:tcPr>
            <w:tcW w:w="733" w:type="pct"/>
            <w:tcBorders>
              <w:bottom w:val="single" w:sz="4" w:space="0" w:color="auto"/>
            </w:tcBorders>
            <w:shd w:val="clear" w:color="auto" w:fill="BFBFBF" w:themeFill="background1" w:themeFillShade="BF"/>
          </w:tcPr>
          <w:p w14:paraId="4493C19B" w14:textId="77777777" w:rsidR="00121BA1" w:rsidRPr="00335E02" w:rsidRDefault="00F10BC6" w:rsidP="00EB362D">
            <w:pPr>
              <w:rPr>
                <w:b/>
                <w:sz w:val="20"/>
                <w:szCs w:val="20"/>
                <w:lang w:val="en-US"/>
              </w:rPr>
            </w:pPr>
            <w:r w:rsidRPr="00335E02">
              <w:rPr>
                <w:b/>
                <w:sz w:val="20"/>
                <w:szCs w:val="20"/>
                <w:lang w:val="en-US"/>
              </w:rPr>
              <w:t xml:space="preserve">Key Activity </w:t>
            </w:r>
          </w:p>
        </w:tc>
        <w:tc>
          <w:tcPr>
            <w:tcW w:w="1034" w:type="pct"/>
            <w:tcBorders>
              <w:bottom w:val="single" w:sz="4" w:space="0" w:color="auto"/>
            </w:tcBorders>
            <w:shd w:val="clear" w:color="auto" w:fill="BFBFBF" w:themeFill="background1" w:themeFillShade="BF"/>
          </w:tcPr>
          <w:p w14:paraId="737729F4" w14:textId="77777777" w:rsidR="00121BA1" w:rsidRPr="00335E02" w:rsidRDefault="00121BA1" w:rsidP="00EB362D">
            <w:pPr>
              <w:rPr>
                <w:b/>
                <w:sz w:val="20"/>
                <w:szCs w:val="20"/>
                <w:lang w:val="en-US"/>
              </w:rPr>
            </w:pPr>
            <w:r w:rsidRPr="00335E02">
              <w:rPr>
                <w:b/>
                <w:sz w:val="20"/>
                <w:szCs w:val="20"/>
                <w:lang w:val="en-US"/>
              </w:rPr>
              <w:t>Related Activities</w:t>
            </w:r>
          </w:p>
        </w:tc>
        <w:tc>
          <w:tcPr>
            <w:tcW w:w="526" w:type="pct"/>
            <w:tcBorders>
              <w:bottom w:val="single" w:sz="4" w:space="0" w:color="auto"/>
            </w:tcBorders>
            <w:shd w:val="clear" w:color="auto" w:fill="BFBFBF" w:themeFill="background1" w:themeFillShade="BF"/>
          </w:tcPr>
          <w:p w14:paraId="3D915CE4" w14:textId="77777777" w:rsidR="00121BA1" w:rsidRPr="00335E02" w:rsidRDefault="00121BA1" w:rsidP="00EB362D">
            <w:pPr>
              <w:rPr>
                <w:b/>
                <w:sz w:val="20"/>
                <w:szCs w:val="20"/>
                <w:lang w:val="en-US"/>
              </w:rPr>
            </w:pPr>
            <w:r w:rsidRPr="00335E02">
              <w:rPr>
                <w:b/>
                <w:sz w:val="20"/>
                <w:szCs w:val="20"/>
                <w:lang w:val="en-US"/>
              </w:rPr>
              <w:t>Focal Point</w:t>
            </w:r>
          </w:p>
        </w:tc>
        <w:tc>
          <w:tcPr>
            <w:tcW w:w="435" w:type="pct"/>
            <w:tcBorders>
              <w:bottom w:val="single" w:sz="4" w:space="0" w:color="auto"/>
            </w:tcBorders>
            <w:shd w:val="clear" w:color="auto" w:fill="BFBFBF" w:themeFill="background1" w:themeFillShade="BF"/>
          </w:tcPr>
          <w:p w14:paraId="0CA57C5C" w14:textId="77777777" w:rsidR="00E640F8" w:rsidRPr="00335E02" w:rsidRDefault="00121BA1" w:rsidP="00121BA1">
            <w:pPr>
              <w:rPr>
                <w:b/>
                <w:sz w:val="20"/>
                <w:szCs w:val="20"/>
                <w:lang w:val="en-US"/>
              </w:rPr>
            </w:pPr>
            <w:r w:rsidRPr="00335E02">
              <w:rPr>
                <w:b/>
                <w:sz w:val="20"/>
                <w:szCs w:val="20"/>
                <w:lang w:val="en-US"/>
              </w:rPr>
              <w:t>Time Frame</w:t>
            </w:r>
            <w:r w:rsidR="00E640F8" w:rsidRPr="00335E02">
              <w:rPr>
                <w:b/>
                <w:sz w:val="20"/>
                <w:szCs w:val="20"/>
                <w:lang w:val="en-US"/>
              </w:rPr>
              <w:t xml:space="preserve"> </w:t>
            </w:r>
          </w:p>
          <w:p w14:paraId="43A08D9E" w14:textId="77777777" w:rsidR="00121BA1" w:rsidRPr="00335E02" w:rsidRDefault="00121BA1" w:rsidP="0039569C">
            <w:pPr>
              <w:rPr>
                <w:b/>
                <w:sz w:val="20"/>
                <w:szCs w:val="20"/>
                <w:lang w:val="en-US"/>
              </w:rPr>
            </w:pPr>
          </w:p>
        </w:tc>
        <w:tc>
          <w:tcPr>
            <w:tcW w:w="984" w:type="pct"/>
            <w:gridSpan w:val="2"/>
            <w:tcBorders>
              <w:bottom w:val="single" w:sz="4" w:space="0" w:color="auto"/>
            </w:tcBorders>
            <w:shd w:val="clear" w:color="auto" w:fill="BFBFBF" w:themeFill="background1" w:themeFillShade="BF"/>
          </w:tcPr>
          <w:p w14:paraId="0165C915" w14:textId="77777777" w:rsidR="00121BA1" w:rsidRPr="00335E02" w:rsidRDefault="00121BA1" w:rsidP="00EB362D">
            <w:pPr>
              <w:rPr>
                <w:b/>
                <w:sz w:val="20"/>
                <w:szCs w:val="20"/>
                <w:lang w:val="en-US"/>
              </w:rPr>
            </w:pPr>
            <w:r w:rsidRPr="00335E02">
              <w:rPr>
                <w:b/>
                <w:sz w:val="20"/>
                <w:szCs w:val="20"/>
                <w:lang w:val="en-US"/>
              </w:rPr>
              <w:t>Indicators</w:t>
            </w:r>
          </w:p>
        </w:tc>
        <w:tc>
          <w:tcPr>
            <w:tcW w:w="1288" w:type="pct"/>
            <w:tcBorders>
              <w:bottom w:val="single" w:sz="4" w:space="0" w:color="auto"/>
            </w:tcBorders>
            <w:shd w:val="clear" w:color="auto" w:fill="BFBFBF" w:themeFill="background1" w:themeFillShade="BF"/>
          </w:tcPr>
          <w:p w14:paraId="38DFE693" w14:textId="77777777" w:rsidR="00121BA1" w:rsidRPr="00335E02" w:rsidRDefault="002C14F2" w:rsidP="00EB362D">
            <w:pPr>
              <w:rPr>
                <w:b/>
                <w:sz w:val="20"/>
                <w:szCs w:val="20"/>
                <w:lang w:val="en-US"/>
              </w:rPr>
            </w:pPr>
            <w:r w:rsidRPr="00335E02">
              <w:rPr>
                <w:b/>
                <w:sz w:val="20"/>
                <w:szCs w:val="20"/>
                <w:lang w:val="en-US"/>
              </w:rPr>
              <w:t>Comment</w:t>
            </w:r>
          </w:p>
        </w:tc>
      </w:tr>
      <w:tr w:rsidR="00AC11CB" w:rsidRPr="007D041C" w14:paraId="29F571F4" w14:textId="77777777" w:rsidTr="00864FA5">
        <w:tc>
          <w:tcPr>
            <w:tcW w:w="733" w:type="pct"/>
            <w:vMerge w:val="restart"/>
            <w:shd w:val="clear" w:color="auto" w:fill="auto"/>
          </w:tcPr>
          <w:p w14:paraId="2ECDA82F" w14:textId="72D783EF" w:rsidR="005A44DE" w:rsidRPr="00B07291" w:rsidRDefault="006F3917" w:rsidP="00B07291">
            <w:pPr>
              <w:rPr>
                <w:sz w:val="20"/>
                <w:szCs w:val="20"/>
              </w:rPr>
            </w:pPr>
            <w:r>
              <w:rPr>
                <w:sz w:val="20"/>
                <w:szCs w:val="20"/>
              </w:rPr>
              <w:t xml:space="preserve">A.1 </w:t>
            </w:r>
            <w:r w:rsidR="005A44DE" w:rsidRPr="00F10BC6">
              <w:rPr>
                <w:sz w:val="20"/>
                <w:szCs w:val="20"/>
              </w:rPr>
              <w:t xml:space="preserve">Provide key stakeholders with tools and materials to support wide dissemination of the Protection Policy </w:t>
            </w:r>
          </w:p>
        </w:tc>
        <w:tc>
          <w:tcPr>
            <w:tcW w:w="1034" w:type="pct"/>
            <w:shd w:val="clear" w:color="auto" w:fill="auto"/>
          </w:tcPr>
          <w:p w14:paraId="4F69E536" w14:textId="65375915" w:rsidR="005A44DE" w:rsidRPr="00335E02" w:rsidRDefault="005A44DE" w:rsidP="00335E02">
            <w:pPr>
              <w:pStyle w:val="ListParagraph"/>
              <w:numPr>
                <w:ilvl w:val="0"/>
                <w:numId w:val="10"/>
              </w:numPr>
              <w:autoSpaceDE w:val="0"/>
              <w:autoSpaceDN w:val="0"/>
              <w:adjustRightInd w:val="0"/>
              <w:ind w:left="402"/>
              <w:rPr>
                <w:rFonts w:cs="Calibri"/>
                <w:sz w:val="20"/>
                <w:szCs w:val="20"/>
              </w:rPr>
            </w:pPr>
            <w:r w:rsidRPr="00694CBD">
              <w:rPr>
                <w:rFonts w:cs="Calibri"/>
                <w:sz w:val="20"/>
                <w:szCs w:val="20"/>
              </w:rPr>
              <w:t>Widespread dissemination via email and IASC website, accompanied by letter from the ERC to all key stakeholders</w:t>
            </w:r>
          </w:p>
        </w:tc>
        <w:tc>
          <w:tcPr>
            <w:tcW w:w="526" w:type="pct"/>
            <w:tcBorders>
              <w:bottom w:val="single" w:sz="4" w:space="0" w:color="auto"/>
            </w:tcBorders>
            <w:shd w:val="clear" w:color="auto" w:fill="auto"/>
          </w:tcPr>
          <w:p w14:paraId="2C8B1B9A" w14:textId="2BD5BE5A" w:rsidR="005A44DE" w:rsidRPr="00694CBD" w:rsidRDefault="006A3C18" w:rsidP="00B07291">
            <w:pPr>
              <w:autoSpaceDE w:val="0"/>
              <w:autoSpaceDN w:val="0"/>
              <w:adjustRightInd w:val="0"/>
              <w:rPr>
                <w:rFonts w:cs="Calibri,Bold"/>
                <w:bCs/>
                <w:sz w:val="20"/>
                <w:szCs w:val="20"/>
              </w:rPr>
            </w:pPr>
            <w:r w:rsidRPr="00694CBD">
              <w:rPr>
                <w:rFonts w:cs="Calibri,Bold"/>
                <w:bCs/>
                <w:sz w:val="20"/>
                <w:szCs w:val="20"/>
              </w:rPr>
              <w:t xml:space="preserve">ERC, </w:t>
            </w:r>
            <w:r w:rsidR="005A44DE" w:rsidRPr="00694CBD">
              <w:rPr>
                <w:rFonts w:cs="Calibri,Bold"/>
                <w:bCs/>
                <w:sz w:val="20"/>
                <w:szCs w:val="20"/>
              </w:rPr>
              <w:t xml:space="preserve">IASC Secretariat </w:t>
            </w:r>
          </w:p>
        </w:tc>
        <w:tc>
          <w:tcPr>
            <w:tcW w:w="435" w:type="pct"/>
            <w:shd w:val="clear" w:color="auto" w:fill="auto"/>
          </w:tcPr>
          <w:p w14:paraId="6FAEAFF8" w14:textId="77777777" w:rsidR="005A44DE" w:rsidRPr="00694CBD" w:rsidRDefault="005A44DE" w:rsidP="00B07291">
            <w:pPr>
              <w:rPr>
                <w:sz w:val="20"/>
                <w:szCs w:val="20"/>
                <w:lang w:val="en-US"/>
              </w:rPr>
            </w:pPr>
            <w:r w:rsidRPr="00694CBD">
              <w:rPr>
                <w:sz w:val="20"/>
                <w:szCs w:val="20"/>
                <w:lang w:val="en-US"/>
              </w:rPr>
              <w:t xml:space="preserve">October 2016 </w:t>
            </w:r>
          </w:p>
        </w:tc>
        <w:tc>
          <w:tcPr>
            <w:tcW w:w="984" w:type="pct"/>
            <w:gridSpan w:val="2"/>
            <w:vMerge w:val="restart"/>
            <w:shd w:val="clear" w:color="auto" w:fill="auto"/>
          </w:tcPr>
          <w:p w14:paraId="1BA1B2CF" w14:textId="05583ACF" w:rsidR="005A44DE" w:rsidRPr="00694CBD" w:rsidRDefault="005A44DE" w:rsidP="009D7863">
            <w:pPr>
              <w:pStyle w:val="ListParagraph"/>
              <w:numPr>
                <w:ilvl w:val="0"/>
                <w:numId w:val="10"/>
              </w:numPr>
              <w:autoSpaceDE w:val="0"/>
              <w:autoSpaceDN w:val="0"/>
              <w:adjustRightInd w:val="0"/>
              <w:ind w:left="432"/>
              <w:rPr>
                <w:rFonts w:cs="Calibri"/>
                <w:sz w:val="20"/>
                <w:szCs w:val="20"/>
              </w:rPr>
            </w:pPr>
            <w:r w:rsidRPr="00694CBD">
              <w:rPr>
                <w:rFonts w:cs="Calibri"/>
                <w:sz w:val="20"/>
                <w:szCs w:val="20"/>
              </w:rPr>
              <w:t>Materials posted on IASC</w:t>
            </w:r>
            <w:r w:rsidR="000E733A" w:rsidRPr="00694CBD">
              <w:rPr>
                <w:rFonts w:cs="Calibri"/>
                <w:sz w:val="20"/>
                <w:szCs w:val="20"/>
              </w:rPr>
              <w:t>, GPC, and other</w:t>
            </w:r>
            <w:r w:rsidRPr="00694CBD">
              <w:rPr>
                <w:rFonts w:cs="Calibri"/>
                <w:sz w:val="20"/>
                <w:szCs w:val="20"/>
              </w:rPr>
              <w:t xml:space="preserve"> website</w:t>
            </w:r>
            <w:r w:rsidR="000E733A" w:rsidRPr="00694CBD">
              <w:rPr>
                <w:rFonts w:cs="Calibri"/>
                <w:sz w:val="20"/>
                <w:szCs w:val="20"/>
              </w:rPr>
              <w:t>s</w:t>
            </w:r>
            <w:r w:rsidRPr="00694CBD">
              <w:rPr>
                <w:rFonts w:cs="Calibri"/>
                <w:sz w:val="20"/>
                <w:szCs w:val="20"/>
              </w:rPr>
              <w:t xml:space="preserve"> and used in briefings </w:t>
            </w:r>
          </w:p>
          <w:p w14:paraId="25557077" w14:textId="77777777" w:rsidR="005A44DE" w:rsidRPr="00694CBD" w:rsidRDefault="005A44DE" w:rsidP="009D7863">
            <w:pPr>
              <w:pStyle w:val="ListParagraph"/>
              <w:numPr>
                <w:ilvl w:val="0"/>
                <w:numId w:val="10"/>
              </w:numPr>
              <w:autoSpaceDE w:val="0"/>
              <w:autoSpaceDN w:val="0"/>
              <w:adjustRightInd w:val="0"/>
              <w:ind w:left="432"/>
              <w:rPr>
                <w:rFonts w:cs="Calibri"/>
                <w:sz w:val="20"/>
                <w:szCs w:val="20"/>
              </w:rPr>
            </w:pPr>
            <w:r w:rsidRPr="00694CBD">
              <w:rPr>
                <w:rFonts w:cs="Calibri"/>
                <w:sz w:val="20"/>
                <w:szCs w:val="20"/>
              </w:rPr>
              <w:t xml:space="preserve">Key stakeholders report positively on usefulness of materials </w:t>
            </w:r>
          </w:p>
          <w:p w14:paraId="59C840B9" w14:textId="77777777" w:rsidR="005A44DE" w:rsidRPr="00694CBD" w:rsidRDefault="005A44DE" w:rsidP="00F10BC6">
            <w:pPr>
              <w:ind w:left="360"/>
              <w:rPr>
                <w:rFonts w:cs="Calibri"/>
                <w:sz w:val="20"/>
                <w:szCs w:val="20"/>
              </w:rPr>
            </w:pPr>
          </w:p>
        </w:tc>
        <w:tc>
          <w:tcPr>
            <w:tcW w:w="1288" w:type="pct"/>
            <w:tcBorders>
              <w:bottom w:val="single" w:sz="4" w:space="0" w:color="auto"/>
            </w:tcBorders>
            <w:shd w:val="clear" w:color="auto" w:fill="FFFFFF" w:themeFill="background1"/>
          </w:tcPr>
          <w:p w14:paraId="1D7844D5" w14:textId="23E24CC0" w:rsidR="005A44DE" w:rsidRPr="00694CBD" w:rsidRDefault="005A44DE" w:rsidP="009152FA">
            <w:pPr>
              <w:rPr>
                <w:sz w:val="20"/>
                <w:szCs w:val="20"/>
                <w:lang w:val="en-US"/>
              </w:rPr>
            </w:pPr>
            <w:r w:rsidRPr="00694CBD">
              <w:rPr>
                <w:sz w:val="20"/>
                <w:szCs w:val="20"/>
                <w:lang w:val="en-US"/>
              </w:rPr>
              <w:t xml:space="preserve">ERC letter </w:t>
            </w:r>
            <w:r w:rsidR="000E733A" w:rsidRPr="00694CBD">
              <w:rPr>
                <w:sz w:val="20"/>
                <w:szCs w:val="20"/>
                <w:lang w:val="en-US"/>
              </w:rPr>
              <w:t xml:space="preserve">to accompany dissemination </w:t>
            </w:r>
          </w:p>
        </w:tc>
      </w:tr>
      <w:tr w:rsidR="00AC11CB" w:rsidRPr="007D041C" w14:paraId="2E8AE176" w14:textId="77777777" w:rsidTr="00864FA5">
        <w:tc>
          <w:tcPr>
            <w:tcW w:w="733" w:type="pct"/>
            <w:vMerge/>
            <w:shd w:val="clear" w:color="auto" w:fill="auto"/>
          </w:tcPr>
          <w:p w14:paraId="4821578F" w14:textId="77777777" w:rsidR="005A44DE" w:rsidRPr="00F10BC6" w:rsidRDefault="005A44DE" w:rsidP="00B07291">
            <w:pPr>
              <w:rPr>
                <w:sz w:val="20"/>
                <w:szCs w:val="20"/>
              </w:rPr>
            </w:pPr>
          </w:p>
        </w:tc>
        <w:tc>
          <w:tcPr>
            <w:tcW w:w="1034" w:type="pct"/>
            <w:shd w:val="clear" w:color="auto" w:fill="auto"/>
          </w:tcPr>
          <w:p w14:paraId="4228F273" w14:textId="77777777" w:rsidR="005A44DE" w:rsidRPr="00694CBD" w:rsidRDefault="005A44DE" w:rsidP="00CB224C">
            <w:pPr>
              <w:pStyle w:val="ListParagraph"/>
              <w:numPr>
                <w:ilvl w:val="0"/>
                <w:numId w:val="10"/>
              </w:numPr>
              <w:autoSpaceDE w:val="0"/>
              <w:autoSpaceDN w:val="0"/>
              <w:adjustRightInd w:val="0"/>
              <w:ind w:left="402"/>
              <w:rPr>
                <w:rFonts w:cs="Calibri"/>
                <w:sz w:val="20"/>
                <w:szCs w:val="20"/>
              </w:rPr>
            </w:pPr>
            <w:r w:rsidRPr="00694CBD">
              <w:rPr>
                <w:rFonts w:cs="Calibri"/>
                <w:sz w:val="20"/>
                <w:szCs w:val="20"/>
              </w:rPr>
              <w:t xml:space="preserve">Translation into Arabic, French and Spanish </w:t>
            </w:r>
          </w:p>
        </w:tc>
        <w:tc>
          <w:tcPr>
            <w:tcW w:w="526" w:type="pct"/>
            <w:tcBorders>
              <w:bottom w:val="single" w:sz="4" w:space="0" w:color="auto"/>
            </w:tcBorders>
            <w:shd w:val="clear" w:color="auto" w:fill="auto"/>
          </w:tcPr>
          <w:p w14:paraId="37E9F607" w14:textId="77777777" w:rsidR="005A44DE" w:rsidRPr="00694CBD" w:rsidRDefault="005A44DE" w:rsidP="00B07291">
            <w:pPr>
              <w:autoSpaceDE w:val="0"/>
              <w:autoSpaceDN w:val="0"/>
              <w:adjustRightInd w:val="0"/>
              <w:rPr>
                <w:rFonts w:cs="Calibri,Bold"/>
                <w:bCs/>
                <w:sz w:val="20"/>
                <w:szCs w:val="20"/>
              </w:rPr>
            </w:pPr>
            <w:r w:rsidRPr="00694CBD">
              <w:rPr>
                <w:rFonts w:cs="Calibri,Bold"/>
                <w:bCs/>
                <w:sz w:val="20"/>
                <w:szCs w:val="20"/>
              </w:rPr>
              <w:t>IASC Secretariat (or a TT member)</w:t>
            </w:r>
          </w:p>
        </w:tc>
        <w:tc>
          <w:tcPr>
            <w:tcW w:w="435" w:type="pct"/>
            <w:shd w:val="clear" w:color="auto" w:fill="auto"/>
          </w:tcPr>
          <w:p w14:paraId="259032A0" w14:textId="77777777" w:rsidR="005A44DE" w:rsidRPr="00694CBD" w:rsidRDefault="005A44DE" w:rsidP="00B07291">
            <w:pPr>
              <w:rPr>
                <w:sz w:val="20"/>
                <w:szCs w:val="20"/>
                <w:lang w:val="en-US"/>
              </w:rPr>
            </w:pPr>
            <w:r w:rsidRPr="00694CBD">
              <w:rPr>
                <w:sz w:val="20"/>
                <w:szCs w:val="20"/>
                <w:lang w:val="en-US"/>
              </w:rPr>
              <w:t xml:space="preserve">October 2016 </w:t>
            </w:r>
          </w:p>
        </w:tc>
        <w:tc>
          <w:tcPr>
            <w:tcW w:w="984" w:type="pct"/>
            <w:gridSpan w:val="2"/>
            <w:vMerge/>
            <w:shd w:val="clear" w:color="auto" w:fill="auto"/>
          </w:tcPr>
          <w:p w14:paraId="27F2F3ED" w14:textId="77777777" w:rsidR="005A44DE" w:rsidRPr="00694CBD" w:rsidRDefault="005A44DE" w:rsidP="00F10BC6">
            <w:pPr>
              <w:ind w:left="360"/>
              <w:rPr>
                <w:rFonts w:cs="Calibri"/>
                <w:sz w:val="20"/>
                <w:szCs w:val="20"/>
              </w:rPr>
            </w:pPr>
          </w:p>
        </w:tc>
        <w:tc>
          <w:tcPr>
            <w:tcW w:w="1288" w:type="pct"/>
            <w:tcBorders>
              <w:bottom w:val="single" w:sz="4" w:space="0" w:color="auto"/>
            </w:tcBorders>
            <w:shd w:val="clear" w:color="auto" w:fill="FFFFFF" w:themeFill="background1"/>
          </w:tcPr>
          <w:p w14:paraId="2E848FBC" w14:textId="77777777" w:rsidR="005A44DE" w:rsidRPr="00694CBD" w:rsidRDefault="005A44DE" w:rsidP="00F10BC6">
            <w:pPr>
              <w:ind w:left="360"/>
              <w:rPr>
                <w:sz w:val="20"/>
                <w:szCs w:val="20"/>
                <w:lang w:val="en-US"/>
              </w:rPr>
            </w:pPr>
          </w:p>
        </w:tc>
      </w:tr>
      <w:tr w:rsidR="00AC11CB" w:rsidRPr="007D041C" w14:paraId="02575C8A" w14:textId="77777777" w:rsidTr="00864FA5">
        <w:tc>
          <w:tcPr>
            <w:tcW w:w="733" w:type="pct"/>
            <w:vMerge/>
            <w:shd w:val="clear" w:color="auto" w:fill="auto"/>
          </w:tcPr>
          <w:p w14:paraId="20F82E42" w14:textId="77777777" w:rsidR="005A44DE" w:rsidRPr="00F10BC6" w:rsidRDefault="005A44DE" w:rsidP="00F10BC6">
            <w:pPr>
              <w:jc w:val="both"/>
              <w:rPr>
                <w:sz w:val="20"/>
                <w:szCs w:val="20"/>
              </w:rPr>
            </w:pPr>
          </w:p>
        </w:tc>
        <w:tc>
          <w:tcPr>
            <w:tcW w:w="1034" w:type="pct"/>
            <w:shd w:val="clear" w:color="auto" w:fill="auto"/>
          </w:tcPr>
          <w:p w14:paraId="3B2D7136" w14:textId="5F3F4AF2" w:rsidR="005A44DE" w:rsidRPr="00335E02" w:rsidRDefault="005A44DE" w:rsidP="00824023">
            <w:pPr>
              <w:pStyle w:val="ListParagraph"/>
              <w:numPr>
                <w:ilvl w:val="0"/>
                <w:numId w:val="10"/>
              </w:numPr>
              <w:autoSpaceDE w:val="0"/>
              <w:autoSpaceDN w:val="0"/>
              <w:adjustRightInd w:val="0"/>
              <w:ind w:left="402"/>
              <w:rPr>
                <w:rFonts w:cs="Calibri"/>
                <w:sz w:val="20"/>
                <w:szCs w:val="20"/>
              </w:rPr>
            </w:pPr>
            <w:r w:rsidRPr="00694CBD">
              <w:rPr>
                <w:rFonts w:cs="Calibri"/>
                <w:sz w:val="20"/>
                <w:szCs w:val="20"/>
              </w:rPr>
              <w:t xml:space="preserve">Supporting materials prioritised and developed, such as FAQs, powerpoint or </w:t>
            </w:r>
            <w:r w:rsidR="00D0120B" w:rsidRPr="00694CBD">
              <w:rPr>
                <w:rFonts w:cs="Calibri"/>
                <w:sz w:val="20"/>
                <w:szCs w:val="20"/>
              </w:rPr>
              <w:t xml:space="preserve">prezi </w:t>
            </w:r>
            <w:r w:rsidRPr="00694CBD">
              <w:rPr>
                <w:rFonts w:cs="Calibri"/>
                <w:sz w:val="20"/>
                <w:szCs w:val="20"/>
              </w:rPr>
              <w:t xml:space="preserve">presentations, etc which explain the key provisions of the policy </w:t>
            </w:r>
          </w:p>
        </w:tc>
        <w:tc>
          <w:tcPr>
            <w:tcW w:w="526" w:type="pct"/>
            <w:tcBorders>
              <w:bottom w:val="single" w:sz="4" w:space="0" w:color="auto"/>
            </w:tcBorders>
            <w:shd w:val="clear" w:color="auto" w:fill="auto"/>
          </w:tcPr>
          <w:p w14:paraId="595CF0AB" w14:textId="62D1365C" w:rsidR="005A44DE" w:rsidRPr="00694CBD" w:rsidRDefault="005A44DE" w:rsidP="00B07291">
            <w:pPr>
              <w:autoSpaceDE w:val="0"/>
              <w:autoSpaceDN w:val="0"/>
              <w:adjustRightInd w:val="0"/>
              <w:rPr>
                <w:rFonts w:cs="Calibri,Bold"/>
                <w:bCs/>
                <w:sz w:val="20"/>
                <w:szCs w:val="20"/>
              </w:rPr>
            </w:pPr>
            <w:r w:rsidRPr="00694CBD">
              <w:rPr>
                <w:rFonts w:cs="Calibri,Bold"/>
                <w:bCs/>
                <w:sz w:val="20"/>
                <w:szCs w:val="20"/>
              </w:rPr>
              <w:t xml:space="preserve">Task Team members </w:t>
            </w:r>
          </w:p>
        </w:tc>
        <w:tc>
          <w:tcPr>
            <w:tcW w:w="435" w:type="pct"/>
            <w:shd w:val="clear" w:color="auto" w:fill="auto"/>
          </w:tcPr>
          <w:p w14:paraId="5D89B7F8" w14:textId="32F9EF3E" w:rsidR="005A44DE" w:rsidRPr="00694CBD" w:rsidRDefault="005A44DE" w:rsidP="00B07291">
            <w:pPr>
              <w:rPr>
                <w:sz w:val="20"/>
                <w:szCs w:val="20"/>
                <w:lang w:val="en-US"/>
              </w:rPr>
            </w:pPr>
            <w:r w:rsidRPr="00694CBD">
              <w:rPr>
                <w:sz w:val="20"/>
                <w:szCs w:val="20"/>
                <w:lang w:val="en-US"/>
              </w:rPr>
              <w:t>Sept</w:t>
            </w:r>
            <w:r w:rsidR="00EB1184">
              <w:rPr>
                <w:sz w:val="20"/>
                <w:szCs w:val="20"/>
                <w:lang w:val="en-US"/>
              </w:rPr>
              <w:t xml:space="preserve">ember </w:t>
            </w:r>
            <w:r w:rsidRPr="00694CBD">
              <w:rPr>
                <w:sz w:val="20"/>
                <w:szCs w:val="20"/>
                <w:lang w:val="en-US"/>
              </w:rPr>
              <w:t>-Dec</w:t>
            </w:r>
            <w:r w:rsidR="00EB1184">
              <w:rPr>
                <w:sz w:val="20"/>
                <w:szCs w:val="20"/>
                <w:lang w:val="en-US"/>
              </w:rPr>
              <w:t>ember</w:t>
            </w:r>
            <w:r w:rsidRPr="00694CBD">
              <w:rPr>
                <w:sz w:val="20"/>
                <w:szCs w:val="20"/>
                <w:lang w:val="en-US"/>
              </w:rPr>
              <w:t xml:space="preserve"> 2016 </w:t>
            </w:r>
          </w:p>
        </w:tc>
        <w:tc>
          <w:tcPr>
            <w:tcW w:w="984" w:type="pct"/>
            <w:gridSpan w:val="2"/>
            <w:vMerge/>
            <w:shd w:val="clear" w:color="auto" w:fill="auto"/>
          </w:tcPr>
          <w:p w14:paraId="07639BDC" w14:textId="77777777" w:rsidR="005A44DE" w:rsidRPr="00694CBD" w:rsidRDefault="005A44DE" w:rsidP="00F10BC6">
            <w:pPr>
              <w:ind w:left="360"/>
              <w:rPr>
                <w:rFonts w:cs="Calibri"/>
                <w:sz w:val="20"/>
                <w:szCs w:val="20"/>
              </w:rPr>
            </w:pPr>
          </w:p>
        </w:tc>
        <w:tc>
          <w:tcPr>
            <w:tcW w:w="1288" w:type="pct"/>
            <w:tcBorders>
              <w:bottom w:val="single" w:sz="4" w:space="0" w:color="auto"/>
            </w:tcBorders>
            <w:shd w:val="clear" w:color="auto" w:fill="FFFFFF" w:themeFill="background1"/>
          </w:tcPr>
          <w:p w14:paraId="437E6F1B" w14:textId="33875832" w:rsidR="00D53946" w:rsidRDefault="005A44DE" w:rsidP="00AC11CB">
            <w:pPr>
              <w:ind w:left="72"/>
              <w:rPr>
                <w:sz w:val="20"/>
                <w:szCs w:val="20"/>
                <w:lang w:val="en-US"/>
              </w:rPr>
            </w:pPr>
            <w:r w:rsidRPr="00D53946">
              <w:rPr>
                <w:sz w:val="20"/>
                <w:szCs w:val="20"/>
                <w:lang w:val="en-US"/>
              </w:rPr>
              <w:t xml:space="preserve">GPC guidance on HCT Protection Strategies </w:t>
            </w:r>
            <w:r w:rsidR="00694CBD" w:rsidRPr="00D53946">
              <w:rPr>
                <w:sz w:val="20"/>
                <w:szCs w:val="20"/>
                <w:lang w:val="en-US"/>
              </w:rPr>
              <w:t xml:space="preserve">will be </w:t>
            </w:r>
            <w:r w:rsidR="000E733A" w:rsidRPr="00D53946">
              <w:rPr>
                <w:sz w:val="20"/>
                <w:szCs w:val="20"/>
                <w:lang w:val="en-US"/>
              </w:rPr>
              <w:t xml:space="preserve">promoted alongside the Protection Policy </w:t>
            </w:r>
          </w:p>
          <w:p w14:paraId="3D265353" w14:textId="1A2B0B86" w:rsidR="005A44DE" w:rsidRPr="00D53946" w:rsidRDefault="005A44DE" w:rsidP="00335E02">
            <w:pPr>
              <w:ind w:left="72"/>
              <w:rPr>
                <w:sz w:val="20"/>
                <w:szCs w:val="20"/>
                <w:lang w:val="en-US"/>
              </w:rPr>
            </w:pPr>
            <w:r w:rsidRPr="00D53946">
              <w:rPr>
                <w:sz w:val="20"/>
                <w:szCs w:val="20"/>
                <w:lang w:val="en-US"/>
              </w:rPr>
              <w:t>Some materials may need to be tailored or adapted for different audiences</w:t>
            </w:r>
            <w:r w:rsidR="006A3C18" w:rsidRPr="00D53946">
              <w:rPr>
                <w:sz w:val="20"/>
                <w:szCs w:val="20"/>
                <w:lang w:val="en-US"/>
              </w:rPr>
              <w:t xml:space="preserve">, e.g. key messages tailored to support HCs/HCTS in understanding and fulfilling their particular roles and responsibilities </w:t>
            </w:r>
          </w:p>
        </w:tc>
      </w:tr>
      <w:tr w:rsidR="00AC11CB" w:rsidRPr="007D041C" w14:paraId="64C127ED" w14:textId="77777777" w:rsidTr="00864FA5">
        <w:tc>
          <w:tcPr>
            <w:tcW w:w="733" w:type="pct"/>
            <w:vMerge w:val="restart"/>
            <w:shd w:val="clear" w:color="auto" w:fill="auto"/>
          </w:tcPr>
          <w:p w14:paraId="6C85D540" w14:textId="50ED4F99" w:rsidR="008574F9" w:rsidRPr="00F10BC6" w:rsidRDefault="008574F9" w:rsidP="005A44DE">
            <w:pPr>
              <w:rPr>
                <w:sz w:val="20"/>
                <w:szCs w:val="20"/>
              </w:rPr>
            </w:pPr>
            <w:r>
              <w:rPr>
                <w:sz w:val="20"/>
                <w:szCs w:val="20"/>
              </w:rPr>
              <w:t xml:space="preserve">A.2 </w:t>
            </w:r>
            <w:r w:rsidRPr="00B07291">
              <w:rPr>
                <w:sz w:val="20"/>
                <w:szCs w:val="20"/>
              </w:rPr>
              <w:t xml:space="preserve">Promote the roll out and implementation of the IASC Protection Policy, in liaison with other key stakeholders </w:t>
            </w:r>
          </w:p>
        </w:tc>
        <w:tc>
          <w:tcPr>
            <w:tcW w:w="1034" w:type="pct"/>
            <w:shd w:val="clear" w:color="auto" w:fill="auto"/>
          </w:tcPr>
          <w:p w14:paraId="6552DE27" w14:textId="77777777" w:rsidR="008574F9" w:rsidRPr="00694CBD" w:rsidRDefault="008574F9" w:rsidP="00824023">
            <w:pPr>
              <w:autoSpaceDE w:val="0"/>
              <w:autoSpaceDN w:val="0"/>
              <w:adjustRightInd w:val="0"/>
              <w:rPr>
                <w:rFonts w:cs="Calibri"/>
                <w:sz w:val="20"/>
                <w:szCs w:val="20"/>
              </w:rPr>
            </w:pPr>
            <w:r w:rsidRPr="00694CBD">
              <w:rPr>
                <w:rFonts w:cs="Calibri"/>
                <w:sz w:val="20"/>
                <w:szCs w:val="20"/>
              </w:rPr>
              <w:t xml:space="preserve">Briefings for &amp; discussion with key stakeholders: </w:t>
            </w:r>
          </w:p>
          <w:p w14:paraId="37217049" w14:textId="77777777" w:rsidR="008574F9" w:rsidRPr="00694CBD" w:rsidRDefault="008574F9" w:rsidP="003510E2">
            <w:pPr>
              <w:pStyle w:val="ListParagraph"/>
              <w:numPr>
                <w:ilvl w:val="0"/>
                <w:numId w:val="10"/>
              </w:numPr>
              <w:autoSpaceDE w:val="0"/>
              <w:autoSpaceDN w:val="0"/>
              <w:adjustRightInd w:val="0"/>
              <w:rPr>
                <w:rFonts w:cs="Calibri"/>
                <w:sz w:val="20"/>
                <w:szCs w:val="20"/>
              </w:rPr>
            </w:pPr>
            <w:r w:rsidRPr="00694CBD">
              <w:rPr>
                <w:rFonts w:cs="Calibri"/>
                <w:sz w:val="20"/>
                <w:szCs w:val="20"/>
              </w:rPr>
              <w:t xml:space="preserve">Webinars </w:t>
            </w:r>
          </w:p>
          <w:p w14:paraId="18DD6C80" w14:textId="77777777" w:rsidR="008574F9" w:rsidRPr="00694CBD" w:rsidRDefault="008574F9" w:rsidP="003510E2">
            <w:pPr>
              <w:pStyle w:val="ListParagraph"/>
              <w:numPr>
                <w:ilvl w:val="0"/>
                <w:numId w:val="10"/>
              </w:numPr>
              <w:autoSpaceDE w:val="0"/>
              <w:autoSpaceDN w:val="0"/>
              <w:adjustRightInd w:val="0"/>
              <w:rPr>
                <w:rFonts w:cs="Calibri"/>
                <w:sz w:val="20"/>
                <w:szCs w:val="20"/>
              </w:rPr>
            </w:pPr>
            <w:r w:rsidRPr="00694CBD">
              <w:rPr>
                <w:rFonts w:cs="Calibri"/>
                <w:sz w:val="20"/>
                <w:szCs w:val="20"/>
              </w:rPr>
              <w:t>Ad hoc sessions</w:t>
            </w:r>
          </w:p>
          <w:p w14:paraId="70982453" w14:textId="77777777" w:rsidR="008574F9" w:rsidRPr="00694CBD" w:rsidRDefault="008574F9" w:rsidP="003510E2">
            <w:pPr>
              <w:pStyle w:val="ListParagraph"/>
              <w:numPr>
                <w:ilvl w:val="0"/>
                <w:numId w:val="10"/>
              </w:numPr>
              <w:autoSpaceDE w:val="0"/>
              <w:autoSpaceDN w:val="0"/>
              <w:adjustRightInd w:val="0"/>
              <w:rPr>
                <w:rFonts w:cs="Calibri"/>
                <w:sz w:val="20"/>
                <w:szCs w:val="20"/>
              </w:rPr>
            </w:pPr>
            <w:r w:rsidRPr="00694CBD">
              <w:rPr>
                <w:rFonts w:cs="Calibri"/>
                <w:sz w:val="20"/>
                <w:szCs w:val="20"/>
              </w:rPr>
              <w:t>Retreats and conferences</w:t>
            </w:r>
          </w:p>
          <w:p w14:paraId="01982506" w14:textId="61CF2BBE" w:rsidR="008574F9" w:rsidRPr="00694CBD" w:rsidRDefault="008574F9" w:rsidP="003510E2">
            <w:pPr>
              <w:pStyle w:val="ListParagraph"/>
              <w:numPr>
                <w:ilvl w:val="0"/>
                <w:numId w:val="10"/>
              </w:numPr>
              <w:autoSpaceDE w:val="0"/>
              <w:autoSpaceDN w:val="0"/>
              <w:adjustRightInd w:val="0"/>
              <w:rPr>
                <w:rFonts w:cs="Calibri"/>
                <w:sz w:val="20"/>
                <w:szCs w:val="20"/>
              </w:rPr>
            </w:pPr>
            <w:r w:rsidRPr="00694CBD">
              <w:rPr>
                <w:rFonts w:cs="Calibri"/>
                <w:sz w:val="20"/>
                <w:szCs w:val="20"/>
              </w:rPr>
              <w:t xml:space="preserve">Peer support missions (e.g. STAIT) </w:t>
            </w:r>
          </w:p>
        </w:tc>
        <w:tc>
          <w:tcPr>
            <w:tcW w:w="526" w:type="pct"/>
            <w:tcBorders>
              <w:bottom w:val="single" w:sz="4" w:space="0" w:color="auto"/>
            </w:tcBorders>
            <w:shd w:val="clear" w:color="auto" w:fill="auto"/>
          </w:tcPr>
          <w:p w14:paraId="44D10556" w14:textId="77777777" w:rsidR="008574F9" w:rsidRPr="00694CBD" w:rsidRDefault="008574F9" w:rsidP="00CB224C">
            <w:pPr>
              <w:autoSpaceDE w:val="0"/>
              <w:autoSpaceDN w:val="0"/>
              <w:adjustRightInd w:val="0"/>
              <w:rPr>
                <w:rFonts w:cs="Calibri,Bold"/>
                <w:bCs/>
                <w:sz w:val="20"/>
                <w:szCs w:val="20"/>
              </w:rPr>
            </w:pPr>
          </w:p>
        </w:tc>
        <w:tc>
          <w:tcPr>
            <w:tcW w:w="435" w:type="pct"/>
            <w:vMerge w:val="restart"/>
            <w:shd w:val="clear" w:color="auto" w:fill="auto"/>
          </w:tcPr>
          <w:p w14:paraId="21C689E3" w14:textId="7D112675" w:rsidR="008574F9" w:rsidRPr="00694CBD" w:rsidRDefault="008574F9" w:rsidP="00B07291">
            <w:pPr>
              <w:rPr>
                <w:sz w:val="20"/>
                <w:szCs w:val="20"/>
                <w:lang w:val="en-US"/>
              </w:rPr>
            </w:pPr>
            <w:r>
              <w:rPr>
                <w:sz w:val="20"/>
                <w:szCs w:val="20"/>
                <w:lang w:val="en-US"/>
              </w:rPr>
              <w:t>Oct</w:t>
            </w:r>
            <w:r w:rsidR="00EB1184">
              <w:rPr>
                <w:sz w:val="20"/>
                <w:szCs w:val="20"/>
                <w:lang w:val="en-US"/>
              </w:rPr>
              <w:t>ober</w:t>
            </w:r>
            <w:r>
              <w:rPr>
                <w:sz w:val="20"/>
                <w:szCs w:val="20"/>
                <w:lang w:val="en-US"/>
              </w:rPr>
              <w:t xml:space="preserve"> 2016 – Feb</w:t>
            </w:r>
            <w:r w:rsidR="00EB1184">
              <w:rPr>
                <w:sz w:val="20"/>
                <w:szCs w:val="20"/>
                <w:lang w:val="en-US"/>
              </w:rPr>
              <w:t>ruary</w:t>
            </w:r>
            <w:r w:rsidRPr="00694CBD">
              <w:rPr>
                <w:sz w:val="20"/>
                <w:szCs w:val="20"/>
                <w:lang w:val="en-US"/>
              </w:rPr>
              <w:t xml:space="preserve"> 2017 </w:t>
            </w:r>
          </w:p>
        </w:tc>
        <w:tc>
          <w:tcPr>
            <w:tcW w:w="984" w:type="pct"/>
            <w:gridSpan w:val="2"/>
            <w:vMerge w:val="restart"/>
            <w:shd w:val="clear" w:color="auto" w:fill="auto"/>
          </w:tcPr>
          <w:p w14:paraId="58A4A001" w14:textId="696A40C9" w:rsidR="008574F9" w:rsidRPr="006F3917" w:rsidRDefault="008574F9" w:rsidP="006F3917">
            <w:pPr>
              <w:pStyle w:val="ListParagraph"/>
              <w:numPr>
                <w:ilvl w:val="0"/>
                <w:numId w:val="16"/>
              </w:numPr>
              <w:rPr>
                <w:rFonts w:cs="Calibri"/>
                <w:sz w:val="20"/>
                <w:szCs w:val="20"/>
              </w:rPr>
            </w:pPr>
            <w:r w:rsidRPr="006F3917">
              <w:rPr>
                <w:rFonts w:cs="Calibri"/>
                <w:sz w:val="20"/>
                <w:szCs w:val="20"/>
              </w:rPr>
              <w:t xml:space="preserve">Brief reports from sessions </w:t>
            </w:r>
          </w:p>
        </w:tc>
        <w:tc>
          <w:tcPr>
            <w:tcW w:w="1288" w:type="pct"/>
            <w:tcBorders>
              <w:bottom w:val="single" w:sz="4" w:space="0" w:color="auto"/>
            </w:tcBorders>
            <w:shd w:val="clear" w:color="auto" w:fill="FFFFFF" w:themeFill="background1"/>
          </w:tcPr>
          <w:p w14:paraId="3E9B3EB3" w14:textId="77777777" w:rsidR="008574F9" w:rsidRPr="00694CBD" w:rsidRDefault="008574F9" w:rsidP="00F10BC6">
            <w:pPr>
              <w:ind w:left="360"/>
              <w:rPr>
                <w:sz w:val="20"/>
                <w:szCs w:val="20"/>
                <w:lang w:val="en-US"/>
              </w:rPr>
            </w:pPr>
          </w:p>
        </w:tc>
      </w:tr>
      <w:tr w:rsidR="00AC11CB" w:rsidRPr="007D041C" w14:paraId="6478863A" w14:textId="77777777" w:rsidTr="00864FA5">
        <w:tc>
          <w:tcPr>
            <w:tcW w:w="733" w:type="pct"/>
            <w:vMerge/>
            <w:shd w:val="clear" w:color="auto" w:fill="auto"/>
          </w:tcPr>
          <w:p w14:paraId="61259333" w14:textId="77777777" w:rsidR="008574F9" w:rsidRPr="00B07291" w:rsidRDefault="008574F9" w:rsidP="00B07291">
            <w:pPr>
              <w:rPr>
                <w:sz w:val="20"/>
                <w:szCs w:val="20"/>
              </w:rPr>
            </w:pPr>
          </w:p>
        </w:tc>
        <w:tc>
          <w:tcPr>
            <w:tcW w:w="1034" w:type="pct"/>
            <w:shd w:val="clear" w:color="auto" w:fill="auto"/>
          </w:tcPr>
          <w:p w14:paraId="3124EC55" w14:textId="22753A60" w:rsidR="008574F9" w:rsidRPr="00694CBD" w:rsidRDefault="008574F9" w:rsidP="00F55033">
            <w:pPr>
              <w:autoSpaceDE w:val="0"/>
              <w:autoSpaceDN w:val="0"/>
              <w:adjustRightInd w:val="0"/>
              <w:ind w:left="132"/>
              <w:rPr>
                <w:rFonts w:cs="Calibri"/>
                <w:sz w:val="20"/>
                <w:szCs w:val="20"/>
              </w:rPr>
            </w:pPr>
            <w:r w:rsidRPr="00694CBD">
              <w:rPr>
                <w:rFonts w:cs="Calibri"/>
                <w:sz w:val="20"/>
                <w:szCs w:val="20"/>
              </w:rPr>
              <w:t xml:space="preserve">HCs/RCs </w:t>
            </w:r>
          </w:p>
        </w:tc>
        <w:tc>
          <w:tcPr>
            <w:tcW w:w="526" w:type="pct"/>
            <w:tcBorders>
              <w:bottom w:val="single" w:sz="4" w:space="0" w:color="auto"/>
            </w:tcBorders>
            <w:shd w:val="clear" w:color="auto" w:fill="auto"/>
          </w:tcPr>
          <w:p w14:paraId="708B5437" w14:textId="47B8CBCB" w:rsidR="008574F9" w:rsidRPr="00694CBD" w:rsidRDefault="008574F9" w:rsidP="00CB224C">
            <w:pPr>
              <w:autoSpaceDE w:val="0"/>
              <w:autoSpaceDN w:val="0"/>
              <w:adjustRightInd w:val="0"/>
              <w:rPr>
                <w:rFonts w:cs="Calibri,Bold"/>
                <w:bCs/>
                <w:sz w:val="20"/>
                <w:szCs w:val="20"/>
              </w:rPr>
            </w:pPr>
            <w:r w:rsidRPr="00694CBD">
              <w:rPr>
                <w:rFonts w:cs="Calibri,Bold"/>
                <w:bCs/>
                <w:sz w:val="20"/>
                <w:szCs w:val="20"/>
              </w:rPr>
              <w:t>OCHA H</w:t>
            </w:r>
            <w:r w:rsidR="00AC11CB">
              <w:rPr>
                <w:rFonts w:cs="Calibri,Bold"/>
                <w:bCs/>
                <w:sz w:val="20"/>
                <w:szCs w:val="20"/>
              </w:rPr>
              <w:t>C</w:t>
            </w:r>
            <w:r w:rsidRPr="00694CBD">
              <w:rPr>
                <w:rFonts w:cs="Calibri,Bold"/>
                <w:bCs/>
                <w:sz w:val="20"/>
                <w:szCs w:val="20"/>
              </w:rPr>
              <w:t xml:space="preserve">SU </w:t>
            </w:r>
          </w:p>
        </w:tc>
        <w:tc>
          <w:tcPr>
            <w:tcW w:w="435" w:type="pct"/>
            <w:vMerge/>
            <w:shd w:val="clear" w:color="auto" w:fill="auto"/>
          </w:tcPr>
          <w:p w14:paraId="2C2AABEE" w14:textId="77777777" w:rsidR="008574F9" w:rsidRPr="00694CBD" w:rsidRDefault="008574F9" w:rsidP="00B07291">
            <w:pPr>
              <w:rPr>
                <w:sz w:val="20"/>
                <w:szCs w:val="20"/>
                <w:lang w:val="en-US"/>
              </w:rPr>
            </w:pPr>
          </w:p>
        </w:tc>
        <w:tc>
          <w:tcPr>
            <w:tcW w:w="984" w:type="pct"/>
            <w:gridSpan w:val="2"/>
            <w:vMerge/>
            <w:shd w:val="clear" w:color="auto" w:fill="auto"/>
          </w:tcPr>
          <w:p w14:paraId="7C129D4D" w14:textId="77777777" w:rsidR="008574F9" w:rsidRPr="00694CBD" w:rsidRDefault="008574F9" w:rsidP="00F10BC6">
            <w:pPr>
              <w:ind w:left="360"/>
              <w:rPr>
                <w:rFonts w:cs="Calibri"/>
                <w:sz w:val="20"/>
                <w:szCs w:val="20"/>
              </w:rPr>
            </w:pPr>
          </w:p>
        </w:tc>
        <w:tc>
          <w:tcPr>
            <w:tcW w:w="1288" w:type="pct"/>
            <w:tcBorders>
              <w:bottom w:val="single" w:sz="4" w:space="0" w:color="auto"/>
            </w:tcBorders>
            <w:shd w:val="clear" w:color="auto" w:fill="FFFFFF" w:themeFill="background1"/>
          </w:tcPr>
          <w:p w14:paraId="71299CFD" w14:textId="77777777" w:rsidR="008574F9" w:rsidRPr="00694CBD" w:rsidRDefault="008574F9" w:rsidP="00F10BC6">
            <w:pPr>
              <w:ind w:left="360"/>
              <w:rPr>
                <w:sz w:val="20"/>
                <w:szCs w:val="20"/>
                <w:lang w:val="en-US"/>
              </w:rPr>
            </w:pPr>
          </w:p>
        </w:tc>
      </w:tr>
      <w:tr w:rsidR="00AC11CB" w:rsidRPr="007D041C" w14:paraId="235894E8" w14:textId="77777777" w:rsidTr="00864FA5">
        <w:tc>
          <w:tcPr>
            <w:tcW w:w="733" w:type="pct"/>
            <w:vMerge/>
            <w:shd w:val="clear" w:color="auto" w:fill="auto"/>
          </w:tcPr>
          <w:p w14:paraId="7EC243B2" w14:textId="77777777" w:rsidR="008574F9" w:rsidRPr="00F10BC6" w:rsidRDefault="008574F9" w:rsidP="00F10BC6">
            <w:pPr>
              <w:jc w:val="both"/>
              <w:rPr>
                <w:sz w:val="20"/>
                <w:szCs w:val="20"/>
              </w:rPr>
            </w:pPr>
          </w:p>
        </w:tc>
        <w:tc>
          <w:tcPr>
            <w:tcW w:w="1034" w:type="pct"/>
            <w:shd w:val="clear" w:color="auto" w:fill="auto"/>
          </w:tcPr>
          <w:p w14:paraId="7DAC01B1" w14:textId="77777777" w:rsidR="008574F9" w:rsidRPr="00694CBD" w:rsidRDefault="008574F9" w:rsidP="006F3917">
            <w:pPr>
              <w:autoSpaceDE w:val="0"/>
              <w:autoSpaceDN w:val="0"/>
              <w:adjustRightInd w:val="0"/>
              <w:ind w:left="132"/>
              <w:rPr>
                <w:rFonts w:cs="Calibri"/>
                <w:sz w:val="20"/>
                <w:szCs w:val="20"/>
              </w:rPr>
            </w:pPr>
            <w:r w:rsidRPr="00694CBD">
              <w:rPr>
                <w:rFonts w:cs="Calibri"/>
                <w:sz w:val="20"/>
                <w:szCs w:val="20"/>
              </w:rPr>
              <w:t xml:space="preserve">Cluster Co-ordinators </w:t>
            </w:r>
          </w:p>
          <w:p w14:paraId="2BA24A6D" w14:textId="70B7207E" w:rsidR="008574F9" w:rsidRPr="00694CBD" w:rsidRDefault="008574F9" w:rsidP="006F3917">
            <w:pPr>
              <w:autoSpaceDE w:val="0"/>
              <w:autoSpaceDN w:val="0"/>
              <w:adjustRightInd w:val="0"/>
              <w:ind w:left="132"/>
              <w:rPr>
                <w:rFonts w:cs="Calibri"/>
                <w:sz w:val="20"/>
                <w:szCs w:val="20"/>
              </w:rPr>
            </w:pPr>
            <w:r w:rsidRPr="00694CBD">
              <w:rPr>
                <w:rFonts w:cs="Calibri"/>
                <w:sz w:val="20"/>
                <w:szCs w:val="20"/>
              </w:rPr>
              <w:t>Inter-cluster Co-ordinators</w:t>
            </w:r>
          </w:p>
          <w:p w14:paraId="7262F598" w14:textId="77777777" w:rsidR="008574F9" w:rsidRPr="00694CBD" w:rsidRDefault="008574F9" w:rsidP="006F3917">
            <w:pPr>
              <w:autoSpaceDE w:val="0"/>
              <w:autoSpaceDN w:val="0"/>
              <w:adjustRightInd w:val="0"/>
              <w:ind w:left="132"/>
              <w:rPr>
                <w:rFonts w:cs="Calibri"/>
                <w:sz w:val="20"/>
                <w:szCs w:val="20"/>
              </w:rPr>
            </w:pPr>
            <w:r w:rsidRPr="00694CBD">
              <w:rPr>
                <w:rFonts w:cs="Calibri"/>
                <w:sz w:val="20"/>
                <w:szCs w:val="20"/>
              </w:rPr>
              <w:t>Cluster members</w:t>
            </w:r>
          </w:p>
          <w:p w14:paraId="3B6C3D2B" w14:textId="77777777" w:rsidR="008574F9" w:rsidRPr="00694CBD" w:rsidRDefault="008574F9" w:rsidP="00E30BF4">
            <w:pPr>
              <w:autoSpaceDE w:val="0"/>
              <w:autoSpaceDN w:val="0"/>
              <w:adjustRightInd w:val="0"/>
              <w:rPr>
                <w:rFonts w:cs="Calibri"/>
                <w:sz w:val="20"/>
                <w:szCs w:val="20"/>
              </w:rPr>
            </w:pPr>
          </w:p>
        </w:tc>
        <w:tc>
          <w:tcPr>
            <w:tcW w:w="526" w:type="pct"/>
            <w:tcBorders>
              <w:bottom w:val="single" w:sz="4" w:space="0" w:color="auto"/>
            </w:tcBorders>
            <w:shd w:val="clear" w:color="auto" w:fill="auto"/>
          </w:tcPr>
          <w:p w14:paraId="42735CB5" w14:textId="7C016ABE" w:rsidR="008574F9" w:rsidRPr="00694CBD" w:rsidRDefault="008574F9" w:rsidP="00C64DA2">
            <w:pPr>
              <w:autoSpaceDE w:val="0"/>
              <w:autoSpaceDN w:val="0"/>
              <w:adjustRightInd w:val="0"/>
              <w:rPr>
                <w:rFonts w:cs="Calibri,Bold"/>
                <w:bCs/>
                <w:sz w:val="20"/>
                <w:szCs w:val="20"/>
              </w:rPr>
            </w:pPr>
            <w:r w:rsidRPr="00694CBD">
              <w:rPr>
                <w:rFonts w:cs="Calibri,Bold"/>
                <w:bCs/>
                <w:sz w:val="20"/>
                <w:szCs w:val="20"/>
              </w:rPr>
              <w:t xml:space="preserve">OCHA </w:t>
            </w:r>
          </w:p>
          <w:p w14:paraId="5EB86D89" w14:textId="1A77A175" w:rsidR="008574F9" w:rsidRPr="00694CBD" w:rsidRDefault="008574F9" w:rsidP="00C64DA2">
            <w:pPr>
              <w:autoSpaceDE w:val="0"/>
              <w:autoSpaceDN w:val="0"/>
              <w:adjustRightInd w:val="0"/>
              <w:rPr>
                <w:rFonts w:cs="Calibri,Bold"/>
                <w:bCs/>
                <w:sz w:val="20"/>
                <w:szCs w:val="20"/>
              </w:rPr>
            </w:pPr>
            <w:r w:rsidRPr="00694CBD">
              <w:rPr>
                <w:rFonts w:cs="Calibri,Bold"/>
                <w:bCs/>
                <w:sz w:val="20"/>
                <w:szCs w:val="20"/>
              </w:rPr>
              <w:t xml:space="preserve">Cluster Lead Agencies/GCG, Cluster Coordinators </w:t>
            </w:r>
          </w:p>
        </w:tc>
        <w:tc>
          <w:tcPr>
            <w:tcW w:w="435" w:type="pct"/>
            <w:vMerge/>
            <w:shd w:val="clear" w:color="auto" w:fill="auto"/>
          </w:tcPr>
          <w:p w14:paraId="644EFC2E" w14:textId="77777777" w:rsidR="008574F9" w:rsidRPr="00694CBD" w:rsidRDefault="008574F9" w:rsidP="00F10BC6">
            <w:pPr>
              <w:ind w:left="360"/>
              <w:rPr>
                <w:sz w:val="20"/>
                <w:szCs w:val="20"/>
                <w:lang w:val="en-US"/>
              </w:rPr>
            </w:pPr>
          </w:p>
        </w:tc>
        <w:tc>
          <w:tcPr>
            <w:tcW w:w="984" w:type="pct"/>
            <w:gridSpan w:val="2"/>
            <w:vMerge/>
            <w:shd w:val="clear" w:color="auto" w:fill="auto"/>
          </w:tcPr>
          <w:p w14:paraId="452D61A1" w14:textId="77777777" w:rsidR="008574F9" w:rsidRPr="00694CBD" w:rsidRDefault="008574F9" w:rsidP="00F10BC6">
            <w:pPr>
              <w:ind w:left="360"/>
              <w:rPr>
                <w:rFonts w:cs="Calibri"/>
                <w:sz w:val="20"/>
                <w:szCs w:val="20"/>
              </w:rPr>
            </w:pPr>
          </w:p>
        </w:tc>
        <w:tc>
          <w:tcPr>
            <w:tcW w:w="1288" w:type="pct"/>
            <w:tcBorders>
              <w:bottom w:val="single" w:sz="4" w:space="0" w:color="auto"/>
            </w:tcBorders>
            <w:shd w:val="clear" w:color="auto" w:fill="FFFFFF" w:themeFill="background1"/>
          </w:tcPr>
          <w:p w14:paraId="79072D0F" w14:textId="77777777" w:rsidR="008574F9" w:rsidRPr="00694CBD" w:rsidRDefault="008574F9" w:rsidP="00ED597B">
            <w:pPr>
              <w:rPr>
                <w:sz w:val="20"/>
                <w:szCs w:val="20"/>
                <w:lang w:val="en-US"/>
              </w:rPr>
            </w:pPr>
          </w:p>
        </w:tc>
      </w:tr>
      <w:tr w:rsidR="00AC11CB" w:rsidRPr="007D041C" w14:paraId="5DDFFC65" w14:textId="77777777" w:rsidTr="00864FA5">
        <w:tc>
          <w:tcPr>
            <w:tcW w:w="733" w:type="pct"/>
            <w:vMerge/>
            <w:shd w:val="clear" w:color="auto" w:fill="auto"/>
          </w:tcPr>
          <w:p w14:paraId="185556E2" w14:textId="77777777" w:rsidR="008574F9" w:rsidRDefault="008574F9" w:rsidP="00F10BC6">
            <w:pPr>
              <w:jc w:val="both"/>
              <w:rPr>
                <w:sz w:val="20"/>
                <w:szCs w:val="20"/>
              </w:rPr>
            </w:pPr>
          </w:p>
        </w:tc>
        <w:tc>
          <w:tcPr>
            <w:tcW w:w="1034" w:type="pct"/>
            <w:shd w:val="clear" w:color="auto" w:fill="auto"/>
          </w:tcPr>
          <w:p w14:paraId="1CF2E456" w14:textId="77777777" w:rsidR="008574F9" w:rsidRPr="00694CBD" w:rsidRDefault="008574F9" w:rsidP="006F3917">
            <w:pPr>
              <w:autoSpaceDE w:val="0"/>
              <w:autoSpaceDN w:val="0"/>
              <w:adjustRightInd w:val="0"/>
              <w:ind w:left="132"/>
              <w:rPr>
                <w:rFonts w:cs="Calibri"/>
                <w:sz w:val="20"/>
                <w:szCs w:val="20"/>
              </w:rPr>
            </w:pPr>
            <w:r w:rsidRPr="00694CBD">
              <w:rPr>
                <w:rFonts w:cs="Calibri"/>
                <w:sz w:val="20"/>
                <w:szCs w:val="20"/>
              </w:rPr>
              <w:t xml:space="preserve">Other IASC mechanisms: </w:t>
            </w:r>
          </w:p>
          <w:p w14:paraId="69565FCA" w14:textId="0D484E93" w:rsidR="008574F9" w:rsidRPr="00694CBD" w:rsidRDefault="008574F9" w:rsidP="00F55033">
            <w:pPr>
              <w:autoSpaceDE w:val="0"/>
              <w:autoSpaceDN w:val="0"/>
              <w:adjustRightInd w:val="0"/>
              <w:ind w:left="132"/>
              <w:rPr>
                <w:rFonts w:cs="Calibri"/>
                <w:sz w:val="20"/>
                <w:szCs w:val="20"/>
              </w:rPr>
            </w:pPr>
            <w:r w:rsidRPr="00694CBD">
              <w:rPr>
                <w:rFonts w:cs="Calibri"/>
                <w:sz w:val="20"/>
                <w:szCs w:val="20"/>
              </w:rPr>
              <w:t xml:space="preserve">EDG, STAIT </w:t>
            </w:r>
          </w:p>
        </w:tc>
        <w:tc>
          <w:tcPr>
            <w:tcW w:w="526" w:type="pct"/>
            <w:tcBorders>
              <w:bottom w:val="single" w:sz="4" w:space="0" w:color="auto"/>
            </w:tcBorders>
            <w:shd w:val="clear" w:color="auto" w:fill="auto"/>
          </w:tcPr>
          <w:p w14:paraId="31A5B1A9" w14:textId="176EF30E" w:rsidR="008574F9" w:rsidRPr="00694CBD" w:rsidRDefault="001B58C7" w:rsidP="003510E2">
            <w:pPr>
              <w:autoSpaceDE w:val="0"/>
              <w:autoSpaceDN w:val="0"/>
              <w:adjustRightInd w:val="0"/>
              <w:rPr>
                <w:rFonts w:cs="Calibri,Bold"/>
                <w:bCs/>
                <w:sz w:val="20"/>
                <w:szCs w:val="20"/>
              </w:rPr>
            </w:pPr>
            <w:r>
              <w:rPr>
                <w:rFonts w:cs="Calibri,Bold"/>
                <w:bCs/>
                <w:sz w:val="20"/>
                <w:szCs w:val="20"/>
              </w:rPr>
              <w:t xml:space="preserve">EDG/STAIT </w:t>
            </w:r>
          </w:p>
        </w:tc>
        <w:tc>
          <w:tcPr>
            <w:tcW w:w="435" w:type="pct"/>
            <w:vMerge/>
            <w:shd w:val="clear" w:color="auto" w:fill="auto"/>
          </w:tcPr>
          <w:p w14:paraId="3C9D5BBD" w14:textId="77777777" w:rsidR="008574F9" w:rsidRPr="00694CBD" w:rsidRDefault="008574F9" w:rsidP="00F10BC6">
            <w:pPr>
              <w:ind w:left="360"/>
              <w:rPr>
                <w:sz w:val="20"/>
                <w:szCs w:val="20"/>
                <w:lang w:val="en-US"/>
              </w:rPr>
            </w:pPr>
          </w:p>
        </w:tc>
        <w:tc>
          <w:tcPr>
            <w:tcW w:w="984" w:type="pct"/>
            <w:gridSpan w:val="2"/>
            <w:vMerge/>
            <w:shd w:val="clear" w:color="auto" w:fill="auto"/>
          </w:tcPr>
          <w:p w14:paraId="7BD5361A" w14:textId="77777777" w:rsidR="008574F9" w:rsidRPr="00694CBD" w:rsidRDefault="008574F9" w:rsidP="00F10BC6">
            <w:pPr>
              <w:ind w:left="360"/>
              <w:rPr>
                <w:rFonts w:cs="Calibri"/>
                <w:sz w:val="20"/>
                <w:szCs w:val="20"/>
              </w:rPr>
            </w:pPr>
          </w:p>
        </w:tc>
        <w:tc>
          <w:tcPr>
            <w:tcW w:w="1288" w:type="pct"/>
            <w:tcBorders>
              <w:bottom w:val="single" w:sz="4" w:space="0" w:color="auto"/>
            </w:tcBorders>
            <w:shd w:val="clear" w:color="auto" w:fill="FFFFFF" w:themeFill="background1"/>
          </w:tcPr>
          <w:p w14:paraId="3D89787C" w14:textId="77777777" w:rsidR="008574F9" w:rsidRPr="00694CBD" w:rsidRDefault="008574F9" w:rsidP="00F10BC6">
            <w:pPr>
              <w:ind w:left="360"/>
              <w:rPr>
                <w:sz w:val="20"/>
                <w:szCs w:val="20"/>
                <w:lang w:val="en-US"/>
              </w:rPr>
            </w:pPr>
          </w:p>
        </w:tc>
      </w:tr>
      <w:tr w:rsidR="00AC11CB" w:rsidRPr="007D041C" w14:paraId="45073B0B" w14:textId="77777777" w:rsidTr="00864FA5">
        <w:tc>
          <w:tcPr>
            <w:tcW w:w="733" w:type="pct"/>
            <w:vMerge/>
            <w:shd w:val="clear" w:color="auto" w:fill="auto"/>
          </w:tcPr>
          <w:p w14:paraId="74E2963D" w14:textId="77777777" w:rsidR="008574F9" w:rsidRDefault="008574F9" w:rsidP="00F10BC6">
            <w:pPr>
              <w:jc w:val="both"/>
              <w:rPr>
                <w:sz w:val="20"/>
                <w:szCs w:val="20"/>
              </w:rPr>
            </w:pPr>
          </w:p>
        </w:tc>
        <w:tc>
          <w:tcPr>
            <w:tcW w:w="1034" w:type="pct"/>
            <w:shd w:val="clear" w:color="auto" w:fill="auto"/>
          </w:tcPr>
          <w:p w14:paraId="33AAA36A" w14:textId="77777777" w:rsidR="008574F9" w:rsidRPr="00694CBD" w:rsidRDefault="008574F9" w:rsidP="006F3917">
            <w:pPr>
              <w:autoSpaceDE w:val="0"/>
              <w:autoSpaceDN w:val="0"/>
              <w:adjustRightInd w:val="0"/>
              <w:ind w:left="132"/>
              <w:rPr>
                <w:rFonts w:cs="Calibri"/>
                <w:sz w:val="20"/>
                <w:szCs w:val="20"/>
              </w:rPr>
            </w:pPr>
            <w:r w:rsidRPr="00694CBD">
              <w:rPr>
                <w:rFonts w:cs="Calibri"/>
                <w:sz w:val="20"/>
                <w:szCs w:val="20"/>
              </w:rPr>
              <w:t xml:space="preserve">Individual IASC organisations &amp; </w:t>
            </w:r>
          </w:p>
          <w:p w14:paraId="5CEC5B3B" w14:textId="29FB22DD" w:rsidR="008574F9" w:rsidRPr="00694CBD" w:rsidRDefault="008574F9" w:rsidP="00F55033">
            <w:pPr>
              <w:autoSpaceDE w:val="0"/>
              <w:autoSpaceDN w:val="0"/>
              <w:adjustRightInd w:val="0"/>
              <w:ind w:left="132"/>
              <w:rPr>
                <w:rFonts w:cs="Calibri"/>
                <w:sz w:val="20"/>
                <w:szCs w:val="20"/>
              </w:rPr>
            </w:pPr>
            <w:r w:rsidRPr="00694CBD">
              <w:rPr>
                <w:rFonts w:cs="Calibri"/>
                <w:sz w:val="20"/>
                <w:szCs w:val="20"/>
              </w:rPr>
              <w:t xml:space="preserve">NGO Consortia members </w:t>
            </w:r>
          </w:p>
        </w:tc>
        <w:tc>
          <w:tcPr>
            <w:tcW w:w="526" w:type="pct"/>
            <w:tcBorders>
              <w:bottom w:val="single" w:sz="4" w:space="0" w:color="auto"/>
            </w:tcBorders>
            <w:shd w:val="clear" w:color="auto" w:fill="auto"/>
          </w:tcPr>
          <w:p w14:paraId="7274DC25" w14:textId="21691B93" w:rsidR="008574F9" w:rsidRPr="00694CBD" w:rsidRDefault="008574F9" w:rsidP="003510E2">
            <w:pPr>
              <w:autoSpaceDE w:val="0"/>
              <w:autoSpaceDN w:val="0"/>
              <w:adjustRightInd w:val="0"/>
              <w:rPr>
                <w:rFonts w:cs="Calibri,Bold"/>
                <w:bCs/>
                <w:sz w:val="20"/>
                <w:szCs w:val="20"/>
              </w:rPr>
            </w:pPr>
            <w:r w:rsidRPr="00694CBD">
              <w:rPr>
                <w:rFonts w:cs="Calibri,Bold"/>
                <w:bCs/>
                <w:sz w:val="20"/>
                <w:szCs w:val="20"/>
              </w:rPr>
              <w:t xml:space="preserve">All IASC members </w:t>
            </w:r>
          </w:p>
        </w:tc>
        <w:tc>
          <w:tcPr>
            <w:tcW w:w="435" w:type="pct"/>
            <w:vMerge/>
            <w:shd w:val="clear" w:color="auto" w:fill="auto"/>
          </w:tcPr>
          <w:p w14:paraId="082E5EFF" w14:textId="77777777" w:rsidR="008574F9" w:rsidRPr="00694CBD" w:rsidRDefault="008574F9" w:rsidP="00F10BC6">
            <w:pPr>
              <w:ind w:left="360"/>
              <w:rPr>
                <w:sz w:val="20"/>
                <w:szCs w:val="20"/>
                <w:lang w:val="en-US"/>
              </w:rPr>
            </w:pPr>
          </w:p>
        </w:tc>
        <w:tc>
          <w:tcPr>
            <w:tcW w:w="984" w:type="pct"/>
            <w:gridSpan w:val="2"/>
            <w:vMerge/>
            <w:shd w:val="clear" w:color="auto" w:fill="auto"/>
          </w:tcPr>
          <w:p w14:paraId="75FF114F" w14:textId="77777777" w:rsidR="008574F9" w:rsidRPr="00694CBD" w:rsidRDefault="008574F9" w:rsidP="00F10BC6">
            <w:pPr>
              <w:ind w:left="360"/>
              <w:rPr>
                <w:rFonts w:cs="Calibri"/>
                <w:sz w:val="20"/>
                <w:szCs w:val="20"/>
              </w:rPr>
            </w:pPr>
          </w:p>
        </w:tc>
        <w:tc>
          <w:tcPr>
            <w:tcW w:w="1288" w:type="pct"/>
            <w:tcBorders>
              <w:bottom w:val="single" w:sz="4" w:space="0" w:color="auto"/>
            </w:tcBorders>
            <w:shd w:val="clear" w:color="auto" w:fill="FFFFFF" w:themeFill="background1"/>
          </w:tcPr>
          <w:p w14:paraId="5547F823" w14:textId="77777777" w:rsidR="008574F9" w:rsidRPr="00694CBD" w:rsidRDefault="008574F9" w:rsidP="00F10BC6">
            <w:pPr>
              <w:ind w:left="360"/>
              <w:rPr>
                <w:sz w:val="20"/>
                <w:szCs w:val="20"/>
                <w:lang w:val="en-US"/>
              </w:rPr>
            </w:pPr>
          </w:p>
        </w:tc>
      </w:tr>
      <w:tr w:rsidR="00AC11CB" w:rsidRPr="007D041C" w14:paraId="7152D863" w14:textId="77777777" w:rsidTr="00864FA5">
        <w:tc>
          <w:tcPr>
            <w:tcW w:w="733" w:type="pct"/>
            <w:vMerge/>
            <w:shd w:val="clear" w:color="auto" w:fill="auto"/>
          </w:tcPr>
          <w:p w14:paraId="4170F727" w14:textId="77777777" w:rsidR="008574F9" w:rsidRDefault="008574F9" w:rsidP="00F10BC6">
            <w:pPr>
              <w:jc w:val="both"/>
              <w:rPr>
                <w:sz w:val="20"/>
                <w:szCs w:val="20"/>
              </w:rPr>
            </w:pPr>
          </w:p>
        </w:tc>
        <w:tc>
          <w:tcPr>
            <w:tcW w:w="1034" w:type="pct"/>
            <w:shd w:val="clear" w:color="auto" w:fill="auto"/>
          </w:tcPr>
          <w:p w14:paraId="25C66B10" w14:textId="77777777" w:rsidR="008574F9" w:rsidRPr="00694CBD" w:rsidRDefault="008574F9" w:rsidP="006F3917">
            <w:pPr>
              <w:autoSpaceDE w:val="0"/>
              <w:autoSpaceDN w:val="0"/>
              <w:adjustRightInd w:val="0"/>
              <w:ind w:left="132"/>
              <w:rPr>
                <w:rFonts w:cs="Calibri"/>
                <w:sz w:val="20"/>
                <w:szCs w:val="20"/>
              </w:rPr>
            </w:pPr>
            <w:r w:rsidRPr="00694CBD">
              <w:rPr>
                <w:rFonts w:cs="Calibri"/>
                <w:sz w:val="20"/>
                <w:szCs w:val="20"/>
              </w:rPr>
              <w:t xml:space="preserve">Donors </w:t>
            </w:r>
          </w:p>
          <w:p w14:paraId="4805FAC3" w14:textId="77777777" w:rsidR="008574F9" w:rsidRPr="00694CBD" w:rsidRDefault="008574F9" w:rsidP="005A44DE">
            <w:pPr>
              <w:pStyle w:val="ListParagraph"/>
              <w:numPr>
                <w:ilvl w:val="0"/>
                <w:numId w:val="13"/>
              </w:numPr>
              <w:autoSpaceDE w:val="0"/>
              <w:autoSpaceDN w:val="0"/>
              <w:adjustRightInd w:val="0"/>
              <w:rPr>
                <w:rFonts w:cs="Calibri"/>
                <w:sz w:val="20"/>
                <w:szCs w:val="20"/>
              </w:rPr>
            </w:pPr>
            <w:r w:rsidRPr="00694CBD">
              <w:rPr>
                <w:rFonts w:cs="Calibri"/>
                <w:sz w:val="20"/>
                <w:szCs w:val="20"/>
              </w:rPr>
              <w:t xml:space="preserve">Donor meetings – GVA and NYC  </w:t>
            </w:r>
          </w:p>
          <w:p w14:paraId="2871DC4A" w14:textId="77777777" w:rsidR="008574F9" w:rsidRPr="00694CBD" w:rsidRDefault="008574F9" w:rsidP="005A44DE">
            <w:pPr>
              <w:pStyle w:val="ListParagraph"/>
              <w:numPr>
                <w:ilvl w:val="0"/>
                <w:numId w:val="13"/>
              </w:numPr>
              <w:autoSpaceDE w:val="0"/>
              <w:autoSpaceDN w:val="0"/>
              <w:adjustRightInd w:val="0"/>
              <w:rPr>
                <w:rFonts w:cs="Calibri"/>
                <w:sz w:val="20"/>
                <w:szCs w:val="20"/>
              </w:rPr>
            </w:pPr>
            <w:r w:rsidRPr="00694CBD">
              <w:rPr>
                <w:rFonts w:cs="Calibri"/>
                <w:sz w:val="20"/>
                <w:szCs w:val="20"/>
              </w:rPr>
              <w:t xml:space="preserve">GPC-Donor Dialogue </w:t>
            </w:r>
          </w:p>
          <w:p w14:paraId="331CC75E" w14:textId="77777777" w:rsidR="008574F9" w:rsidRPr="00694CBD" w:rsidRDefault="008574F9" w:rsidP="00F10BC6">
            <w:pPr>
              <w:pStyle w:val="ListParagraph"/>
              <w:numPr>
                <w:ilvl w:val="0"/>
                <w:numId w:val="13"/>
              </w:numPr>
              <w:autoSpaceDE w:val="0"/>
              <w:autoSpaceDN w:val="0"/>
              <w:adjustRightInd w:val="0"/>
              <w:rPr>
                <w:rFonts w:cs="Calibri"/>
                <w:sz w:val="20"/>
                <w:szCs w:val="20"/>
              </w:rPr>
            </w:pPr>
            <w:r w:rsidRPr="00694CBD">
              <w:rPr>
                <w:rFonts w:cs="Calibri"/>
                <w:sz w:val="20"/>
                <w:szCs w:val="20"/>
              </w:rPr>
              <w:t xml:space="preserve">GHD </w:t>
            </w:r>
          </w:p>
        </w:tc>
        <w:tc>
          <w:tcPr>
            <w:tcW w:w="526" w:type="pct"/>
            <w:tcBorders>
              <w:bottom w:val="single" w:sz="4" w:space="0" w:color="auto"/>
            </w:tcBorders>
            <w:shd w:val="clear" w:color="auto" w:fill="auto"/>
          </w:tcPr>
          <w:p w14:paraId="72193BBC" w14:textId="77777777" w:rsidR="008574F9" w:rsidRPr="00694CBD" w:rsidRDefault="008574F9" w:rsidP="003510E2">
            <w:pPr>
              <w:autoSpaceDE w:val="0"/>
              <w:autoSpaceDN w:val="0"/>
              <w:adjustRightInd w:val="0"/>
              <w:rPr>
                <w:rFonts w:cs="Calibri,Bold"/>
                <w:bCs/>
                <w:sz w:val="20"/>
                <w:szCs w:val="20"/>
              </w:rPr>
            </w:pPr>
          </w:p>
          <w:p w14:paraId="4D158C4A" w14:textId="77777777" w:rsidR="008574F9" w:rsidRPr="00694CBD" w:rsidRDefault="008574F9" w:rsidP="006F3917">
            <w:pPr>
              <w:pStyle w:val="ListParagraph"/>
              <w:numPr>
                <w:ilvl w:val="0"/>
                <w:numId w:val="13"/>
              </w:numPr>
              <w:autoSpaceDE w:val="0"/>
              <w:autoSpaceDN w:val="0"/>
              <w:adjustRightInd w:val="0"/>
              <w:ind w:left="344"/>
              <w:rPr>
                <w:rFonts w:cs="Calibri,Bold"/>
                <w:bCs/>
                <w:sz w:val="20"/>
                <w:szCs w:val="20"/>
              </w:rPr>
            </w:pPr>
            <w:r w:rsidRPr="00694CBD">
              <w:rPr>
                <w:rFonts w:cs="Calibri,Bold"/>
                <w:bCs/>
                <w:sz w:val="20"/>
                <w:szCs w:val="20"/>
              </w:rPr>
              <w:t>OCHA</w:t>
            </w:r>
          </w:p>
          <w:p w14:paraId="4EB3C96D" w14:textId="77777777" w:rsidR="008574F9" w:rsidRPr="00694CBD" w:rsidRDefault="008574F9" w:rsidP="005A44DE">
            <w:pPr>
              <w:pStyle w:val="ListParagraph"/>
              <w:numPr>
                <w:ilvl w:val="0"/>
                <w:numId w:val="14"/>
              </w:numPr>
              <w:autoSpaceDE w:val="0"/>
              <w:autoSpaceDN w:val="0"/>
              <w:adjustRightInd w:val="0"/>
              <w:rPr>
                <w:rFonts w:cs="Calibri,Bold"/>
                <w:bCs/>
                <w:sz w:val="20"/>
                <w:szCs w:val="20"/>
              </w:rPr>
            </w:pPr>
            <w:r w:rsidRPr="00694CBD">
              <w:rPr>
                <w:rFonts w:cs="Calibri,Bold"/>
                <w:bCs/>
                <w:sz w:val="20"/>
                <w:szCs w:val="20"/>
              </w:rPr>
              <w:t xml:space="preserve">GPC Coordinator </w:t>
            </w:r>
          </w:p>
          <w:p w14:paraId="62432C91" w14:textId="0BBAC2B9" w:rsidR="008574F9" w:rsidRPr="00694CBD" w:rsidRDefault="008574F9" w:rsidP="005A44DE">
            <w:pPr>
              <w:pStyle w:val="ListParagraph"/>
              <w:numPr>
                <w:ilvl w:val="0"/>
                <w:numId w:val="14"/>
              </w:numPr>
              <w:autoSpaceDE w:val="0"/>
              <w:autoSpaceDN w:val="0"/>
              <w:adjustRightInd w:val="0"/>
              <w:rPr>
                <w:rFonts w:cs="Calibri,Bold"/>
                <w:bCs/>
                <w:sz w:val="20"/>
                <w:szCs w:val="20"/>
              </w:rPr>
            </w:pPr>
            <w:r w:rsidRPr="00694CBD">
              <w:rPr>
                <w:rFonts w:cs="Calibri,Bold"/>
                <w:bCs/>
                <w:sz w:val="20"/>
                <w:szCs w:val="20"/>
              </w:rPr>
              <w:t>All IASC members</w:t>
            </w:r>
          </w:p>
        </w:tc>
        <w:tc>
          <w:tcPr>
            <w:tcW w:w="435" w:type="pct"/>
            <w:vMerge/>
            <w:shd w:val="clear" w:color="auto" w:fill="auto"/>
          </w:tcPr>
          <w:p w14:paraId="4611ABF0" w14:textId="77777777" w:rsidR="008574F9" w:rsidRPr="00694CBD" w:rsidRDefault="008574F9" w:rsidP="00F10BC6">
            <w:pPr>
              <w:ind w:left="360"/>
              <w:rPr>
                <w:sz w:val="20"/>
                <w:szCs w:val="20"/>
                <w:lang w:val="en-US"/>
              </w:rPr>
            </w:pPr>
          </w:p>
        </w:tc>
        <w:tc>
          <w:tcPr>
            <w:tcW w:w="984" w:type="pct"/>
            <w:gridSpan w:val="2"/>
            <w:vMerge/>
            <w:shd w:val="clear" w:color="auto" w:fill="auto"/>
          </w:tcPr>
          <w:p w14:paraId="2EFDFA4B" w14:textId="77777777" w:rsidR="008574F9" w:rsidRPr="00694CBD" w:rsidRDefault="008574F9" w:rsidP="00F10BC6">
            <w:pPr>
              <w:ind w:left="360"/>
              <w:rPr>
                <w:rFonts w:cs="Calibri"/>
                <w:sz w:val="20"/>
                <w:szCs w:val="20"/>
              </w:rPr>
            </w:pPr>
          </w:p>
        </w:tc>
        <w:tc>
          <w:tcPr>
            <w:tcW w:w="1288" w:type="pct"/>
            <w:tcBorders>
              <w:bottom w:val="single" w:sz="4" w:space="0" w:color="auto"/>
            </w:tcBorders>
            <w:shd w:val="clear" w:color="auto" w:fill="FFFFFF" w:themeFill="background1"/>
          </w:tcPr>
          <w:p w14:paraId="6077DC7F" w14:textId="77777777" w:rsidR="008574F9" w:rsidRPr="00694CBD" w:rsidRDefault="008574F9" w:rsidP="00F10BC6">
            <w:pPr>
              <w:ind w:left="360"/>
              <w:rPr>
                <w:sz w:val="20"/>
                <w:szCs w:val="20"/>
                <w:lang w:val="en-US"/>
              </w:rPr>
            </w:pPr>
          </w:p>
        </w:tc>
      </w:tr>
      <w:tr w:rsidR="00864FA5" w:rsidRPr="00F861D1" w14:paraId="74A59DCC" w14:textId="77777777" w:rsidTr="00864FA5">
        <w:trPr>
          <w:trHeight w:val="417"/>
        </w:trPr>
        <w:tc>
          <w:tcPr>
            <w:tcW w:w="5000" w:type="pct"/>
            <w:gridSpan w:val="7"/>
            <w:tcBorders>
              <w:bottom w:val="single" w:sz="4" w:space="0" w:color="auto"/>
            </w:tcBorders>
            <w:shd w:val="clear" w:color="auto" w:fill="BFBFBF" w:themeFill="background1" w:themeFillShade="BF"/>
          </w:tcPr>
          <w:p w14:paraId="2300E6DE" w14:textId="6C2C503C" w:rsidR="00864FA5" w:rsidRPr="00864FA5" w:rsidRDefault="00864FA5" w:rsidP="00864FA5">
            <w:pPr>
              <w:pStyle w:val="ListParagraph"/>
              <w:numPr>
                <w:ilvl w:val="0"/>
                <w:numId w:val="21"/>
              </w:numPr>
              <w:rPr>
                <w:b/>
                <w:sz w:val="24"/>
                <w:szCs w:val="24"/>
                <w:lang w:val="en-US"/>
              </w:rPr>
            </w:pPr>
            <w:r w:rsidRPr="00864FA5">
              <w:rPr>
                <w:b/>
                <w:sz w:val="24"/>
                <w:szCs w:val="24"/>
                <w:lang w:val="en-US"/>
              </w:rPr>
              <w:t xml:space="preserve">INSTITUTIONALISATION </w:t>
            </w:r>
          </w:p>
        </w:tc>
      </w:tr>
      <w:tr w:rsidR="00F55033" w:rsidRPr="00F861D1" w14:paraId="54CC4E07" w14:textId="77777777" w:rsidTr="00F55033">
        <w:trPr>
          <w:trHeight w:val="417"/>
        </w:trPr>
        <w:tc>
          <w:tcPr>
            <w:tcW w:w="733" w:type="pct"/>
            <w:tcBorders>
              <w:bottom w:val="single" w:sz="4" w:space="0" w:color="auto"/>
            </w:tcBorders>
            <w:shd w:val="clear" w:color="auto" w:fill="BFBFBF" w:themeFill="background1" w:themeFillShade="BF"/>
          </w:tcPr>
          <w:p w14:paraId="0536FD8B" w14:textId="77777777" w:rsidR="00885B4E" w:rsidRPr="00335E02" w:rsidRDefault="002E50AF" w:rsidP="00B05FA0">
            <w:pPr>
              <w:rPr>
                <w:b/>
                <w:sz w:val="20"/>
                <w:szCs w:val="20"/>
                <w:lang w:val="en-US"/>
              </w:rPr>
            </w:pPr>
            <w:r w:rsidRPr="00335E02">
              <w:rPr>
                <w:b/>
                <w:sz w:val="20"/>
                <w:szCs w:val="20"/>
                <w:lang w:val="en-US"/>
              </w:rPr>
              <w:t xml:space="preserve">Key Activity </w:t>
            </w:r>
          </w:p>
        </w:tc>
        <w:tc>
          <w:tcPr>
            <w:tcW w:w="1034" w:type="pct"/>
            <w:tcBorders>
              <w:bottom w:val="single" w:sz="4" w:space="0" w:color="auto"/>
            </w:tcBorders>
            <w:shd w:val="clear" w:color="auto" w:fill="BFBFBF" w:themeFill="background1" w:themeFillShade="BF"/>
          </w:tcPr>
          <w:p w14:paraId="29A967FB" w14:textId="77777777" w:rsidR="00885B4E" w:rsidRPr="00335E02" w:rsidRDefault="00885B4E" w:rsidP="00B05FA0">
            <w:pPr>
              <w:rPr>
                <w:b/>
                <w:sz w:val="20"/>
                <w:szCs w:val="20"/>
                <w:lang w:val="en-US"/>
              </w:rPr>
            </w:pPr>
            <w:r w:rsidRPr="00335E02">
              <w:rPr>
                <w:b/>
                <w:sz w:val="20"/>
                <w:szCs w:val="20"/>
                <w:lang w:val="en-US"/>
              </w:rPr>
              <w:t>Related Activities</w:t>
            </w:r>
          </w:p>
        </w:tc>
        <w:tc>
          <w:tcPr>
            <w:tcW w:w="526" w:type="pct"/>
            <w:tcBorders>
              <w:bottom w:val="single" w:sz="4" w:space="0" w:color="auto"/>
            </w:tcBorders>
            <w:shd w:val="clear" w:color="auto" w:fill="BFBFBF" w:themeFill="background1" w:themeFillShade="BF"/>
          </w:tcPr>
          <w:p w14:paraId="6306E1A5" w14:textId="77777777" w:rsidR="00885B4E" w:rsidRPr="00335E02" w:rsidRDefault="00885B4E" w:rsidP="00B05FA0">
            <w:pPr>
              <w:rPr>
                <w:b/>
                <w:sz w:val="20"/>
                <w:szCs w:val="20"/>
                <w:lang w:val="en-US"/>
              </w:rPr>
            </w:pPr>
            <w:r w:rsidRPr="00335E02">
              <w:rPr>
                <w:b/>
                <w:sz w:val="20"/>
                <w:szCs w:val="20"/>
                <w:lang w:val="en-US"/>
              </w:rPr>
              <w:t>Focal Point</w:t>
            </w:r>
          </w:p>
        </w:tc>
        <w:tc>
          <w:tcPr>
            <w:tcW w:w="435" w:type="pct"/>
            <w:tcBorders>
              <w:bottom w:val="single" w:sz="4" w:space="0" w:color="auto"/>
            </w:tcBorders>
            <w:shd w:val="clear" w:color="auto" w:fill="BFBFBF" w:themeFill="background1" w:themeFillShade="BF"/>
          </w:tcPr>
          <w:p w14:paraId="44346022" w14:textId="2A258D1C" w:rsidR="00885B4E" w:rsidRPr="00335E02" w:rsidRDefault="00885B4E" w:rsidP="004A273D">
            <w:pPr>
              <w:rPr>
                <w:b/>
                <w:sz w:val="20"/>
                <w:szCs w:val="20"/>
                <w:lang w:val="en-US"/>
              </w:rPr>
            </w:pPr>
            <w:r w:rsidRPr="00335E02">
              <w:rPr>
                <w:b/>
                <w:sz w:val="20"/>
                <w:szCs w:val="20"/>
                <w:lang w:val="en-US"/>
              </w:rPr>
              <w:t xml:space="preserve">Time Frame  </w:t>
            </w:r>
          </w:p>
        </w:tc>
        <w:tc>
          <w:tcPr>
            <w:tcW w:w="984" w:type="pct"/>
            <w:gridSpan w:val="2"/>
            <w:tcBorders>
              <w:bottom w:val="single" w:sz="4" w:space="0" w:color="auto"/>
            </w:tcBorders>
            <w:shd w:val="clear" w:color="auto" w:fill="BFBFBF" w:themeFill="background1" w:themeFillShade="BF"/>
          </w:tcPr>
          <w:p w14:paraId="2858C4B5" w14:textId="77777777" w:rsidR="00885B4E" w:rsidRPr="00335E02" w:rsidRDefault="00885B4E" w:rsidP="00B05FA0">
            <w:pPr>
              <w:rPr>
                <w:b/>
                <w:sz w:val="20"/>
                <w:szCs w:val="20"/>
                <w:lang w:val="en-US"/>
              </w:rPr>
            </w:pPr>
            <w:r w:rsidRPr="00335E02">
              <w:rPr>
                <w:b/>
                <w:sz w:val="20"/>
                <w:szCs w:val="20"/>
                <w:lang w:val="en-US"/>
              </w:rPr>
              <w:t>Indicators</w:t>
            </w:r>
          </w:p>
        </w:tc>
        <w:tc>
          <w:tcPr>
            <w:tcW w:w="1288" w:type="pct"/>
            <w:tcBorders>
              <w:bottom w:val="single" w:sz="4" w:space="0" w:color="auto"/>
            </w:tcBorders>
            <w:shd w:val="clear" w:color="auto" w:fill="BFBFBF" w:themeFill="background1" w:themeFillShade="BF"/>
          </w:tcPr>
          <w:p w14:paraId="707F0AC0" w14:textId="77777777" w:rsidR="00885B4E" w:rsidRPr="00335E02" w:rsidRDefault="002C14F2" w:rsidP="002C14F2">
            <w:pPr>
              <w:rPr>
                <w:b/>
                <w:sz w:val="20"/>
                <w:szCs w:val="20"/>
                <w:lang w:val="en-US"/>
              </w:rPr>
            </w:pPr>
            <w:r w:rsidRPr="00335E02">
              <w:rPr>
                <w:b/>
                <w:sz w:val="20"/>
                <w:szCs w:val="20"/>
                <w:lang w:val="en-US"/>
              </w:rPr>
              <w:t>Comment</w:t>
            </w:r>
          </w:p>
        </w:tc>
      </w:tr>
      <w:tr w:rsidR="00F55033" w:rsidRPr="00F861D1" w14:paraId="7F1FC180" w14:textId="77777777" w:rsidTr="00F55033">
        <w:trPr>
          <w:trHeight w:val="1508"/>
        </w:trPr>
        <w:tc>
          <w:tcPr>
            <w:tcW w:w="733" w:type="pct"/>
            <w:vMerge w:val="restart"/>
          </w:tcPr>
          <w:p w14:paraId="3CDA3A22" w14:textId="3B139073" w:rsidR="005A44DE" w:rsidRPr="0052591F" w:rsidRDefault="006F3917" w:rsidP="002E50AF">
            <w:pPr>
              <w:rPr>
                <w:sz w:val="20"/>
                <w:szCs w:val="20"/>
              </w:rPr>
            </w:pPr>
            <w:r>
              <w:rPr>
                <w:sz w:val="20"/>
                <w:szCs w:val="20"/>
              </w:rPr>
              <w:t xml:space="preserve">B.1 </w:t>
            </w:r>
            <w:r w:rsidR="005A44DE" w:rsidRPr="0052591F">
              <w:rPr>
                <w:sz w:val="20"/>
                <w:szCs w:val="20"/>
              </w:rPr>
              <w:t>Promote the integration</w:t>
            </w:r>
            <w:r w:rsidR="005C2118">
              <w:rPr>
                <w:sz w:val="20"/>
                <w:szCs w:val="20"/>
              </w:rPr>
              <w:t xml:space="preserve"> of </w:t>
            </w:r>
            <w:r w:rsidR="000E733A">
              <w:rPr>
                <w:sz w:val="20"/>
                <w:szCs w:val="20"/>
              </w:rPr>
              <w:t xml:space="preserve">the </w:t>
            </w:r>
            <w:r w:rsidR="005C2118">
              <w:rPr>
                <w:sz w:val="20"/>
                <w:szCs w:val="20"/>
              </w:rPr>
              <w:t>Protection Policy</w:t>
            </w:r>
            <w:r w:rsidR="005A44DE" w:rsidRPr="0052591F">
              <w:rPr>
                <w:sz w:val="20"/>
                <w:szCs w:val="20"/>
              </w:rPr>
              <w:t xml:space="preserve"> into policies, guidance and management of humanitarian response activities  </w:t>
            </w:r>
          </w:p>
          <w:p w14:paraId="1AF51128" w14:textId="77777777" w:rsidR="005A44DE" w:rsidRPr="00730143" w:rsidRDefault="005A44DE" w:rsidP="00730143">
            <w:pPr>
              <w:rPr>
                <w:sz w:val="18"/>
                <w:szCs w:val="18"/>
              </w:rPr>
            </w:pPr>
          </w:p>
        </w:tc>
        <w:tc>
          <w:tcPr>
            <w:tcW w:w="1034" w:type="pct"/>
          </w:tcPr>
          <w:p w14:paraId="4331CBA3" w14:textId="6399C02A" w:rsidR="005A44DE" w:rsidRPr="00730143" w:rsidRDefault="005A44DE" w:rsidP="00F55033">
            <w:pPr>
              <w:rPr>
                <w:sz w:val="18"/>
                <w:szCs w:val="18"/>
              </w:rPr>
            </w:pPr>
            <w:r>
              <w:rPr>
                <w:sz w:val="18"/>
                <w:szCs w:val="18"/>
              </w:rPr>
              <w:t xml:space="preserve">Integration of IASC Protection Policy into job descriptions </w:t>
            </w:r>
            <w:r w:rsidR="00F55033">
              <w:rPr>
                <w:sz w:val="18"/>
                <w:szCs w:val="18"/>
              </w:rPr>
              <w:t xml:space="preserve"> </w:t>
            </w:r>
            <w:r>
              <w:rPr>
                <w:sz w:val="18"/>
                <w:szCs w:val="18"/>
              </w:rPr>
              <w:t>and ToRs</w:t>
            </w:r>
            <w:r w:rsidR="00F55033">
              <w:rPr>
                <w:sz w:val="18"/>
                <w:szCs w:val="18"/>
              </w:rPr>
              <w:t xml:space="preserve"> (inter-agency and key agency posts)</w:t>
            </w:r>
            <w:r>
              <w:rPr>
                <w:sz w:val="18"/>
                <w:szCs w:val="18"/>
              </w:rPr>
              <w:t xml:space="preserve">, </w:t>
            </w:r>
            <w:r w:rsidR="00B6559E">
              <w:rPr>
                <w:sz w:val="18"/>
                <w:szCs w:val="18"/>
              </w:rPr>
              <w:t xml:space="preserve">performance appraisals, </w:t>
            </w:r>
            <w:r>
              <w:rPr>
                <w:sz w:val="18"/>
                <w:szCs w:val="18"/>
              </w:rPr>
              <w:t xml:space="preserve">training design, trainings/workshops, organisational policies, etc.  </w:t>
            </w:r>
          </w:p>
        </w:tc>
        <w:tc>
          <w:tcPr>
            <w:tcW w:w="526" w:type="pct"/>
          </w:tcPr>
          <w:p w14:paraId="685DFC9C" w14:textId="77777777" w:rsidR="005A44DE" w:rsidRPr="00F861D1" w:rsidRDefault="005A44DE" w:rsidP="00730143">
            <w:pPr>
              <w:rPr>
                <w:sz w:val="18"/>
                <w:szCs w:val="18"/>
              </w:rPr>
            </w:pPr>
            <w:r>
              <w:rPr>
                <w:sz w:val="18"/>
                <w:szCs w:val="18"/>
              </w:rPr>
              <w:t xml:space="preserve">All IASC members </w:t>
            </w:r>
          </w:p>
        </w:tc>
        <w:tc>
          <w:tcPr>
            <w:tcW w:w="435" w:type="pct"/>
            <w:vMerge w:val="restart"/>
          </w:tcPr>
          <w:p w14:paraId="78B0E90D" w14:textId="77777777" w:rsidR="005A44DE" w:rsidRPr="00F861D1" w:rsidRDefault="005A44DE" w:rsidP="00730143">
            <w:pPr>
              <w:rPr>
                <w:sz w:val="18"/>
                <w:szCs w:val="18"/>
              </w:rPr>
            </w:pPr>
            <w:r>
              <w:rPr>
                <w:sz w:val="18"/>
                <w:szCs w:val="18"/>
              </w:rPr>
              <w:t xml:space="preserve">October 2016 – December 2017 </w:t>
            </w:r>
          </w:p>
        </w:tc>
        <w:tc>
          <w:tcPr>
            <w:tcW w:w="984" w:type="pct"/>
            <w:gridSpan w:val="2"/>
            <w:vMerge w:val="restart"/>
          </w:tcPr>
          <w:p w14:paraId="35E985A5" w14:textId="25F551C5" w:rsidR="005A44DE" w:rsidRPr="00EF2754" w:rsidRDefault="00CD6592" w:rsidP="00EF2754">
            <w:pPr>
              <w:pStyle w:val="ListParagraph"/>
              <w:numPr>
                <w:ilvl w:val="0"/>
                <w:numId w:val="17"/>
              </w:numPr>
              <w:rPr>
                <w:sz w:val="18"/>
                <w:szCs w:val="18"/>
              </w:rPr>
            </w:pPr>
            <w:r w:rsidRPr="00EF2754">
              <w:rPr>
                <w:sz w:val="18"/>
                <w:szCs w:val="18"/>
              </w:rPr>
              <w:t xml:space="preserve">Reports from individual IASC members and other humanitarian actors </w:t>
            </w:r>
          </w:p>
        </w:tc>
        <w:tc>
          <w:tcPr>
            <w:tcW w:w="1288" w:type="pct"/>
            <w:shd w:val="clear" w:color="auto" w:fill="FFFFFF" w:themeFill="background1"/>
          </w:tcPr>
          <w:p w14:paraId="5AB8D066" w14:textId="77777777" w:rsidR="005A44DE" w:rsidRPr="00A544E6" w:rsidRDefault="005A44DE" w:rsidP="00730143">
            <w:pPr>
              <w:rPr>
                <w:sz w:val="18"/>
                <w:szCs w:val="18"/>
              </w:rPr>
            </w:pPr>
          </w:p>
        </w:tc>
      </w:tr>
      <w:tr w:rsidR="00F55033" w:rsidRPr="00F861D1" w14:paraId="6B8EA3CD" w14:textId="77777777" w:rsidTr="00F55033">
        <w:tc>
          <w:tcPr>
            <w:tcW w:w="733" w:type="pct"/>
            <w:vMerge/>
          </w:tcPr>
          <w:p w14:paraId="004F53A6" w14:textId="77777777" w:rsidR="005A44DE" w:rsidRPr="002E50AF" w:rsidRDefault="005A44DE" w:rsidP="002E50AF">
            <w:pPr>
              <w:rPr>
                <w:sz w:val="20"/>
                <w:szCs w:val="20"/>
              </w:rPr>
            </w:pPr>
          </w:p>
        </w:tc>
        <w:tc>
          <w:tcPr>
            <w:tcW w:w="1034" w:type="pct"/>
          </w:tcPr>
          <w:p w14:paraId="48F22B7A" w14:textId="77777777" w:rsidR="005A44DE" w:rsidRDefault="005A44DE" w:rsidP="00CB6D68">
            <w:pPr>
              <w:ind w:left="171"/>
              <w:rPr>
                <w:sz w:val="18"/>
                <w:szCs w:val="18"/>
              </w:rPr>
            </w:pPr>
            <w:r>
              <w:rPr>
                <w:sz w:val="18"/>
                <w:szCs w:val="18"/>
              </w:rPr>
              <w:t>Integration of the IASC Protection Policy into inter-agency materials, guidance</w:t>
            </w:r>
          </w:p>
          <w:p w14:paraId="7E48BC6D" w14:textId="77777777" w:rsidR="00D0120B" w:rsidRDefault="00D0120B" w:rsidP="00730143">
            <w:pPr>
              <w:rPr>
                <w:sz w:val="18"/>
                <w:szCs w:val="18"/>
              </w:rPr>
            </w:pPr>
          </w:p>
        </w:tc>
        <w:tc>
          <w:tcPr>
            <w:tcW w:w="526" w:type="pct"/>
          </w:tcPr>
          <w:p w14:paraId="4771997C" w14:textId="77777777" w:rsidR="005A44DE" w:rsidRDefault="005A44DE" w:rsidP="00730143">
            <w:pPr>
              <w:rPr>
                <w:sz w:val="18"/>
                <w:szCs w:val="18"/>
              </w:rPr>
            </w:pPr>
            <w:r>
              <w:rPr>
                <w:sz w:val="18"/>
                <w:szCs w:val="18"/>
              </w:rPr>
              <w:t xml:space="preserve">OCHA </w:t>
            </w:r>
          </w:p>
          <w:p w14:paraId="6C1A03E2" w14:textId="77777777" w:rsidR="005A44DE" w:rsidRDefault="005A44DE" w:rsidP="00730143">
            <w:pPr>
              <w:rPr>
                <w:sz w:val="18"/>
                <w:szCs w:val="18"/>
              </w:rPr>
            </w:pPr>
            <w:r>
              <w:rPr>
                <w:sz w:val="18"/>
                <w:szCs w:val="18"/>
              </w:rPr>
              <w:t xml:space="preserve">Cluster Co-ordinators </w:t>
            </w:r>
          </w:p>
        </w:tc>
        <w:tc>
          <w:tcPr>
            <w:tcW w:w="435" w:type="pct"/>
            <w:vMerge/>
          </w:tcPr>
          <w:p w14:paraId="3D13ED23" w14:textId="77777777" w:rsidR="005A44DE" w:rsidRPr="00F861D1" w:rsidRDefault="005A44DE" w:rsidP="00730143">
            <w:pPr>
              <w:rPr>
                <w:sz w:val="18"/>
                <w:szCs w:val="18"/>
              </w:rPr>
            </w:pPr>
          </w:p>
        </w:tc>
        <w:tc>
          <w:tcPr>
            <w:tcW w:w="984" w:type="pct"/>
            <w:gridSpan w:val="2"/>
            <w:vMerge/>
          </w:tcPr>
          <w:p w14:paraId="407D3141" w14:textId="77777777" w:rsidR="005A44DE" w:rsidRPr="00F861D1" w:rsidRDefault="005A44DE" w:rsidP="00730143">
            <w:pPr>
              <w:rPr>
                <w:sz w:val="18"/>
                <w:szCs w:val="18"/>
              </w:rPr>
            </w:pPr>
          </w:p>
        </w:tc>
        <w:tc>
          <w:tcPr>
            <w:tcW w:w="1288" w:type="pct"/>
            <w:shd w:val="clear" w:color="auto" w:fill="FFFFFF" w:themeFill="background1"/>
          </w:tcPr>
          <w:p w14:paraId="1DD766C7" w14:textId="77777777" w:rsidR="005A44DE" w:rsidRPr="00A544E6" w:rsidRDefault="005A44DE" w:rsidP="00730143">
            <w:pPr>
              <w:rPr>
                <w:sz w:val="18"/>
                <w:szCs w:val="18"/>
              </w:rPr>
            </w:pPr>
          </w:p>
        </w:tc>
      </w:tr>
      <w:tr w:rsidR="00F55033" w:rsidRPr="00F861D1" w14:paraId="5AD6A51C" w14:textId="77777777" w:rsidTr="00F55033">
        <w:tc>
          <w:tcPr>
            <w:tcW w:w="733" w:type="pct"/>
            <w:vMerge/>
          </w:tcPr>
          <w:p w14:paraId="5A2EE290" w14:textId="77777777" w:rsidR="005A44DE" w:rsidRPr="002E50AF" w:rsidRDefault="005A44DE" w:rsidP="002E50AF">
            <w:pPr>
              <w:rPr>
                <w:sz w:val="20"/>
                <w:szCs w:val="20"/>
              </w:rPr>
            </w:pPr>
          </w:p>
        </w:tc>
        <w:tc>
          <w:tcPr>
            <w:tcW w:w="1034" w:type="pct"/>
          </w:tcPr>
          <w:p w14:paraId="53B68827" w14:textId="493ACA11" w:rsidR="005A44DE" w:rsidRDefault="00694CBD" w:rsidP="006F3917">
            <w:pPr>
              <w:ind w:left="171"/>
              <w:rPr>
                <w:sz w:val="18"/>
                <w:szCs w:val="18"/>
              </w:rPr>
            </w:pPr>
            <w:r>
              <w:rPr>
                <w:sz w:val="18"/>
                <w:szCs w:val="18"/>
              </w:rPr>
              <w:t xml:space="preserve">RC/HC induction and </w:t>
            </w:r>
            <w:r w:rsidR="005A44DE">
              <w:rPr>
                <w:sz w:val="18"/>
                <w:szCs w:val="18"/>
              </w:rPr>
              <w:t>handbook</w:t>
            </w:r>
          </w:p>
        </w:tc>
        <w:tc>
          <w:tcPr>
            <w:tcW w:w="526" w:type="pct"/>
          </w:tcPr>
          <w:p w14:paraId="1C9211D8" w14:textId="77777777" w:rsidR="005A44DE" w:rsidRDefault="005A44DE" w:rsidP="00730143">
            <w:pPr>
              <w:rPr>
                <w:sz w:val="18"/>
                <w:szCs w:val="18"/>
              </w:rPr>
            </w:pPr>
            <w:r>
              <w:rPr>
                <w:sz w:val="18"/>
                <w:szCs w:val="18"/>
              </w:rPr>
              <w:t xml:space="preserve">OCHA HLSU </w:t>
            </w:r>
          </w:p>
        </w:tc>
        <w:tc>
          <w:tcPr>
            <w:tcW w:w="435" w:type="pct"/>
            <w:vMerge/>
          </w:tcPr>
          <w:p w14:paraId="2AC33E7F" w14:textId="77777777" w:rsidR="005A44DE" w:rsidRPr="00F861D1" w:rsidRDefault="005A44DE" w:rsidP="00730143">
            <w:pPr>
              <w:rPr>
                <w:sz w:val="18"/>
                <w:szCs w:val="18"/>
              </w:rPr>
            </w:pPr>
          </w:p>
        </w:tc>
        <w:tc>
          <w:tcPr>
            <w:tcW w:w="984" w:type="pct"/>
            <w:gridSpan w:val="2"/>
            <w:vMerge/>
          </w:tcPr>
          <w:p w14:paraId="1F415C5D" w14:textId="77777777" w:rsidR="005A44DE" w:rsidRPr="00F861D1" w:rsidRDefault="005A44DE" w:rsidP="00730143">
            <w:pPr>
              <w:rPr>
                <w:sz w:val="18"/>
                <w:szCs w:val="18"/>
              </w:rPr>
            </w:pPr>
          </w:p>
        </w:tc>
        <w:tc>
          <w:tcPr>
            <w:tcW w:w="1288" w:type="pct"/>
            <w:shd w:val="clear" w:color="auto" w:fill="FFFFFF" w:themeFill="background1"/>
          </w:tcPr>
          <w:p w14:paraId="2981278A" w14:textId="6A249E9C" w:rsidR="005A44DE" w:rsidRPr="00A544E6" w:rsidRDefault="005C2118" w:rsidP="00730143">
            <w:pPr>
              <w:rPr>
                <w:sz w:val="18"/>
                <w:szCs w:val="18"/>
              </w:rPr>
            </w:pPr>
            <w:r>
              <w:rPr>
                <w:sz w:val="18"/>
                <w:szCs w:val="18"/>
              </w:rPr>
              <w:t>This is planned but specific HC/HCT tailored key messages need to be developed</w:t>
            </w:r>
            <w:r w:rsidR="007A62B4">
              <w:rPr>
                <w:sz w:val="18"/>
                <w:szCs w:val="18"/>
              </w:rPr>
              <w:t xml:space="preserve"> by the Task Team</w:t>
            </w:r>
            <w:r>
              <w:rPr>
                <w:sz w:val="18"/>
                <w:szCs w:val="18"/>
              </w:rPr>
              <w:t xml:space="preserve"> as well as reference to good practices and available support</w:t>
            </w:r>
          </w:p>
        </w:tc>
      </w:tr>
      <w:tr w:rsidR="00F55033" w:rsidRPr="00F861D1" w14:paraId="1F3FDBCC" w14:textId="77777777" w:rsidTr="00F55033">
        <w:tc>
          <w:tcPr>
            <w:tcW w:w="733" w:type="pct"/>
            <w:vMerge/>
          </w:tcPr>
          <w:p w14:paraId="675C69C0" w14:textId="77777777" w:rsidR="00694CBD" w:rsidRPr="002E50AF" w:rsidRDefault="00694CBD" w:rsidP="002E50AF">
            <w:pPr>
              <w:rPr>
                <w:sz w:val="20"/>
                <w:szCs w:val="20"/>
              </w:rPr>
            </w:pPr>
          </w:p>
        </w:tc>
        <w:tc>
          <w:tcPr>
            <w:tcW w:w="1034" w:type="pct"/>
          </w:tcPr>
          <w:p w14:paraId="5F51C650" w14:textId="496E659B" w:rsidR="00694CBD" w:rsidRDefault="00F55033" w:rsidP="006C4564">
            <w:pPr>
              <w:ind w:left="171"/>
              <w:rPr>
                <w:sz w:val="18"/>
                <w:szCs w:val="18"/>
              </w:rPr>
            </w:pPr>
            <w:r>
              <w:rPr>
                <w:sz w:val="18"/>
                <w:szCs w:val="18"/>
              </w:rPr>
              <w:t>HC</w:t>
            </w:r>
            <w:r w:rsidR="00694CBD">
              <w:rPr>
                <w:sz w:val="18"/>
                <w:szCs w:val="18"/>
              </w:rPr>
              <w:t xml:space="preserve">s </w:t>
            </w:r>
            <w:r w:rsidR="006C4564">
              <w:rPr>
                <w:sz w:val="18"/>
                <w:szCs w:val="18"/>
              </w:rPr>
              <w:t xml:space="preserve"> appraisals</w:t>
            </w:r>
          </w:p>
        </w:tc>
        <w:tc>
          <w:tcPr>
            <w:tcW w:w="526" w:type="pct"/>
          </w:tcPr>
          <w:p w14:paraId="7CC823AC" w14:textId="3FEF1A3B" w:rsidR="00694CBD" w:rsidRDefault="00694CBD" w:rsidP="006C4564">
            <w:pPr>
              <w:rPr>
                <w:sz w:val="18"/>
                <w:szCs w:val="18"/>
              </w:rPr>
            </w:pPr>
            <w:r>
              <w:rPr>
                <w:sz w:val="18"/>
                <w:szCs w:val="18"/>
              </w:rPr>
              <w:t xml:space="preserve">OCHA </w:t>
            </w:r>
            <w:r w:rsidR="006C4564">
              <w:rPr>
                <w:sz w:val="18"/>
                <w:szCs w:val="18"/>
              </w:rPr>
              <w:t>HCSU</w:t>
            </w:r>
            <w:r w:rsidR="00851BF4">
              <w:rPr>
                <w:sz w:val="18"/>
                <w:szCs w:val="18"/>
              </w:rPr>
              <w:t xml:space="preserve"> </w:t>
            </w:r>
          </w:p>
          <w:p w14:paraId="5F31C38D" w14:textId="77777777" w:rsidR="00694CBD" w:rsidRDefault="00694CBD" w:rsidP="00730143">
            <w:pPr>
              <w:rPr>
                <w:sz w:val="18"/>
                <w:szCs w:val="18"/>
              </w:rPr>
            </w:pPr>
          </w:p>
        </w:tc>
        <w:tc>
          <w:tcPr>
            <w:tcW w:w="435" w:type="pct"/>
            <w:vMerge/>
          </w:tcPr>
          <w:p w14:paraId="1327E5EC" w14:textId="77777777" w:rsidR="00694CBD" w:rsidRPr="00F861D1" w:rsidRDefault="00694CBD" w:rsidP="00730143">
            <w:pPr>
              <w:rPr>
                <w:sz w:val="18"/>
                <w:szCs w:val="18"/>
              </w:rPr>
            </w:pPr>
          </w:p>
        </w:tc>
        <w:tc>
          <w:tcPr>
            <w:tcW w:w="984" w:type="pct"/>
            <w:gridSpan w:val="2"/>
            <w:vMerge/>
          </w:tcPr>
          <w:p w14:paraId="7CAC3F36" w14:textId="77777777" w:rsidR="00694CBD" w:rsidRPr="00F861D1" w:rsidRDefault="00694CBD" w:rsidP="00730143">
            <w:pPr>
              <w:rPr>
                <w:sz w:val="18"/>
                <w:szCs w:val="18"/>
              </w:rPr>
            </w:pPr>
          </w:p>
        </w:tc>
        <w:tc>
          <w:tcPr>
            <w:tcW w:w="1288" w:type="pct"/>
            <w:shd w:val="clear" w:color="auto" w:fill="FFFFFF" w:themeFill="background1"/>
          </w:tcPr>
          <w:p w14:paraId="7701E876" w14:textId="77777777" w:rsidR="00694CBD" w:rsidRDefault="00694CBD" w:rsidP="00730143">
            <w:pPr>
              <w:rPr>
                <w:sz w:val="18"/>
                <w:szCs w:val="18"/>
              </w:rPr>
            </w:pPr>
          </w:p>
        </w:tc>
      </w:tr>
      <w:tr w:rsidR="00F55033" w:rsidRPr="00F861D1" w14:paraId="2DF3BC0F" w14:textId="77777777" w:rsidTr="00F55033">
        <w:tc>
          <w:tcPr>
            <w:tcW w:w="733" w:type="pct"/>
            <w:vMerge/>
          </w:tcPr>
          <w:p w14:paraId="7789040D" w14:textId="250D7F30" w:rsidR="005A44DE" w:rsidRPr="002E50AF" w:rsidRDefault="005A44DE" w:rsidP="002E50AF">
            <w:pPr>
              <w:rPr>
                <w:sz w:val="20"/>
                <w:szCs w:val="20"/>
              </w:rPr>
            </w:pPr>
          </w:p>
        </w:tc>
        <w:tc>
          <w:tcPr>
            <w:tcW w:w="1034" w:type="pct"/>
          </w:tcPr>
          <w:p w14:paraId="5E6D619B" w14:textId="1C6DE83F" w:rsidR="00D0120B" w:rsidRDefault="005A44DE" w:rsidP="00F55033">
            <w:pPr>
              <w:ind w:left="171"/>
              <w:rPr>
                <w:sz w:val="18"/>
                <w:szCs w:val="18"/>
              </w:rPr>
            </w:pPr>
            <w:r>
              <w:rPr>
                <w:sz w:val="18"/>
                <w:szCs w:val="18"/>
              </w:rPr>
              <w:t xml:space="preserve">OPR and STAIT ToRs and methodology </w:t>
            </w:r>
          </w:p>
        </w:tc>
        <w:tc>
          <w:tcPr>
            <w:tcW w:w="526" w:type="pct"/>
          </w:tcPr>
          <w:p w14:paraId="25464CF4" w14:textId="7093B790" w:rsidR="005A44DE" w:rsidRDefault="005C2118" w:rsidP="00730143">
            <w:pPr>
              <w:rPr>
                <w:sz w:val="18"/>
                <w:szCs w:val="18"/>
              </w:rPr>
            </w:pPr>
            <w:r>
              <w:rPr>
                <w:sz w:val="18"/>
                <w:szCs w:val="18"/>
              </w:rPr>
              <w:t>EDG/STAIT</w:t>
            </w:r>
          </w:p>
        </w:tc>
        <w:tc>
          <w:tcPr>
            <w:tcW w:w="435" w:type="pct"/>
            <w:vMerge/>
          </w:tcPr>
          <w:p w14:paraId="1502F7B9" w14:textId="77777777" w:rsidR="005A44DE" w:rsidRPr="00F861D1" w:rsidRDefault="005A44DE" w:rsidP="00730143">
            <w:pPr>
              <w:rPr>
                <w:sz w:val="18"/>
                <w:szCs w:val="18"/>
              </w:rPr>
            </w:pPr>
          </w:p>
        </w:tc>
        <w:tc>
          <w:tcPr>
            <w:tcW w:w="984" w:type="pct"/>
            <w:gridSpan w:val="2"/>
            <w:vMerge/>
          </w:tcPr>
          <w:p w14:paraId="2DE627D6" w14:textId="77777777" w:rsidR="005A44DE" w:rsidRPr="00F861D1" w:rsidRDefault="005A44DE" w:rsidP="00730143">
            <w:pPr>
              <w:rPr>
                <w:sz w:val="18"/>
                <w:szCs w:val="18"/>
              </w:rPr>
            </w:pPr>
          </w:p>
        </w:tc>
        <w:tc>
          <w:tcPr>
            <w:tcW w:w="1288" w:type="pct"/>
            <w:shd w:val="clear" w:color="auto" w:fill="FFFFFF" w:themeFill="background1"/>
          </w:tcPr>
          <w:p w14:paraId="7192F5FC" w14:textId="77777777" w:rsidR="005A44DE" w:rsidRPr="00A544E6" w:rsidRDefault="005A44DE" w:rsidP="00730143">
            <w:pPr>
              <w:rPr>
                <w:sz w:val="18"/>
                <w:szCs w:val="18"/>
              </w:rPr>
            </w:pPr>
          </w:p>
        </w:tc>
      </w:tr>
      <w:tr w:rsidR="00F55033" w:rsidRPr="00F861D1" w14:paraId="012EF540" w14:textId="77777777" w:rsidTr="00F55033">
        <w:tc>
          <w:tcPr>
            <w:tcW w:w="733" w:type="pct"/>
            <w:vMerge/>
          </w:tcPr>
          <w:p w14:paraId="7A825A7F" w14:textId="77777777" w:rsidR="005A44DE" w:rsidRPr="002E50AF" w:rsidRDefault="005A44DE" w:rsidP="002E50AF">
            <w:pPr>
              <w:rPr>
                <w:sz w:val="20"/>
                <w:szCs w:val="20"/>
              </w:rPr>
            </w:pPr>
          </w:p>
        </w:tc>
        <w:tc>
          <w:tcPr>
            <w:tcW w:w="1034" w:type="pct"/>
          </w:tcPr>
          <w:p w14:paraId="75D6AC2D" w14:textId="77777777" w:rsidR="005A44DE" w:rsidRDefault="005A44DE" w:rsidP="006F3917">
            <w:pPr>
              <w:ind w:left="171"/>
              <w:rPr>
                <w:sz w:val="18"/>
                <w:szCs w:val="18"/>
              </w:rPr>
            </w:pPr>
            <w:r>
              <w:rPr>
                <w:sz w:val="18"/>
                <w:szCs w:val="18"/>
              </w:rPr>
              <w:t xml:space="preserve">Humanitarian Programme Cycle </w:t>
            </w:r>
          </w:p>
        </w:tc>
        <w:tc>
          <w:tcPr>
            <w:tcW w:w="526" w:type="pct"/>
          </w:tcPr>
          <w:p w14:paraId="479825DF" w14:textId="77777777" w:rsidR="005A44DE" w:rsidRDefault="005A44DE" w:rsidP="00730143">
            <w:pPr>
              <w:rPr>
                <w:sz w:val="18"/>
                <w:szCs w:val="18"/>
              </w:rPr>
            </w:pPr>
            <w:r>
              <w:rPr>
                <w:sz w:val="18"/>
                <w:szCs w:val="18"/>
              </w:rPr>
              <w:t xml:space="preserve">OCHA </w:t>
            </w:r>
          </w:p>
        </w:tc>
        <w:tc>
          <w:tcPr>
            <w:tcW w:w="435" w:type="pct"/>
            <w:vMerge/>
          </w:tcPr>
          <w:p w14:paraId="32F1A8AA" w14:textId="77777777" w:rsidR="005A44DE" w:rsidRPr="00F861D1" w:rsidRDefault="005A44DE" w:rsidP="00730143">
            <w:pPr>
              <w:rPr>
                <w:sz w:val="18"/>
                <w:szCs w:val="18"/>
              </w:rPr>
            </w:pPr>
          </w:p>
        </w:tc>
        <w:tc>
          <w:tcPr>
            <w:tcW w:w="984" w:type="pct"/>
            <w:gridSpan w:val="2"/>
            <w:vMerge/>
          </w:tcPr>
          <w:p w14:paraId="7BE054A0" w14:textId="77777777" w:rsidR="005A44DE" w:rsidRPr="00F861D1" w:rsidRDefault="005A44DE" w:rsidP="00730143">
            <w:pPr>
              <w:rPr>
                <w:sz w:val="18"/>
                <w:szCs w:val="18"/>
              </w:rPr>
            </w:pPr>
          </w:p>
        </w:tc>
        <w:tc>
          <w:tcPr>
            <w:tcW w:w="1288" w:type="pct"/>
            <w:shd w:val="clear" w:color="auto" w:fill="FFFFFF" w:themeFill="background1"/>
          </w:tcPr>
          <w:p w14:paraId="681B7A47" w14:textId="15E60282" w:rsidR="005A44DE" w:rsidRPr="00A544E6" w:rsidRDefault="00213F41" w:rsidP="00730143">
            <w:pPr>
              <w:rPr>
                <w:sz w:val="18"/>
                <w:szCs w:val="18"/>
              </w:rPr>
            </w:pPr>
            <w:r>
              <w:rPr>
                <w:sz w:val="18"/>
                <w:szCs w:val="18"/>
              </w:rPr>
              <w:t xml:space="preserve">The note on AAP and Protection in the HPC is also due to be updated based on </w:t>
            </w:r>
            <w:r w:rsidR="00D0120B">
              <w:rPr>
                <w:sz w:val="18"/>
                <w:szCs w:val="18"/>
              </w:rPr>
              <w:t xml:space="preserve">the Protection Policy and </w:t>
            </w:r>
            <w:r>
              <w:rPr>
                <w:sz w:val="18"/>
                <w:szCs w:val="18"/>
              </w:rPr>
              <w:t>field experience</w:t>
            </w:r>
          </w:p>
        </w:tc>
      </w:tr>
      <w:tr w:rsidR="00F55033" w:rsidRPr="00F861D1" w14:paraId="6CBAB49E" w14:textId="77777777" w:rsidTr="00F55033">
        <w:tc>
          <w:tcPr>
            <w:tcW w:w="733" w:type="pct"/>
            <w:vMerge/>
          </w:tcPr>
          <w:p w14:paraId="01834A9B" w14:textId="77777777" w:rsidR="005A44DE" w:rsidRPr="002E50AF" w:rsidRDefault="005A44DE" w:rsidP="002E50AF">
            <w:pPr>
              <w:rPr>
                <w:sz w:val="20"/>
                <w:szCs w:val="20"/>
              </w:rPr>
            </w:pPr>
          </w:p>
        </w:tc>
        <w:tc>
          <w:tcPr>
            <w:tcW w:w="1034" w:type="pct"/>
          </w:tcPr>
          <w:p w14:paraId="24D1D22F" w14:textId="77777777" w:rsidR="005A44DE" w:rsidRDefault="005A44DE" w:rsidP="006F3917">
            <w:pPr>
              <w:ind w:left="171"/>
              <w:rPr>
                <w:sz w:val="18"/>
                <w:szCs w:val="18"/>
              </w:rPr>
            </w:pPr>
            <w:r>
              <w:rPr>
                <w:sz w:val="18"/>
                <w:szCs w:val="18"/>
              </w:rPr>
              <w:t xml:space="preserve">Real time evaluation </w:t>
            </w:r>
          </w:p>
          <w:p w14:paraId="20792B0E" w14:textId="77777777" w:rsidR="00221B1C" w:rsidRDefault="00221B1C" w:rsidP="00730143">
            <w:pPr>
              <w:rPr>
                <w:sz w:val="18"/>
                <w:szCs w:val="18"/>
              </w:rPr>
            </w:pPr>
          </w:p>
        </w:tc>
        <w:tc>
          <w:tcPr>
            <w:tcW w:w="526" w:type="pct"/>
          </w:tcPr>
          <w:p w14:paraId="63757856" w14:textId="77777777" w:rsidR="005A44DE" w:rsidRDefault="005A44DE" w:rsidP="00730143">
            <w:pPr>
              <w:rPr>
                <w:sz w:val="18"/>
                <w:szCs w:val="18"/>
              </w:rPr>
            </w:pPr>
            <w:r>
              <w:rPr>
                <w:sz w:val="18"/>
                <w:szCs w:val="18"/>
              </w:rPr>
              <w:t xml:space="preserve">OCHA </w:t>
            </w:r>
          </w:p>
        </w:tc>
        <w:tc>
          <w:tcPr>
            <w:tcW w:w="435" w:type="pct"/>
            <w:vMerge/>
          </w:tcPr>
          <w:p w14:paraId="2C965EF0" w14:textId="77777777" w:rsidR="005A44DE" w:rsidRPr="00F861D1" w:rsidRDefault="005A44DE" w:rsidP="00730143">
            <w:pPr>
              <w:rPr>
                <w:sz w:val="18"/>
                <w:szCs w:val="18"/>
              </w:rPr>
            </w:pPr>
          </w:p>
        </w:tc>
        <w:tc>
          <w:tcPr>
            <w:tcW w:w="984" w:type="pct"/>
            <w:gridSpan w:val="2"/>
            <w:vMerge/>
          </w:tcPr>
          <w:p w14:paraId="1FC4D756" w14:textId="77777777" w:rsidR="005A44DE" w:rsidRPr="00F861D1" w:rsidRDefault="005A44DE" w:rsidP="00730143">
            <w:pPr>
              <w:rPr>
                <w:sz w:val="18"/>
                <w:szCs w:val="18"/>
              </w:rPr>
            </w:pPr>
          </w:p>
        </w:tc>
        <w:tc>
          <w:tcPr>
            <w:tcW w:w="1288" w:type="pct"/>
            <w:shd w:val="clear" w:color="auto" w:fill="FFFFFF" w:themeFill="background1"/>
          </w:tcPr>
          <w:p w14:paraId="5D85AFEB" w14:textId="77777777" w:rsidR="005A44DE" w:rsidRPr="00A544E6" w:rsidRDefault="005A44DE" w:rsidP="00730143">
            <w:pPr>
              <w:rPr>
                <w:sz w:val="18"/>
                <w:szCs w:val="18"/>
              </w:rPr>
            </w:pPr>
          </w:p>
        </w:tc>
      </w:tr>
      <w:tr w:rsidR="00864FA5" w:rsidRPr="00603BF7" w14:paraId="73CAB625" w14:textId="77777777" w:rsidTr="00864FA5">
        <w:trPr>
          <w:trHeight w:val="463"/>
        </w:trPr>
        <w:tc>
          <w:tcPr>
            <w:tcW w:w="5000" w:type="pct"/>
            <w:gridSpan w:val="7"/>
            <w:shd w:val="clear" w:color="auto" w:fill="BFBFBF" w:themeFill="background1" w:themeFillShade="BF"/>
          </w:tcPr>
          <w:p w14:paraId="01109257" w14:textId="08CA4815" w:rsidR="00864FA5" w:rsidRPr="00864FA5" w:rsidRDefault="00864FA5" w:rsidP="00864FA5">
            <w:pPr>
              <w:pStyle w:val="ListParagraph"/>
              <w:numPr>
                <w:ilvl w:val="0"/>
                <w:numId w:val="21"/>
              </w:numPr>
              <w:rPr>
                <w:b/>
                <w:sz w:val="24"/>
                <w:szCs w:val="24"/>
                <w:lang w:val="en-US"/>
              </w:rPr>
            </w:pPr>
            <w:bookmarkStart w:id="0" w:name="_GoBack"/>
            <w:bookmarkEnd w:id="0"/>
            <w:r w:rsidRPr="00864FA5">
              <w:rPr>
                <w:b/>
                <w:sz w:val="24"/>
                <w:szCs w:val="24"/>
                <w:lang w:val="en-US"/>
              </w:rPr>
              <w:t xml:space="preserve">COUNTRY LEVEL SUPPORT FOR IMPLEMENTATION  </w:t>
            </w:r>
          </w:p>
        </w:tc>
      </w:tr>
      <w:tr w:rsidR="00F55033" w:rsidRPr="00603BF7" w14:paraId="25C8878C" w14:textId="77777777" w:rsidTr="00F55033">
        <w:trPr>
          <w:trHeight w:val="463"/>
        </w:trPr>
        <w:tc>
          <w:tcPr>
            <w:tcW w:w="733" w:type="pct"/>
            <w:shd w:val="clear" w:color="auto" w:fill="BFBFBF" w:themeFill="background1" w:themeFillShade="BF"/>
          </w:tcPr>
          <w:p w14:paraId="097701C8" w14:textId="364BE316" w:rsidR="007E36D1" w:rsidRPr="00335E02" w:rsidRDefault="00D86FC8" w:rsidP="00EF3BC4">
            <w:pPr>
              <w:rPr>
                <w:b/>
                <w:sz w:val="20"/>
                <w:szCs w:val="20"/>
                <w:lang w:val="en-US"/>
              </w:rPr>
            </w:pPr>
            <w:r w:rsidRPr="00335E02">
              <w:rPr>
                <w:b/>
                <w:sz w:val="20"/>
                <w:szCs w:val="20"/>
                <w:lang w:val="en-US"/>
              </w:rPr>
              <w:t xml:space="preserve">Key </w:t>
            </w:r>
            <w:r w:rsidR="00077E09" w:rsidRPr="00335E02">
              <w:rPr>
                <w:b/>
                <w:sz w:val="20"/>
                <w:szCs w:val="20"/>
                <w:lang w:val="en-US"/>
              </w:rPr>
              <w:t>Activity</w:t>
            </w:r>
          </w:p>
          <w:p w14:paraId="358C00E4" w14:textId="77777777" w:rsidR="007E36D1" w:rsidRPr="00335E02" w:rsidRDefault="007E36D1" w:rsidP="00EF3BC4">
            <w:pPr>
              <w:rPr>
                <w:b/>
                <w:color w:val="FF0000"/>
                <w:sz w:val="20"/>
                <w:szCs w:val="20"/>
                <w:lang w:val="en-US"/>
              </w:rPr>
            </w:pPr>
          </w:p>
        </w:tc>
        <w:tc>
          <w:tcPr>
            <w:tcW w:w="1034" w:type="pct"/>
            <w:shd w:val="clear" w:color="auto" w:fill="BFBFBF" w:themeFill="background1" w:themeFillShade="BF"/>
          </w:tcPr>
          <w:p w14:paraId="570AFD40" w14:textId="77777777" w:rsidR="007E36D1" w:rsidRPr="00335E02" w:rsidRDefault="007E36D1" w:rsidP="00EF3BC4">
            <w:pPr>
              <w:rPr>
                <w:b/>
                <w:sz w:val="20"/>
                <w:szCs w:val="20"/>
                <w:lang w:val="en-US"/>
              </w:rPr>
            </w:pPr>
            <w:r w:rsidRPr="00335E02">
              <w:rPr>
                <w:b/>
                <w:sz w:val="20"/>
                <w:szCs w:val="20"/>
                <w:lang w:val="en-US"/>
              </w:rPr>
              <w:t>Related Activities</w:t>
            </w:r>
          </w:p>
        </w:tc>
        <w:tc>
          <w:tcPr>
            <w:tcW w:w="526" w:type="pct"/>
            <w:shd w:val="clear" w:color="auto" w:fill="BFBFBF" w:themeFill="background1" w:themeFillShade="BF"/>
          </w:tcPr>
          <w:p w14:paraId="5BA25298" w14:textId="77777777" w:rsidR="007E36D1" w:rsidRPr="00335E02" w:rsidRDefault="007E36D1" w:rsidP="00EF3BC4">
            <w:pPr>
              <w:rPr>
                <w:b/>
                <w:sz w:val="20"/>
                <w:szCs w:val="20"/>
                <w:lang w:val="en-US"/>
              </w:rPr>
            </w:pPr>
            <w:r w:rsidRPr="00335E02">
              <w:rPr>
                <w:b/>
                <w:sz w:val="20"/>
                <w:szCs w:val="20"/>
                <w:lang w:val="en-US"/>
              </w:rPr>
              <w:t>Focal Point</w:t>
            </w:r>
          </w:p>
        </w:tc>
        <w:tc>
          <w:tcPr>
            <w:tcW w:w="435" w:type="pct"/>
            <w:shd w:val="clear" w:color="auto" w:fill="BFBFBF" w:themeFill="background1" w:themeFillShade="BF"/>
          </w:tcPr>
          <w:p w14:paraId="3B77E6DE" w14:textId="7B33DA6A" w:rsidR="007E36D1" w:rsidRPr="00335E02" w:rsidRDefault="007E36D1" w:rsidP="000E733A">
            <w:pPr>
              <w:rPr>
                <w:b/>
                <w:sz w:val="20"/>
                <w:szCs w:val="20"/>
                <w:lang w:val="en-US"/>
              </w:rPr>
            </w:pPr>
            <w:r w:rsidRPr="00335E02">
              <w:rPr>
                <w:b/>
                <w:sz w:val="20"/>
                <w:szCs w:val="20"/>
                <w:lang w:val="en-US"/>
              </w:rPr>
              <w:t>Time Frame</w:t>
            </w:r>
          </w:p>
        </w:tc>
        <w:tc>
          <w:tcPr>
            <w:tcW w:w="980" w:type="pct"/>
            <w:shd w:val="clear" w:color="auto" w:fill="BFBFBF" w:themeFill="background1" w:themeFillShade="BF"/>
          </w:tcPr>
          <w:p w14:paraId="01E0A1DA" w14:textId="77777777" w:rsidR="007E36D1" w:rsidRPr="00335E02" w:rsidRDefault="007E36D1" w:rsidP="00EF3BC4">
            <w:pPr>
              <w:rPr>
                <w:b/>
                <w:sz w:val="20"/>
                <w:szCs w:val="20"/>
                <w:lang w:val="en-US"/>
              </w:rPr>
            </w:pPr>
            <w:r w:rsidRPr="00335E02">
              <w:rPr>
                <w:b/>
                <w:sz w:val="20"/>
                <w:szCs w:val="20"/>
                <w:lang w:val="en-US"/>
              </w:rPr>
              <w:t>Indicators</w:t>
            </w:r>
          </w:p>
        </w:tc>
        <w:tc>
          <w:tcPr>
            <w:tcW w:w="1292" w:type="pct"/>
            <w:gridSpan w:val="2"/>
            <w:shd w:val="clear" w:color="auto" w:fill="BFBFBF" w:themeFill="background1" w:themeFillShade="BF"/>
          </w:tcPr>
          <w:p w14:paraId="21ADDB73" w14:textId="77777777" w:rsidR="007E36D1" w:rsidRPr="00335E02" w:rsidRDefault="002C14F2" w:rsidP="00EF3BC4">
            <w:pPr>
              <w:rPr>
                <w:b/>
                <w:sz w:val="20"/>
                <w:szCs w:val="20"/>
                <w:lang w:val="en-US"/>
              </w:rPr>
            </w:pPr>
            <w:r w:rsidRPr="00335E02">
              <w:rPr>
                <w:b/>
                <w:sz w:val="20"/>
                <w:szCs w:val="20"/>
                <w:lang w:val="en-US"/>
              </w:rPr>
              <w:t>Comment</w:t>
            </w:r>
          </w:p>
        </w:tc>
      </w:tr>
      <w:tr w:rsidR="00F55033" w:rsidRPr="008C5141" w14:paraId="0765F190" w14:textId="77777777" w:rsidTr="00F55033">
        <w:tc>
          <w:tcPr>
            <w:tcW w:w="733" w:type="pct"/>
            <w:vMerge w:val="restart"/>
            <w:shd w:val="clear" w:color="auto" w:fill="auto"/>
          </w:tcPr>
          <w:p w14:paraId="3900E071" w14:textId="30F30387" w:rsidR="006F3917" w:rsidRDefault="006F3917" w:rsidP="00D0120B">
            <w:pPr>
              <w:rPr>
                <w:sz w:val="18"/>
                <w:szCs w:val="18"/>
              </w:rPr>
            </w:pPr>
            <w:r>
              <w:rPr>
                <w:sz w:val="18"/>
                <w:szCs w:val="18"/>
              </w:rPr>
              <w:t xml:space="preserve">C.1 </w:t>
            </w:r>
            <w:r w:rsidRPr="00B609F5">
              <w:rPr>
                <w:sz w:val="18"/>
                <w:szCs w:val="18"/>
              </w:rPr>
              <w:t>HCs supported in their leadership roles in relation to policy implementation</w:t>
            </w:r>
          </w:p>
          <w:p w14:paraId="4AC620C5" w14:textId="77777777" w:rsidR="006F3917" w:rsidRPr="00B609F5" w:rsidRDefault="006F3917" w:rsidP="00D0120B">
            <w:pPr>
              <w:rPr>
                <w:sz w:val="18"/>
                <w:szCs w:val="18"/>
              </w:rPr>
            </w:pPr>
          </w:p>
        </w:tc>
        <w:tc>
          <w:tcPr>
            <w:tcW w:w="1034" w:type="pct"/>
            <w:shd w:val="clear" w:color="auto" w:fill="FFFFFF" w:themeFill="background1"/>
          </w:tcPr>
          <w:p w14:paraId="6CE8DDFD" w14:textId="6E230F75" w:rsidR="006F3917" w:rsidRDefault="006F3917" w:rsidP="00D0120B">
            <w:pPr>
              <w:rPr>
                <w:sz w:val="18"/>
                <w:szCs w:val="18"/>
              </w:rPr>
            </w:pPr>
            <w:r>
              <w:rPr>
                <w:sz w:val="18"/>
                <w:szCs w:val="18"/>
              </w:rPr>
              <w:t xml:space="preserve">Protection Policy implementation is incorporated into </w:t>
            </w:r>
            <w:r w:rsidRPr="003B08BD">
              <w:rPr>
                <w:sz w:val="18"/>
                <w:szCs w:val="18"/>
              </w:rPr>
              <w:t xml:space="preserve">Emergency Directors meetings/missions </w:t>
            </w:r>
            <w:r>
              <w:rPr>
                <w:sz w:val="18"/>
                <w:szCs w:val="18"/>
              </w:rPr>
              <w:t>and operational meetings, STAIT learning and support missions, L3 OPRs and other field support tools, e.g. webinars</w:t>
            </w:r>
          </w:p>
          <w:p w14:paraId="2DE3EFF9" w14:textId="6CE6F045" w:rsidR="006F3917" w:rsidRPr="00D0120B" w:rsidRDefault="006F3917" w:rsidP="00D0120B">
            <w:pPr>
              <w:rPr>
                <w:sz w:val="18"/>
                <w:szCs w:val="18"/>
              </w:rPr>
            </w:pPr>
          </w:p>
        </w:tc>
        <w:tc>
          <w:tcPr>
            <w:tcW w:w="526" w:type="pct"/>
            <w:shd w:val="clear" w:color="auto" w:fill="FFFFFF" w:themeFill="background1"/>
          </w:tcPr>
          <w:p w14:paraId="1C79E519" w14:textId="749D1436" w:rsidR="006F3917" w:rsidRDefault="006F3917" w:rsidP="00EF3BC4">
            <w:pPr>
              <w:rPr>
                <w:sz w:val="18"/>
                <w:szCs w:val="18"/>
              </w:rPr>
            </w:pPr>
            <w:r w:rsidRPr="00244D71">
              <w:rPr>
                <w:sz w:val="18"/>
                <w:szCs w:val="18"/>
              </w:rPr>
              <w:t>Emergency Directors Group</w:t>
            </w:r>
            <w:r>
              <w:rPr>
                <w:sz w:val="18"/>
                <w:szCs w:val="18"/>
              </w:rPr>
              <w:t>, STAIT</w:t>
            </w:r>
          </w:p>
        </w:tc>
        <w:tc>
          <w:tcPr>
            <w:tcW w:w="435" w:type="pct"/>
            <w:shd w:val="clear" w:color="auto" w:fill="auto"/>
          </w:tcPr>
          <w:p w14:paraId="0B56A80F" w14:textId="3A8E0466" w:rsidR="006F3917" w:rsidRPr="00F861D1" w:rsidRDefault="008574F9" w:rsidP="00EF3BC4">
            <w:pPr>
              <w:rPr>
                <w:sz w:val="18"/>
                <w:szCs w:val="18"/>
              </w:rPr>
            </w:pPr>
            <w:r>
              <w:rPr>
                <w:sz w:val="18"/>
                <w:szCs w:val="18"/>
              </w:rPr>
              <w:t xml:space="preserve">October 2016 – December 2017 </w:t>
            </w:r>
          </w:p>
        </w:tc>
        <w:tc>
          <w:tcPr>
            <w:tcW w:w="980" w:type="pct"/>
            <w:shd w:val="clear" w:color="auto" w:fill="auto"/>
          </w:tcPr>
          <w:p w14:paraId="1679EEDD" w14:textId="6CA891B2" w:rsidR="006F3917" w:rsidRPr="00EF2754" w:rsidDel="000E2E18" w:rsidRDefault="006F3917" w:rsidP="00EF2754">
            <w:pPr>
              <w:pStyle w:val="ListParagraph"/>
              <w:numPr>
                <w:ilvl w:val="0"/>
                <w:numId w:val="17"/>
              </w:numPr>
              <w:rPr>
                <w:sz w:val="18"/>
                <w:szCs w:val="18"/>
              </w:rPr>
            </w:pPr>
            <w:r w:rsidRPr="00EF2754">
              <w:rPr>
                <w:sz w:val="18"/>
                <w:szCs w:val="18"/>
              </w:rPr>
              <w:t>Protection is appropriately reflected in mission TORs; Record/Recommendations of EDG country-specific meetings and missions incorporate key implementation gaps, etc.</w:t>
            </w:r>
          </w:p>
        </w:tc>
        <w:tc>
          <w:tcPr>
            <w:tcW w:w="1292" w:type="pct"/>
            <w:gridSpan w:val="2"/>
            <w:shd w:val="clear" w:color="auto" w:fill="FFFFFF" w:themeFill="background1"/>
          </w:tcPr>
          <w:p w14:paraId="5ECD5C97" w14:textId="77777777" w:rsidR="006F3917" w:rsidRDefault="006F3917" w:rsidP="00F14028">
            <w:pPr>
              <w:pStyle w:val="ListParagraph"/>
              <w:ind w:left="360"/>
              <w:rPr>
                <w:sz w:val="18"/>
                <w:szCs w:val="18"/>
              </w:rPr>
            </w:pPr>
          </w:p>
        </w:tc>
      </w:tr>
      <w:tr w:rsidR="00F55033" w:rsidRPr="008C5141" w14:paraId="52AB9AD3" w14:textId="77777777" w:rsidTr="00F55033">
        <w:tc>
          <w:tcPr>
            <w:tcW w:w="733" w:type="pct"/>
            <w:vMerge/>
            <w:shd w:val="clear" w:color="auto" w:fill="auto"/>
          </w:tcPr>
          <w:p w14:paraId="708891C4" w14:textId="77777777" w:rsidR="006F3917" w:rsidRPr="00B609F5" w:rsidRDefault="006F3917" w:rsidP="00D0120B">
            <w:pPr>
              <w:rPr>
                <w:sz w:val="18"/>
                <w:szCs w:val="18"/>
              </w:rPr>
            </w:pPr>
          </w:p>
        </w:tc>
        <w:tc>
          <w:tcPr>
            <w:tcW w:w="1034" w:type="pct"/>
            <w:shd w:val="clear" w:color="auto" w:fill="FFFFFF" w:themeFill="background1"/>
          </w:tcPr>
          <w:p w14:paraId="424CFAF3" w14:textId="4B8A8AD0" w:rsidR="006F3917" w:rsidRDefault="006F3917" w:rsidP="006C4564">
            <w:pPr>
              <w:rPr>
                <w:sz w:val="18"/>
                <w:szCs w:val="18"/>
              </w:rPr>
            </w:pPr>
            <w:r>
              <w:rPr>
                <w:sz w:val="18"/>
                <w:szCs w:val="18"/>
              </w:rPr>
              <w:t xml:space="preserve">Protection Policy integrated into </w:t>
            </w:r>
            <w:r w:rsidR="006C4564" w:rsidRPr="006C4564">
              <w:rPr>
                <w:rFonts w:cs="Helv"/>
                <w:color w:val="000000"/>
                <w:sz w:val="18"/>
                <w:szCs w:val="18"/>
              </w:rPr>
              <w:t>materials and leadership development support programme for RC/HC, as relevant.</w:t>
            </w:r>
          </w:p>
        </w:tc>
        <w:tc>
          <w:tcPr>
            <w:tcW w:w="526" w:type="pct"/>
            <w:shd w:val="clear" w:color="auto" w:fill="FFFFFF" w:themeFill="background1"/>
          </w:tcPr>
          <w:p w14:paraId="1E4401BD" w14:textId="0C08E67D" w:rsidR="006F3917" w:rsidRPr="00244D71" w:rsidRDefault="006F3917" w:rsidP="00EF3BC4">
            <w:pPr>
              <w:rPr>
                <w:sz w:val="18"/>
                <w:szCs w:val="18"/>
              </w:rPr>
            </w:pPr>
            <w:r>
              <w:rPr>
                <w:sz w:val="18"/>
                <w:szCs w:val="18"/>
              </w:rPr>
              <w:t>OCHA/HLSU</w:t>
            </w:r>
          </w:p>
        </w:tc>
        <w:tc>
          <w:tcPr>
            <w:tcW w:w="435" w:type="pct"/>
            <w:shd w:val="clear" w:color="auto" w:fill="auto"/>
          </w:tcPr>
          <w:p w14:paraId="320371C0" w14:textId="78710710" w:rsidR="006F3917" w:rsidRPr="00F861D1" w:rsidRDefault="008574F9" w:rsidP="00EF3BC4">
            <w:pPr>
              <w:rPr>
                <w:sz w:val="18"/>
                <w:szCs w:val="18"/>
              </w:rPr>
            </w:pPr>
            <w:r>
              <w:rPr>
                <w:sz w:val="18"/>
                <w:szCs w:val="18"/>
              </w:rPr>
              <w:t>October 2016 – December 2017</w:t>
            </w:r>
          </w:p>
        </w:tc>
        <w:tc>
          <w:tcPr>
            <w:tcW w:w="980" w:type="pct"/>
            <w:shd w:val="clear" w:color="auto" w:fill="auto"/>
          </w:tcPr>
          <w:p w14:paraId="492F8E2B" w14:textId="5B56B05D" w:rsidR="006F3917" w:rsidRPr="00D53946" w:rsidRDefault="00D53946" w:rsidP="00D53946">
            <w:pPr>
              <w:pStyle w:val="ListParagraph"/>
              <w:numPr>
                <w:ilvl w:val="0"/>
                <w:numId w:val="17"/>
              </w:numPr>
              <w:rPr>
                <w:sz w:val="18"/>
                <w:szCs w:val="18"/>
              </w:rPr>
            </w:pPr>
            <w:r w:rsidRPr="00D53946">
              <w:rPr>
                <w:sz w:val="18"/>
                <w:szCs w:val="18"/>
              </w:rPr>
              <w:t xml:space="preserve">HC and other leadership support materials reflect inclusion of the Protection Policy </w:t>
            </w:r>
          </w:p>
        </w:tc>
        <w:tc>
          <w:tcPr>
            <w:tcW w:w="1292" w:type="pct"/>
            <w:gridSpan w:val="2"/>
            <w:shd w:val="clear" w:color="auto" w:fill="FFFFFF" w:themeFill="background1"/>
          </w:tcPr>
          <w:p w14:paraId="406DE309" w14:textId="125AB6C1" w:rsidR="006F3917" w:rsidRPr="006F3917" w:rsidRDefault="006F3917" w:rsidP="006F3917">
            <w:pPr>
              <w:pStyle w:val="ListParagraph"/>
              <w:ind w:left="0"/>
              <w:rPr>
                <w:sz w:val="20"/>
                <w:szCs w:val="20"/>
              </w:rPr>
            </w:pPr>
          </w:p>
        </w:tc>
      </w:tr>
      <w:tr w:rsidR="00F55033" w:rsidRPr="008C5141" w14:paraId="4572D210" w14:textId="77777777" w:rsidTr="00F55033">
        <w:tc>
          <w:tcPr>
            <w:tcW w:w="733" w:type="pct"/>
            <w:shd w:val="clear" w:color="auto" w:fill="auto"/>
          </w:tcPr>
          <w:p w14:paraId="3FE0C1FE" w14:textId="6017181C" w:rsidR="00077E09" w:rsidRPr="00077E09" w:rsidRDefault="006F3917" w:rsidP="00077E09">
            <w:pPr>
              <w:rPr>
                <w:sz w:val="18"/>
                <w:szCs w:val="18"/>
              </w:rPr>
            </w:pPr>
            <w:r>
              <w:rPr>
                <w:sz w:val="18"/>
                <w:szCs w:val="18"/>
              </w:rPr>
              <w:t xml:space="preserve">C.2 </w:t>
            </w:r>
            <w:r w:rsidR="00077E09" w:rsidRPr="00077E09">
              <w:rPr>
                <w:sz w:val="18"/>
                <w:szCs w:val="18"/>
              </w:rPr>
              <w:t>Review of Country Operations by Emergency Directors integrates implementation of the Protection Policy</w:t>
            </w:r>
          </w:p>
          <w:p w14:paraId="37E1CE6F" w14:textId="77777777" w:rsidR="00077E09" w:rsidRPr="00B609F5" w:rsidRDefault="00077E09" w:rsidP="00D0120B">
            <w:pPr>
              <w:rPr>
                <w:sz w:val="18"/>
                <w:szCs w:val="18"/>
              </w:rPr>
            </w:pPr>
          </w:p>
        </w:tc>
        <w:tc>
          <w:tcPr>
            <w:tcW w:w="1034" w:type="pct"/>
            <w:shd w:val="clear" w:color="auto" w:fill="FFFFFF" w:themeFill="background1"/>
          </w:tcPr>
          <w:p w14:paraId="6CB95036" w14:textId="14DC709A" w:rsidR="00077E09" w:rsidRDefault="00077E09" w:rsidP="00D0120B">
            <w:pPr>
              <w:rPr>
                <w:sz w:val="18"/>
                <w:szCs w:val="18"/>
              </w:rPr>
            </w:pPr>
            <w:r w:rsidRPr="00077E09">
              <w:rPr>
                <w:sz w:val="18"/>
                <w:szCs w:val="18"/>
              </w:rPr>
              <w:t>Annual review of operations by the Emergency Directors Group addresses implementation of the Protection Policy at field level</w:t>
            </w:r>
          </w:p>
        </w:tc>
        <w:tc>
          <w:tcPr>
            <w:tcW w:w="526" w:type="pct"/>
            <w:shd w:val="clear" w:color="auto" w:fill="FFFFFF" w:themeFill="background1"/>
          </w:tcPr>
          <w:p w14:paraId="1C472A4B" w14:textId="5EBCAA1A" w:rsidR="00077E09" w:rsidRPr="00244D71" w:rsidRDefault="00077E09" w:rsidP="00EF3BC4">
            <w:pPr>
              <w:rPr>
                <w:sz w:val="18"/>
                <w:szCs w:val="18"/>
              </w:rPr>
            </w:pPr>
            <w:r w:rsidRPr="00F861D1">
              <w:rPr>
                <w:sz w:val="18"/>
                <w:szCs w:val="18"/>
              </w:rPr>
              <w:t xml:space="preserve">Emergency Directors Group </w:t>
            </w:r>
            <w:r>
              <w:rPr>
                <w:sz w:val="18"/>
                <w:szCs w:val="18"/>
              </w:rPr>
              <w:t xml:space="preserve"> </w:t>
            </w:r>
          </w:p>
        </w:tc>
        <w:tc>
          <w:tcPr>
            <w:tcW w:w="435" w:type="pct"/>
            <w:shd w:val="clear" w:color="auto" w:fill="auto"/>
          </w:tcPr>
          <w:p w14:paraId="712E50B1" w14:textId="62715911" w:rsidR="00077E09" w:rsidRPr="00F861D1" w:rsidRDefault="008574F9" w:rsidP="00EF3BC4">
            <w:pPr>
              <w:rPr>
                <w:sz w:val="18"/>
                <w:szCs w:val="18"/>
              </w:rPr>
            </w:pPr>
            <w:r>
              <w:rPr>
                <w:sz w:val="18"/>
                <w:szCs w:val="18"/>
              </w:rPr>
              <w:t>October 2016 – December 2017</w:t>
            </w:r>
          </w:p>
        </w:tc>
        <w:tc>
          <w:tcPr>
            <w:tcW w:w="980" w:type="pct"/>
            <w:shd w:val="clear" w:color="auto" w:fill="auto"/>
          </w:tcPr>
          <w:p w14:paraId="18DA8127" w14:textId="1E899D77" w:rsidR="00077E09" w:rsidRPr="00EF2754" w:rsidRDefault="00077E09" w:rsidP="00E45CAF">
            <w:pPr>
              <w:pStyle w:val="ListParagraph"/>
              <w:numPr>
                <w:ilvl w:val="0"/>
                <w:numId w:val="17"/>
              </w:numPr>
              <w:rPr>
                <w:sz w:val="18"/>
                <w:szCs w:val="18"/>
              </w:rPr>
            </w:pPr>
            <w:r w:rsidRPr="00EF2754">
              <w:rPr>
                <w:sz w:val="18"/>
                <w:szCs w:val="18"/>
              </w:rPr>
              <w:t>Templates and questionnaires reflect the Protection Policy; Record/Recommendations of Annual Meeting</w:t>
            </w:r>
            <w:r w:rsidR="0017135C">
              <w:rPr>
                <w:sz w:val="18"/>
                <w:szCs w:val="18"/>
              </w:rPr>
              <w:t xml:space="preserve"> </w:t>
            </w:r>
            <w:r w:rsidR="00E45CAF">
              <w:rPr>
                <w:sz w:val="18"/>
                <w:szCs w:val="18"/>
              </w:rPr>
              <w:t>(internal)</w:t>
            </w:r>
            <w:r w:rsidR="00E45CAF" w:rsidRPr="00EF2754">
              <w:rPr>
                <w:sz w:val="18"/>
                <w:szCs w:val="18"/>
              </w:rPr>
              <w:t xml:space="preserve"> </w:t>
            </w:r>
            <w:r w:rsidRPr="00EF2754">
              <w:rPr>
                <w:sz w:val="18"/>
                <w:szCs w:val="18"/>
              </w:rPr>
              <w:t>reflect key implementation gaps, etc.</w:t>
            </w:r>
          </w:p>
        </w:tc>
        <w:tc>
          <w:tcPr>
            <w:tcW w:w="1292" w:type="pct"/>
            <w:gridSpan w:val="2"/>
            <w:shd w:val="clear" w:color="auto" w:fill="FFFFFF" w:themeFill="background1"/>
          </w:tcPr>
          <w:p w14:paraId="1199698C" w14:textId="77777777" w:rsidR="00077E09" w:rsidRDefault="00077E09" w:rsidP="00F14028">
            <w:pPr>
              <w:pStyle w:val="ListParagraph"/>
              <w:ind w:left="360"/>
              <w:rPr>
                <w:sz w:val="18"/>
                <w:szCs w:val="18"/>
              </w:rPr>
            </w:pPr>
          </w:p>
        </w:tc>
      </w:tr>
      <w:tr w:rsidR="00F55033" w:rsidRPr="008C5141" w14:paraId="4A845B62" w14:textId="77777777" w:rsidTr="00F55033">
        <w:tc>
          <w:tcPr>
            <w:tcW w:w="733" w:type="pct"/>
            <w:shd w:val="clear" w:color="auto" w:fill="auto"/>
          </w:tcPr>
          <w:p w14:paraId="7B215C31" w14:textId="7104CE46" w:rsidR="00077E09" w:rsidRDefault="006F3917" w:rsidP="00D0120B">
            <w:pPr>
              <w:rPr>
                <w:sz w:val="18"/>
                <w:szCs w:val="18"/>
              </w:rPr>
            </w:pPr>
            <w:r>
              <w:rPr>
                <w:sz w:val="18"/>
                <w:szCs w:val="18"/>
              </w:rPr>
              <w:t xml:space="preserve">C.3 </w:t>
            </w:r>
            <w:r w:rsidR="00870301">
              <w:rPr>
                <w:sz w:val="18"/>
                <w:szCs w:val="18"/>
              </w:rPr>
              <w:t xml:space="preserve">Targeted support for humanitarian actors in specific country contexts </w:t>
            </w:r>
          </w:p>
          <w:p w14:paraId="6BBAB286" w14:textId="77777777" w:rsidR="00870301" w:rsidRPr="00B609F5" w:rsidRDefault="00870301" w:rsidP="00D0120B">
            <w:pPr>
              <w:rPr>
                <w:sz w:val="18"/>
                <w:szCs w:val="18"/>
              </w:rPr>
            </w:pPr>
          </w:p>
        </w:tc>
        <w:tc>
          <w:tcPr>
            <w:tcW w:w="1034" w:type="pct"/>
            <w:shd w:val="clear" w:color="auto" w:fill="FFFFFF" w:themeFill="background1"/>
          </w:tcPr>
          <w:p w14:paraId="5EF68FCA" w14:textId="77777777" w:rsidR="00077E09" w:rsidRDefault="00870301" w:rsidP="00D0120B">
            <w:pPr>
              <w:rPr>
                <w:sz w:val="18"/>
                <w:szCs w:val="18"/>
              </w:rPr>
            </w:pPr>
            <w:r>
              <w:rPr>
                <w:sz w:val="18"/>
                <w:szCs w:val="18"/>
              </w:rPr>
              <w:t xml:space="preserve">National or sub-national level workshops, coaching, joint analysis, or other activities to support familiarity with and implementation of the IASC Protection Policy </w:t>
            </w:r>
          </w:p>
          <w:p w14:paraId="745F9EE2" w14:textId="416BC879" w:rsidR="00870301" w:rsidRDefault="00870301" w:rsidP="00D0120B">
            <w:pPr>
              <w:rPr>
                <w:sz w:val="18"/>
                <w:szCs w:val="18"/>
              </w:rPr>
            </w:pPr>
          </w:p>
        </w:tc>
        <w:tc>
          <w:tcPr>
            <w:tcW w:w="526" w:type="pct"/>
            <w:shd w:val="clear" w:color="auto" w:fill="FFFFFF" w:themeFill="background1"/>
          </w:tcPr>
          <w:p w14:paraId="135F4D00" w14:textId="10CBDEC4" w:rsidR="00077E09" w:rsidRPr="00244D71" w:rsidRDefault="00870301" w:rsidP="00EF3BC4">
            <w:pPr>
              <w:rPr>
                <w:sz w:val="18"/>
                <w:szCs w:val="18"/>
              </w:rPr>
            </w:pPr>
            <w:r>
              <w:rPr>
                <w:sz w:val="18"/>
                <w:szCs w:val="18"/>
              </w:rPr>
              <w:t>IASC members and other humanitarian organisations</w:t>
            </w:r>
            <w:r w:rsidR="00612A97">
              <w:rPr>
                <w:sz w:val="18"/>
                <w:szCs w:val="18"/>
              </w:rPr>
              <w:t xml:space="preserve"> (individually or jointly) </w:t>
            </w:r>
            <w:r>
              <w:rPr>
                <w:sz w:val="18"/>
                <w:szCs w:val="18"/>
              </w:rPr>
              <w:t xml:space="preserve"> </w:t>
            </w:r>
          </w:p>
        </w:tc>
        <w:tc>
          <w:tcPr>
            <w:tcW w:w="435" w:type="pct"/>
            <w:shd w:val="clear" w:color="auto" w:fill="auto"/>
          </w:tcPr>
          <w:p w14:paraId="4A19A715" w14:textId="0A3DE23D" w:rsidR="00077E09" w:rsidRPr="00F861D1" w:rsidRDefault="008574F9" w:rsidP="00EF3BC4">
            <w:pPr>
              <w:rPr>
                <w:sz w:val="18"/>
                <w:szCs w:val="18"/>
              </w:rPr>
            </w:pPr>
            <w:r>
              <w:rPr>
                <w:sz w:val="18"/>
                <w:szCs w:val="18"/>
              </w:rPr>
              <w:t>October 2016 – December 2017</w:t>
            </w:r>
          </w:p>
        </w:tc>
        <w:tc>
          <w:tcPr>
            <w:tcW w:w="980" w:type="pct"/>
            <w:shd w:val="clear" w:color="auto" w:fill="auto"/>
          </w:tcPr>
          <w:p w14:paraId="552B9F4D" w14:textId="236548C1" w:rsidR="00077E09" w:rsidRPr="00EF2754" w:rsidRDefault="00870301" w:rsidP="00EF2754">
            <w:pPr>
              <w:pStyle w:val="ListParagraph"/>
              <w:numPr>
                <w:ilvl w:val="0"/>
                <w:numId w:val="17"/>
              </w:numPr>
              <w:rPr>
                <w:sz w:val="18"/>
                <w:szCs w:val="18"/>
              </w:rPr>
            </w:pPr>
            <w:r w:rsidRPr="00EF2754">
              <w:rPr>
                <w:sz w:val="18"/>
                <w:szCs w:val="18"/>
              </w:rPr>
              <w:t>Evaluations</w:t>
            </w:r>
            <w:r w:rsidR="00612A97" w:rsidRPr="00EF2754">
              <w:rPr>
                <w:sz w:val="18"/>
                <w:szCs w:val="18"/>
              </w:rPr>
              <w:t xml:space="preserve">, </w:t>
            </w:r>
            <w:r w:rsidRPr="00EF2754">
              <w:rPr>
                <w:sz w:val="18"/>
                <w:szCs w:val="18"/>
              </w:rPr>
              <w:t xml:space="preserve">reports </w:t>
            </w:r>
            <w:r w:rsidR="00612A97" w:rsidRPr="00EF2754">
              <w:rPr>
                <w:sz w:val="18"/>
                <w:szCs w:val="18"/>
              </w:rPr>
              <w:t xml:space="preserve">or action plans resulting </w:t>
            </w:r>
            <w:r w:rsidRPr="00EF2754">
              <w:rPr>
                <w:sz w:val="18"/>
                <w:szCs w:val="18"/>
              </w:rPr>
              <w:t xml:space="preserve">from targeted support activities </w:t>
            </w:r>
          </w:p>
        </w:tc>
        <w:tc>
          <w:tcPr>
            <w:tcW w:w="1292" w:type="pct"/>
            <w:gridSpan w:val="2"/>
            <w:shd w:val="clear" w:color="auto" w:fill="FFFFFF" w:themeFill="background1"/>
          </w:tcPr>
          <w:p w14:paraId="058B428A" w14:textId="1B5DC3B6" w:rsidR="00077E09" w:rsidRDefault="00870301" w:rsidP="00870301">
            <w:pPr>
              <w:pStyle w:val="ListParagraph"/>
              <w:ind w:left="0"/>
              <w:rPr>
                <w:sz w:val="18"/>
                <w:szCs w:val="18"/>
              </w:rPr>
            </w:pPr>
            <w:r>
              <w:rPr>
                <w:sz w:val="18"/>
                <w:szCs w:val="18"/>
              </w:rPr>
              <w:t xml:space="preserve">For example, InterAction will extend support to and respond to support requests from operational NGOs </w:t>
            </w:r>
          </w:p>
        </w:tc>
      </w:tr>
      <w:tr w:rsidR="00F55033" w:rsidRPr="00830C60" w14:paraId="12A0D685" w14:textId="77777777" w:rsidTr="00F55033">
        <w:tc>
          <w:tcPr>
            <w:tcW w:w="733" w:type="pct"/>
            <w:shd w:val="clear" w:color="auto" w:fill="auto"/>
          </w:tcPr>
          <w:p w14:paraId="43F4F86E" w14:textId="606A470B" w:rsidR="00077E09" w:rsidRDefault="006F3917" w:rsidP="00612A97">
            <w:pPr>
              <w:rPr>
                <w:sz w:val="18"/>
                <w:szCs w:val="18"/>
              </w:rPr>
            </w:pPr>
            <w:r>
              <w:rPr>
                <w:sz w:val="18"/>
                <w:szCs w:val="18"/>
              </w:rPr>
              <w:t xml:space="preserve">C.4 </w:t>
            </w:r>
            <w:r w:rsidR="00612A97">
              <w:rPr>
                <w:sz w:val="18"/>
                <w:szCs w:val="18"/>
              </w:rPr>
              <w:t>Compilation and/or</w:t>
            </w:r>
            <w:r w:rsidR="00077E09" w:rsidRPr="00612A97">
              <w:rPr>
                <w:sz w:val="18"/>
                <w:szCs w:val="18"/>
              </w:rPr>
              <w:t xml:space="preserve"> development </w:t>
            </w:r>
            <w:r w:rsidR="00612A97">
              <w:rPr>
                <w:sz w:val="18"/>
                <w:szCs w:val="18"/>
              </w:rPr>
              <w:t>and dissemination of tools/guidance to support implementation</w:t>
            </w:r>
          </w:p>
          <w:p w14:paraId="5E3E58EA" w14:textId="34C88520" w:rsidR="00612A97" w:rsidRPr="00612A97" w:rsidRDefault="00612A97" w:rsidP="00612A97">
            <w:pPr>
              <w:rPr>
                <w:sz w:val="18"/>
                <w:szCs w:val="18"/>
              </w:rPr>
            </w:pPr>
          </w:p>
        </w:tc>
        <w:tc>
          <w:tcPr>
            <w:tcW w:w="1034" w:type="pct"/>
            <w:shd w:val="clear" w:color="auto" w:fill="auto"/>
          </w:tcPr>
          <w:p w14:paraId="18E5E793" w14:textId="0BA7EB27" w:rsidR="00077E09" w:rsidRPr="00612A97" w:rsidRDefault="00612A97" w:rsidP="00612A97">
            <w:pPr>
              <w:rPr>
                <w:sz w:val="18"/>
                <w:szCs w:val="18"/>
              </w:rPr>
            </w:pPr>
            <w:r>
              <w:rPr>
                <w:sz w:val="18"/>
                <w:szCs w:val="18"/>
              </w:rPr>
              <w:t>Based on information/feedback about implementation, t</w:t>
            </w:r>
            <w:r w:rsidR="00077E09" w:rsidRPr="00612A97">
              <w:rPr>
                <w:sz w:val="18"/>
                <w:szCs w:val="18"/>
              </w:rPr>
              <w:t xml:space="preserve">ools compiled or developed and disseminated to support Protection Policy implementation. </w:t>
            </w:r>
          </w:p>
        </w:tc>
        <w:tc>
          <w:tcPr>
            <w:tcW w:w="526" w:type="pct"/>
            <w:shd w:val="clear" w:color="auto" w:fill="auto"/>
          </w:tcPr>
          <w:p w14:paraId="46F19F5C" w14:textId="0CB276D4" w:rsidR="00077E09" w:rsidRPr="00D1650B" w:rsidRDefault="00612A97" w:rsidP="00612A97">
            <w:pPr>
              <w:rPr>
                <w:sz w:val="18"/>
                <w:szCs w:val="18"/>
              </w:rPr>
            </w:pPr>
            <w:r>
              <w:rPr>
                <w:sz w:val="18"/>
                <w:szCs w:val="18"/>
              </w:rPr>
              <w:t xml:space="preserve">Task Team, in close collaboration with other key stakeholders </w:t>
            </w:r>
          </w:p>
        </w:tc>
        <w:tc>
          <w:tcPr>
            <w:tcW w:w="435" w:type="pct"/>
            <w:shd w:val="clear" w:color="auto" w:fill="auto"/>
          </w:tcPr>
          <w:p w14:paraId="3E7B65A9" w14:textId="19CEC996" w:rsidR="00077E09" w:rsidRPr="001802E8" w:rsidRDefault="008574F9" w:rsidP="00EF3BC4">
            <w:pPr>
              <w:rPr>
                <w:i/>
                <w:sz w:val="18"/>
                <w:szCs w:val="18"/>
              </w:rPr>
            </w:pPr>
            <w:r>
              <w:rPr>
                <w:sz w:val="18"/>
                <w:szCs w:val="18"/>
              </w:rPr>
              <w:t>January – December 2017</w:t>
            </w:r>
          </w:p>
        </w:tc>
        <w:tc>
          <w:tcPr>
            <w:tcW w:w="980" w:type="pct"/>
            <w:shd w:val="clear" w:color="auto" w:fill="auto"/>
          </w:tcPr>
          <w:p w14:paraId="1EF7EB0C" w14:textId="3D73865F" w:rsidR="00077E09" w:rsidRPr="00EF2754" w:rsidRDefault="00EF2754" w:rsidP="00EF2754">
            <w:pPr>
              <w:pStyle w:val="ListParagraph"/>
              <w:numPr>
                <w:ilvl w:val="0"/>
                <w:numId w:val="17"/>
              </w:numPr>
              <w:rPr>
                <w:sz w:val="18"/>
                <w:szCs w:val="18"/>
              </w:rPr>
            </w:pPr>
            <w:r w:rsidRPr="00EF2754">
              <w:rPr>
                <w:sz w:val="18"/>
                <w:szCs w:val="18"/>
              </w:rPr>
              <w:t>Tools/guidance disseminated</w:t>
            </w:r>
          </w:p>
        </w:tc>
        <w:tc>
          <w:tcPr>
            <w:tcW w:w="1292" w:type="pct"/>
            <w:gridSpan w:val="2"/>
            <w:shd w:val="clear" w:color="auto" w:fill="FFFFFF" w:themeFill="background1"/>
          </w:tcPr>
          <w:p w14:paraId="2800FF5B" w14:textId="77777777" w:rsidR="00077E09" w:rsidRDefault="00077E09" w:rsidP="00480C23">
            <w:pPr>
              <w:rPr>
                <w:sz w:val="18"/>
                <w:szCs w:val="18"/>
              </w:rPr>
            </w:pPr>
            <w:r>
              <w:rPr>
                <w:sz w:val="18"/>
                <w:szCs w:val="18"/>
              </w:rPr>
              <w:t xml:space="preserve">For example: </w:t>
            </w:r>
          </w:p>
          <w:p w14:paraId="49511149" w14:textId="77777777" w:rsidR="00077E09" w:rsidRPr="00221B1C" w:rsidRDefault="00077E09" w:rsidP="00F55033">
            <w:pPr>
              <w:pStyle w:val="ListParagraph"/>
              <w:numPr>
                <w:ilvl w:val="0"/>
                <w:numId w:val="15"/>
              </w:numPr>
              <w:ind w:left="424"/>
              <w:rPr>
                <w:sz w:val="18"/>
                <w:szCs w:val="18"/>
              </w:rPr>
            </w:pPr>
            <w:r w:rsidRPr="00221B1C">
              <w:rPr>
                <w:sz w:val="18"/>
                <w:szCs w:val="18"/>
              </w:rPr>
              <w:t>A Self-Assessment Tool and ‘Success Matrix’</w:t>
            </w:r>
          </w:p>
          <w:p w14:paraId="46110572" w14:textId="77777777" w:rsidR="00077E09" w:rsidRDefault="00077E09" w:rsidP="00F55033">
            <w:pPr>
              <w:pStyle w:val="ListParagraph"/>
              <w:numPr>
                <w:ilvl w:val="0"/>
                <w:numId w:val="15"/>
              </w:numPr>
              <w:ind w:left="424"/>
              <w:rPr>
                <w:sz w:val="18"/>
                <w:szCs w:val="18"/>
              </w:rPr>
            </w:pPr>
            <w:r w:rsidRPr="00221B1C">
              <w:rPr>
                <w:sz w:val="18"/>
                <w:szCs w:val="18"/>
              </w:rPr>
              <w:t xml:space="preserve">Guidance on protection analysis </w:t>
            </w:r>
            <w:r>
              <w:rPr>
                <w:sz w:val="18"/>
                <w:szCs w:val="18"/>
              </w:rPr>
              <w:t xml:space="preserve">and monitoring </w:t>
            </w:r>
          </w:p>
          <w:p w14:paraId="160ABDC9" w14:textId="77777777" w:rsidR="00077E09" w:rsidRPr="00221B1C" w:rsidRDefault="00077E09" w:rsidP="00F55033">
            <w:pPr>
              <w:pStyle w:val="ListParagraph"/>
              <w:numPr>
                <w:ilvl w:val="0"/>
                <w:numId w:val="15"/>
              </w:numPr>
              <w:ind w:left="424"/>
              <w:rPr>
                <w:sz w:val="18"/>
                <w:szCs w:val="18"/>
              </w:rPr>
            </w:pPr>
            <w:r>
              <w:rPr>
                <w:sz w:val="18"/>
                <w:szCs w:val="18"/>
              </w:rPr>
              <w:t xml:space="preserve">Guidance on results-based protection </w:t>
            </w:r>
          </w:p>
          <w:p w14:paraId="351F738E" w14:textId="77777777" w:rsidR="00077E09" w:rsidRPr="00221B1C" w:rsidRDefault="00077E09" w:rsidP="00F55033">
            <w:pPr>
              <w:pStyle w:val="ListParagraph"/>
              <w:numPr>
                <w:ilvl w:val="0"/>
                <w:numId w:val="15"/>
              </w:numPr>
              <w:ind w:left="424"/>
              <w:rPr>
                <w:sz w:val="18"/>
                <w:szCs w:val="18"/>
                <w:lang w:val="en-US"/>
              </w:rPr>
            </w:pPr>
            <w:r w:rsidRPr="00221B1C">
              <w:rPr>
                <w:sz w:val="18"/>
                <w:szCs w:val="18"/>
              </w:rPr>
              <w:t xml:space="preserve">Protection information management </w:t>
            </w:r>
          </w:p>
        </w:tc>
      </w:tr>
      <w:tr w:rsidR="00864FA5" w:rsidRPr="00603BF7" w14:paraId="5E1860E3" w14:textId="77777777" w:rsidTr="00864FA5">
        <w:trPr>
          <w:trHeight w:val="463"/>
        </w:trPr>
        <w:tc>
          <w:tcPr>
            <w:tcW w:w="5000" w:type="pct"/>
            <w:gridSpan w:val="7"/>
            <w:tcBorders>
              <w:bottom w:val="single" w:sz="4" w:space="0" w:color="auto"/>
            </w:tcBorders>
            <w:shd w:val="clear" w:color="auto" w:fill="BFBFBF" w:themeFill="background1" w:themeFillShade="BF"/>
          </w:tcPr>
          <w:p w14:paraId="4F17C61F" w14:textId="560E3FB2" w:rsidR="00864FA5" w:rsidRPr="00864FA5" w:rsidRDefault="00864FA5" w:rsidP="00864FA5">
            <w:pPr>
              <w:pStyle w:val="ListParagraph"/>
              <w:numPr>
                <w:ilvl w:val="0"/>
                <w:numId w:val="21"/>
              </w:numPr>
              <w:rPr>
                <w:b/>
                <w:sz w:val="24"/>
                <w:szCs w:val="24"/>
                <w:lang w:val="en-US"/>
              </w:rPr>
            </w:pPr>
            <w:r w:rsidRPr="00864FA5">
              <w:rPr>
                <w:b/>
                <w:sz w:val="24"/>
                <w:szCs w:val="24"/>
                <w:lang w:val="en-US"/>
              </w:rPr>
              <w:t xml:space="preserve">LEARNING AND FURTHER DEVELOPMENT OF THE PROTECTION POLICY </w:t>
            </w:r>
          </w:p>
        </w:tc>
      </w:tr>
      <w:tr w:rsidR="00F55033" w:rsidRPr="00603BF7" w14:paraId="02EC445D" w14:textId="77777777" w:rsidTr="00F55033">
        <w:trPr>
          <w:trHeight w:val="463"/>
        </w:trPr>
        <w:tc>
          <w:tcPr>
            <w:tcW w:w="733" w:type="pct"/>
            <w:tcBorders>
              <w:bottom w:val="single" w:sz="4" w:space="0" w:color="auto"/>
            </w:tcBorders>
            <w:shd w:val="clear" w:color="auto" w:fill="BFBFBF" w:themeFill="background1" w:themeFillShade="BF"/>
          </w:tcPr>
          <w:p w14:paraId="027F0D46" w14:textId="5750501B" w:rsidR="007B7BE6" w:rsidRPr="00335E02" w:rsidRDefault="00D86FC8" w:rsidP="00EF3BC4">
            <w:pPr>
              <w:rPr>
                <w:b/>
                <w:sz w:val="20"/>
                <w:szCs w:val="20"/>
                <w:lang w:val="en-US"/>
              </w:rPr>
            </w:pPr>
            <w:r w:rsidRPr="00335E02">
              <w:rPr>
                <w:b/>
                <w:sz w:val="20"/>
                <w:szCs w:val="20"/>
                <w:lang w:val="en-US"/>
              </w:rPr>
              <w:t>Key Activity</w:t>
            </w:r>
          </w:p>
        </w:tc>
        <w:tc>
          <w:tcPr>
            <w:tcW w:w="1034" w:type="pct"/>
            <w:tcBorders>
              <w:bottom w:val="single" w:sz="4" w:space="0" w:color="auto"/>
            </w:tcBorders>
            <w:shd w:val="clear" w:color="auto" w:fill="BFBFBF" w:themeFill="background1" w:themeFillShade="BF"/>
          </w:tcPr>
          <w:p w14:paraId="5F2CD97F" w14:textId="77777777" w:rsidR="007B7BE6" w:rsidRPr="00335E02" w:rsidRDefault="007B7BE6" w:rsidP="00EF3BC4">
            <w:pPr>
              <w:rPr>
                <w:b/>
                <w:sz w:val="20"/>
                <w:szCs w:val="20"/>
                <w:lang w:val="en-US"/>
              </w:rPr>
            </w:pPr>
            <w:r w:rsidRPr="00335E02">
              <w:rPr>
                <w:b/>
                <w:sz w:val="20"/>
                <w:szCs w:val="20"/>
                <w:lang w:val="en-US"/>
              </w:rPr>
              <w:t>Related Activities</w:t>
            </w:r>
          </w:p>
        </w:tc>
        <w:tc>
          <w:tcPr>
            <w:tcW w:w="526" w:type="pct"/>
            <w:tcBorders>
              <w:bottom w:val="single" w:sz="4" w:space="0" w:color="auto"/>
            </w:tcBorders>
            <w:shd w:val="clear" w:color="auto" w:fill="BFBFBF" w:themeFill="background1" w:themeFillShade="BF"/>
          </w:tcPr>
          <w:p w14:paraId="56A0B747" w14:textId="77777777" w:rsidR="007B7BE6" w:rsidRPr="00335E02" w:rsidRDefault="007B7BE6" w:rsidP="00EF3BC4">
            <w:pPr>
              <w:rPr>
                <w:b/>
                <w:sz w:val="20"/>
                <w:szCs w:val="20"/>
                <w:lang w:val="en-US"/>
              </w:rPr>
            </w:pPr>
            <w:r w:rsidRPr="00335E02">
              <w:rPr>
                <w:b/>
                <w:sz w:val="20"/>
                <w:szCs w:val="20"/>
                <w:lang w:val="en-US"/>
              </w:rPr>
              <w:t>Focal Point</w:t>
            </w:r>
          </w:p>
        </w:tc>
        <w:tc>
          <w:tcPr>
            <w:tcW w:w="435" w:type="pct"/>
            <w:tcBorders>
              <w:bottom w:val="single" w:sz="4" w:space="0" w:color="auto"/>
            </w:tcBorders>
            <w:shd w:val="clear" w:color="auto" w:fill="BFBFBF" w:themeFill="background1" w:themeFillShade="BF"/>
          </w:tcPr>
          <w:p w14:paraId="242CE906" w14:textId="05B8AE73" w:rsidR="007B7BE6" w:rsidRPr="00335E02" w:rsidRDefault="007B7BE6" w:rsidP="00EF3BC4">
            <w:pPr>
              <w:rPr>
                <w:b/>
                <w:sz w:val="20"/>
                <w:szCs w:val="20"/>
                <w:lang w:val="en-US"/>
              </w:rPr>
            </w:pPr>
            <w:r w:rsidRPr="00335E02">
              <w:rPr>
                <w:b/>
                <w:sz w:val="20"/>
                <w:szCs w:val="20"/>
                <w:lang w:val="en-US"/>
              </w:rPr>
              <w:t>Time Frame</w:t>
            </w:r>
          </w:p>
        </w:tc>
        <w:tc>
          <w:tcPr>
            <w:tcW w:w="980" w:type="pct"/>
            <w:tcBorders>
              <w:bottom w:val="single" w:sz="4" w:space="0" w:color="auto"/>
            </w:tcBorders>
            <w:shd w:val="clear" w:color="auto" w:fill="BFBFBF" w:themeFill="background1" w:themeFillShade="BF"/>
          </w:tcPr>
          <w:p w14:paraId="69F45BBA" w14:textId="77777777" w:rsidR="007B7BE6" w:rsidRPr="00335E02" w:rsidRDefault="007B7BE6" w:rsidP="00EF3BC4">
            <w:pPr>
              <w:rPr>
                <w:b/>
                <w:sz w:val="20"/>
                <w:szCs w:val="20"/>
                <w:lang w:val="en-US"/>
              </w:rPr>
            </w:pPr>
            <w:r w:rsidRPr="00335E02">
              <w:rPr>
                <w:b/>
                <w:sz w:val="20"/>
                <w:szCs w:val="20"/>
                <w:lang w:val="en-US"/>
              </w:rPr>
              <w:t>Indicators</w:t>
            </w:r>
          </w:p>
        </w:tc>
        <w:tc>
          <w:tcPr>
            <w:tcW w:w="1292" w:type="pct"/>
            <w:gridSpan w:val="2"/>
            <w:tcBorders>
              <w:bottom w:val="single" w:sz="4" w:space="0" w:color="auto"/>
            </w:tcBorders>
            <w:shd w:val="clear" w:color="auto" w:fill="BFBFBF" w:themeFill="background1" w:themeFillShade="BF"/>
          </w:tcPr>
          <w:p w14:paraId="5E6FD286" w14:textId="77777777" w:rsidR="007B7BE6" w:rsidRPr="00335E02" w:rsidRDefault="002C14F2" w:rsidP="00EF3BC4">
            <w:pPr>
              <w:rPr>
                <w:b/>
                <w:sz w:val="20"/>
                <w:szCs w:val="20"/>
                <w:lang w:val="en-US"/>
              </w:rPr>
            </w:pPr>
            <w:r w:rsidRPr="00335E02">
              <w:rPr>
                <w:b/>
                <w:sz w:val="20"/>
                <w:szCs w:val="20"/>
                <w:lang w:val="en-US"/>
              </w:rPr>
              <w:t>Comment</w:t>
            </w:r>
          </w:p>
        </w:tc>
      </w:tr>
      <w:tr w:rsidR="00F55033" w:rsidRPr="007D041C" w14:paraId="5F47084C" w14:textId="77777777" w:rsidTr="00F55033">
        <w:trPr>
          <w:trHeight w:val="70"/>
        </w:trPr>
        <w:tc>
          <w:tcPr>
            <w:tcW w:w="733" w:type="pct"/>
          </w:tcPr>
          <w:p w14:paraId="3D07438E" w14:textId="68345553" w:rsidR="00FB2E83" w:rsidRPr="00612A97" w:rsidRDefault="006F3917" w:rsidP="00612A97">
            <w:pPr>
              <w:autoSpaceDE w:val="0"/>
              <w:autoSpaceDN w:val="0"/>
              <w:adjustRightInd w:val="0"/>
              <w:rPr>
                <w:rFonts w:ascii="Calibri" w:hAnsi="Calibri" w:cs="Calibri"/>
                <w:sz w:val="18"/>
                <w:szCs w:val="18"/>
              </w:rPr>
            </w:pPr>
            <w:r>
              <w:rPr>
                <w:rFonts w:ascii="Calibri" w:hAnsi="Calibri" w:cs="Calibri"/>
                <w:sz w:val="18"/>
                <w:szCs w:val="18"/>
              </w:rPr>
              <w:t xml:space="preserve">D.1 </w:t>
            </w:r>
            <w:r w:rsidR="00FB2E83" w:rsidRPr="00612A97">
              <w:rPr>
                <w:rFonts w:ascii="Calibri" w:hAnsi="Calibri" w:cs="Calibri"/>
                <w:sz w:val="18"/>
                <w:szCs w:val="18"/>
              </w:rPr>
              <w:t>Monitor implementation of the Protection Policy</w:t>
            </w:r>
          </w:p>
        </w:tc>
        <w:tc>
          <w:tcPr>
            <w:tcW w:w="1034" w:type="pct"/>
          </w:tcPr>
          <w:p w14:paraId="28823BC9" w14:textId="7C111252" w:rsidR="00372C4D" w:rsidRPr="00612A97" w:rsidRDefault="009C1F71" w:rsidP="00612A97">
            <w:pPr>
              <w:rPr>
                <w:rFonts w:ascii="Calibri" w:hAnsi="Calibri" w:cs="Calibri"/>
                <w:sz w:val="18"/>
                <w:szCs w:val="18"/>
              </w:rPr>
            </w:pPr>
            <w:r w:rsidRPr="00612A97">
              <w:rPr>
                <w:rFonts w:ascii="Calibri" w:hAnsi="Calibri" w:cs="Calibri"/>
                <w:sz w:val="18"/>
                <w:szCs w:val="18"/>
              </w:rPr>
              <w:t>HCs report on implementation of the protection policy to EDG</w:t>
            </w:r>
            <w:r w:rsidR="00E93410" w:rsidRPr="00612A97">
              <w:rPr>
                <w:rFonts w:ascii="Calibri" w:hAnsi="Calibri" w:cs="Calibri"/>
                <w:sz w:val="18"/>
                <w:szCs w:val="18"/>
              </w:rPr>
              <w:t xml:space="preserve"> as part of Annual Review of Operations and ad-hoc operational meetings</w:t>
            </w:r>
            <w:r w:rsidR="006C4564">
              <w:rPr>
                <w:rFonts w:ascii="Calibri" w:hAnsi="Calibri" w:cs="Calibri"/>
                <w:sz w:val="18"/>
                <w:szCs w:val="18"/>
              </w:rPr>
              <w:t xml:space="preserve">. STAIT missions also support monitoring of implementation. </w:t>
            </w:r>
          </w:p>
        </w:tc>
        <w:tc>
          <w:tcPr>
            <w:tcW w:w="526" w:type="pct"/>
          </w:tcPr>
          <w:p w14:paraId="273C63F7" w14:textId="77777777" w:rsidR="00FB2E83" w:rsidRDefault="00FB2E83" w:rsidP="00EF3BC4">
            <w:pPr>
              <w:autoSpaceDE w:val="0"/>
              <w:autoSpaceDN w:val="0"/>
              <w:adjustRightInd w:val="0"/>
              <w:rPr>
                <w:rFonts w:cs="Calibri,Bold"/>
                <w:bCs/>
                <w:i/>
                <w:sz w:val="18"/>
                <w:szCs w:val="18"/>
              </w:rPr>
            </w:pPr>
          </w:p>
          <w:p w14:paraId="52D3BB51" w14:textId="4C15BAAC" w:rsidR="00221B1C" w:rsidRPr="00221B1C" w:rsidRDefault="006C4564" w:rsidP="00EF3BC4">
            <w:pPr>
              <w:autoSpaceDE w:val="0"/>
              <w:autoSpaceDN w:val="0"/>
              <w:adjustRightInd w:val="0"/>
              <w:rPr>
                <w:rFonts w:cs="Calibri,Bold"/>
                <w:bCs/>
                <w:sz w:val="18"/>
                <w:szCs w:val="18"/>
              </w:rPr>
            </w:pPr>
            <w:r>
              <w:rPr>
                <w:rFonts w:cs="Calibri,Bold"/>
                <w:bCs/>
                <w:sz w:val="18"/>
                <w:szCs w:val="18"/>
              </w:rPr>
              <w:t>EDG</w:t>
            </w:r>
            <w:r w:rsidRPr="00221B1C">
              <w:rPr>
                <w:rFonts w:cs="Calibri,Bold"/>
                <w:bCs/>
                <w:sz w:val="18"/>
                <w:szCs w:val="18"/>
              </w:rPr>
              <w:t xml:space="preserve"> </w:t>
            </w:r>
          </w:p>
          <w:p w14:paraId="1FC6024C" w14:textId="77777777" w:rsidR="00221B1C" w:rsidRPr="00221B1C" w:rsidRDefault="00221B1C" w:rsidP="00EF3BC4">
            <w:pPr>
              <w:autoSpaceDE w:val="0"/>
              <w:autoSpaceDN w:val="0"/>
              <w:adjustRightInd w:val="0"/>
              <w:rPr>
                <w:rFonts w:cs="Calibri,Bold"/>
                <w:bCs/>
                <w:sz w:val="18"/>
                <w:szCs w:val="18"/>
              </w:rPr>
            </w:pPr>
          </w:p>
          <w:p w14:paraId="2742DE1F" w14:textId="0F70FEAB" w:rsidR="00221B1C" w:rsidRPr="00A0566E" w:rsidRDefault="00221B1C" w:rsidP="00EF3BC4">
            <w:pPr>
              <w:autoSpaceDE w:val="0"/>
              <w:autoSpaceDN w:val="0"/>
              <w:adjustRightInd w:val="0"/>
              <w:rPr>
                <w:rFonts w:cs="Calibri,Bold"/>
                <w:bCs/>
                <w:i/>
                <w:sz w:val="18"/>
                <w:szCs w:val="18"/>
              </w:rPr>
            </w:pPr>
          </w:p>
        </w:tc>
        <w:tc>
          <w:tcPr>
            <w:tcW w:w="435" w:type="pct"/>
          </w:tcPr>
          <w:p w14:paraId="4B50148B" w14:textId="59968153" w:rsidR="00FB2E83" w:rsidRPr="00CD6592" w:rsidRDefault="00CD6592" w:rsidP="00EF3BC4">
            <w:pPr>
              <w:autoSpaceDE w:val="0"/>
              <w:autoSpaceDN w:val="0"/>
              <w:adjustRightInd w:val="0"/>
              <w:rPr>
                <w:rFonts w:ascii="Calibri" w:hAnsi="Calibri" w:cs="Calibri"/>
                <w:sz w:val="18"/>
                <w:szCs w:val="18"/>
                <w:highlight w:val="yellow"/>
              </w:rPr>
            </w:pPr>
            <w:r w:rsidRPr="00CD6592">
              <w:rPr>
                <w:rFonts w:ascii="Calibri" w:hAnsi="Calibri" w:cs="Calibri"/>
                <w:sz w:val="18"/>
                <w:szCs w:val="18"/>
              </w:rPr>
              <w:t>Per EDG schedule</w:t>
            </w:r>
          </w:p>
        </w:tc>
        <w:tc>
          <w:tcPr>
            <w:tcW w:w="980" w:type="pct"/>
          </w:tcPr>
          <w:p w14:paraId="5A30E4B2" w14:textId="3522E8EC" w:rsidR="00FB2E83" w:rsidRPr="00D53946" w:rsidRDefault="00D53946" w:rsidP="006C4564">
            <w:pPr>
              <w:pStyle w:val="ListParagraph"/>
              <w:numPr>
                <w:ilvl w:val="0"/>
                <w:numId w:val="18"/>
              </w:numPr>
              <w:autoSpaceDE w:val="0"/>
              <w:autoSpaceDN w:val="0"/>
              <w:adjustRightInd w:val="0"/>
              <w:rPr>
                <w:rFonts w:ascii="Calibri" w:hAnsi="Calibri" w:cs="Calibri"/>
                <w:sz w:val="18"/>
                <w:szCs w:val="18"/>
              </w:rPr>
            </w:pPr>
            <w:r w:rsidRPr="00AC11CB">
              <w:rPr>
                <w:rFonts w:ascii="Calibri" w:hAnsi="Calibri" w:cs="Calibri"/>
                <w:sz w:val="18"/>
                <w:szCs w:val="18"/>
              </w:rPr>
              <w:t>EDG meeting notes</w:t>
            </w:r>
            <w:r w:rsidRPr="00D53946">
              <w:rPr>
                <w:rFonts w:ascii="Calibri" w:hAnsi="Calibri" w:cs="Calibri"/>
                <w:sz w:val="18"/>
                <w:szCs w:val="18"/>
              </w:rPr>
              <w:t xml:space="preserve"> </w:t>
            </w:r>
            <w:r w:rsidR="006C4564">
              <w:rPr>
                <w:rFonts w:ascii="Calibri" w:hAnsi="Calibri" w:cs="Calibri"/>
                <w:sz w:val="18"/>
                <w:szCs w:val="18"/>
              </w:rPr>
              <w:t>(internal), STAIT findings and recommendations</w:t>
            </w:r>
          </w:p>
        </w:tc>
        <w:tc>
          <w:tcPr>
            <w:tcW w:w="1292" w:type="pct"/>
            <w:gridSpan w:val="2"/>
            <w:shd w:val="clear" w:color="auto" w:fill="FFFFFF" w:themeFill="background1"/>
          </w:tcPr>
          <w:p w14:paraId="20C27674" w14:textId="77777777" w:rsidR="00FB2E83" w:rsidRPr="002C14F2" w:rsidRDefault="00FB2E83" w:rsidP="006834B5">
            <w:pPr>
              <w:rPr>
                <w:sz w:val="18"/>
                <w:szCs w:val="18"/>
                <w:lang w:val="en-US"/>
              </w:rPr>
            </w:pPr>
          </w:p>
        </w:tc>
      </w:tr>
      <w:tr w:rsidR="00F55033" w:rsidRPr="007D041C" w14:paraId="4F4FEADD" w14:textId="77777777" w:rsidTr="00F55033">
        <w:trPr>
          <w:trHeight w:val="70"/>
        </w:trPr>
        <w:tc>
          <w:tcPr>
            <w:tcW w:w="733" w:type="pct"/>
            <w:vMerge w:val="restart"/>
          </w:tcPr>
          <w:p w14:paraId="43162260" w14:textId="3ABA334F" w:rsidR="004F6CAA" w:rsidRPr="00612A97" w:rsidRDefault="006F3917" w:rsidP="00612A97">
            <w:pPr>
              <w:autoSpaceDE w:val="0"/>
              <w:autoSpaceDN w:val="0"/>
              <w:adjustRightInd w:val="0"/>
              <w:rPr>
                <w:rFonts w:ascii="Calibri" w:hAnsi="Calibri" w:cs="Calibri"/>
                <w:sz w:val="18"/>
                <w:szCs w:val="18"/>
              </w:rPr>
            </w:pPr>
            <w:r>
              <w:rPr>
                <w:rFonts w:ascii="Calibri" w:hAnsi="Calibri" w:cs="Calibri"/>
                <w:sz w:val="18"/>
                <w:szCs w:val="18"/>
              </w:rPr>
              <w:t xml:space="preserve">D.2 </w:t>
            </w:r>
            <w:r w:rsidR="004F6CAA" w:rsidRPr="00612A97">
              <w:rPr>
                <w:rFonts w:ascii="Calibri" w:hAnsi="Calibri" w:cs="Calibri"/>
                <w:sz w:val="18"/>
                <w:szCs w:val="18"/>
              </w:rPr>
              <w:t xml:space="preserve">Protection Policy implementation is informed by experience </w:t>
            </w:r>
          </w:p>
        </w:tc>
        <w:tc>
          <w:tcPr>
            <w:tcW w:w="1034" w:type="pct"/>
          </w:tcPr>
          <w:p w14:paraId="0D6DF915" w14:textId="239D1934" w:rsidR="004F6CAA" w:rsidRDefault="004F6CAA" w:rsidP="00612A97">
            <w:pPr>
              <w:rPr>
                <w:rFonts w:ascii="Calibri" w:hAnsi="Calibri" w:cs="Calibri"/>
                <w:sz w:val="18"/>
                <w:szCs w:val="18"/>
              </w:rPr>
            </w:pPr>
            <w:r w:rsidRPr="00612A97">
              <w:rPr>
                <w:rFonts w:ascii="Calibri" w:hAnsi="Calibri" w:cs="Calibri"/>
                <w:sz w:val="18"/>
                <w:szCs w:val="18"/>
              </w:rPr>
              <w:t>Gather</w:t>
            </w:r>
            <w:r w:rsidR="00221B1C" w:rsidRPr="00612A97">
              <w:rPr>
                <w:rFonts w:ascii="Calibri" w:hAnsi="Calibri" w:cs="Calibri"/>
                <w:sz w:val="18"/>
                <w:szCs w:val="18"/>
              </w:rPr>
              <w:t xml:space="preserve"> and </w:t>
            </w:r>
            <w:r w:rsidR="003A242E">
              <w:rPr>
                <w:rFonts w:ascii="Calibri" w:hAnsi="Calibri" w:cs="Calibri"/>
                <w:sz w:val="18"/>
                <w:szCs w:val="18"/>
              </w:rPr>
              <w:t>compile</w:t>
            </w:r>
            <w:r w:rsidR="00694CBD">
              <w:rPr>
                <w:rFonts w:ascii="Calibri" w:hAnsi="Calibri" w:cs="Calibri"/>
                <w:sz w:val="18"/>
                <w:szCs w:val="18"/>
              </w:rPr>
              <w:t xml:space="preserve"> </w:t>
            </w:r>
            <w:r w:rsidR="00221B1C" w:rsidRPr="00612A97">
              <w:rPr>
                <w:rFonts w:ascii="Calibri" w:hAnsi="Calibri" w:cs="Calibri"/>
                <w:sz w:val="18"/>
                <w:szCs w:val="18"/>
              </w:rPr>
              <w:t>report</w:t>
            </w:r>
            <w:r w:rsidR="003A242E">
              <w:rPr>
                <w:rFonts w:ascii="Calibri" w:hAnsi="Calibri" w:cs="Calibri"/>
                <w:sz w:val="18"/>
                <w:szCs w:val="18"/>
              </w:rPr>
              <w:t>s</w:t>
            </w:r>
            <w:r w:rsidRPr="00612A97">
              <w:rPr>
                <w:rFonts w:ascii="Calibri" w:hAnsi="Calibri" w:cs="Calibri"/>
                <w:sz w:val="18"/>
                <w:szCs w:val="18"/>
              </w:rPr>
              <w:t xml:space="preserve"> </w:t>
            </w:r>
            <w:r w:rsidR="003A242E">
              <w:rPr>
                <w:rFonts w:ascii="Calibri" w:hAnsi="Calibri" w:cs="Calibri"/>
                <w:sz w:val="18"/>
                <w:szCs w:val="18"/>
              </w:rPr>
              <w:t xml:space="preserve">on </w:t>
            </w:r>
            <w:r w:rsidRPr="00612A97">
              <w:rPr>
                <w:rFonts w:ascii="Calibri" w:hAnsi="Calibri" w:cs="Calibri"/>
                <w:sz w:val="18"/>
                <w:szCs w:val="18"/>
              </w:rPr>
              <w:t xml:space="preserve">experience </w:t>
            </w:r>
            <w:r w:rsidR="00221B1C" w:rsidRPr="00612A97">
              <w:rPr>
                <w:rFonts w:ascii="Calibri" w:hAnsi="Calibri" w:cs="Calibri"/>
                <w:sz w:val="18"/>
                <w:szCs w:val="18"/>
              </w:rPr>
              <w:t xml:space="preserve">and lessons learned </w:t>
            </w:r>
            <w:r w:rsidRPr="00612A97">
              <w:rPr>
                <w:rFonts w:ascii="Calibri" w:hAnsi="Calibri" w:cs="Calibri"/>
                <w:sz w:val="18"/>
                <w:szCs w:val="18"/>
              </w:rPr>
              <w:t>on protection policy implementation, including good practices and feedback on tools, processes.</w:t>
            </w:r>
          </w:p>
          <w:p w14:paraId="4331A3C0" w14:textId="485C0664" w:rsidR="003A242E" w:rsidRPr="00612A97" w:rsidRDefault="003A242E" w:rsidP="00612A97">
            <w:pPr>
              <w:rPr>
                <w:rFonts w:ascii="Calibri" w:hAnsi="Calibri" w:cs="Calibri"/>
                <w:sz w:val="18"/>
                <w:szCs w:val="18"/>
              </w:rPr>
            </w:pPr>
          </w:p>
        </w:tc>
        <w:tc>
          <w:tcPr>
            <w:tcW w:w="526" w:type="pct"/>
          </w:tcPr>
          <w:p w14:paraId="6263E5A6" w14:textId="77777777" w:rsidR="004F6CAA" w:rsidRPr="00221B1C" w:rsidRDefault="004F6CAA" w:rsidP="00EF3BC4">
            <w:pPr>
              <w:autoSpaceDE w:val="0"/>
              <w:autoSpaceDN w:val="0"/>
              <w:adjustRightInd w:val="0"/>
              <w:rPr>
                <w:rFonts w:cs="Calibri,Bold"/>
                <w:bCs/>
                <w:sz w:val="18"/>
                <w:szCs w:val="18"/>
              </w:rPr>
            </w:pPr>
            <w:r w:rsidRPr="00221B1C">
              <w:rPr>
                <w:rFonts w:cs="Calibri,Bold"/>
                <w:bCs/>
                <w:sz w:val="18"/>
                <w:szCs w:val="18"/>
              </w:rPr>
              <w:t xml:space="preserve"> </w:t>
            </w:r>
            <w:r w:rsidR="00221B1C" w:rsidRPr="00221B1C">
              <w:rPr>
                <w:rFonts w:cs="Calibri,Bold"/>
                <w:bCs/>
                <w:sz w:val="18"/>
                <w:szCs w:val="18"/>
              </w:rPr>
              <w:t xml:space="preserve">Task Team </w:t>
            </w:r>
          </w:p>
        </w:tc>
        <w:tc>
          <w:tcPr>
            <w:tcW w:w="435" w:type="pct"/>
          </w:tcPr>
          <w:p w14:paraId="48DFB5F2" w14:textId="77777777" w:rsidR="004F6CAA" w:rsidRPr="00CD6592" w:rsidRDefault="00CD6592" w:rsidP="00EF3BC4">
            <w:pPr>
              <w:autoSpaceDE w:val="0"/>
              <w:autoSpaceDN w:val="0"/>
              <w:adjustRightInd w:val="0"/>
              <w:rPr>
                <w:rFonts w:ascii="Calibri" w:hAnsi="Calibri" w:cs="Calibri"/>
                <w:sz w:val="18"/>
                <w:szCs w:val="18"/>
              </w:rPr>
            </w:pPr>
            <w:r w:rsidRPr="00CD6592">
              <w:rPr>
                <w:rFonts w:ascii="Calibri" w:hAnsi="Calibri" w:cs="Calibri"/>
                <w:sz w:val="18"/>
                <w:szCs w:val="18"/>
              </w:rPr>
              <w:t xml:space="preserve">January 2017 </w:t>
            </w:r>
          </w:p>
          <w:p w14:paraId="2F567DA7" w14:textId="77777777" w:rsidR="00CD6592" w:rsidRPr="00CD6592" w:rsidRDefault="00CD6592" w:rsidP="00EF3BC4">
            <w:pPr>
              <w:autoSpaceDE w:val="0"/>
              <w:autoSpaceDN w:val="0"/>
              <w:adjustRightInd w:val="0"/>
              <w:rPr>
                <w:rFonts w:ascii="Calibri" w:hAnsi="Calibri" w:cs="Calibri"/>
                <w:sz w:val="18"/>
                <w:szCs w:val="18"/>
              </w:rPr>
            </w:pPr>
            <w:r w:rsidRPr="00CD6592">
              <w:rPr>
                <w:rFonts w:ascii="Calibri" w:hAnsi="Calibri" w:cs="Calibri"/>
                <w:sz w:val="18"/>
                <w:szCs w:val="18"/>
              </w:rPr>
              <w:t xml:space="preserve">June 2017 </w:t>
            </w:r>
          </w:p>
          <w:p w14:paraId="2D6DF689" w14:textId="5C4BB4D1" w:rsidR="00CD6592" w:rsidRPr="00CD6592" w:rsidRDefault="00CD6592" w:rsidP="00EF3BC4">
            <w:pPr>
              <w:autoSpaceDE w:val="0"/>
              <w:autoSpaceDN w:val="0"/>
              <w:adjustRightInd w:val="0"/>
              <w:rPr>
                <w:rFonts w:ascii="Calibri" w:hAnsi="Calibri" w:cs="Calibri"/>
                <w:sz w:val="18"/>
                <w:szCs w:val="18"/>
                <w:highlight w:val="yellow"/>
              </w:rPr>
            </w:pPr>
            <w:r w:rsidRPr="00CD6592">
              <w:rPr>
                <w:rFonts w:ascii="Calibri" w:hAnsi="Calibri" w:cs="Calibri"/>
                <w:sz w:val="18"/>
                <w:szCs w:val="18"/>
              </w:rPr>
              <w:t xml:space="preserve">December 2017 </w:t>
            </w:r>
          </w:p>
        </w:tc>
        <w:tc>
          <w:tcPr>
            <w:tcW w:w="980" w:type="pct"/>
          </w:tcPr>
          <w:p w14:paraId="4B265D4E" w14:textId="70AAAA64" w:rsidR="004F6CAA" w:rsidRPr="00D53946" w:rsidRDefault="00D53946" w:rsidP="00D53946">
            <w:pPr>
              <w:pStyle w:val="ListParagraph"/>
              <w:numPr>
                <w:ilvl w:val="0"/>
                <w:numId w:val="18"/>
              </w:numPr>
              <w:autoSpaceDE w:val="0"/>
              <w:autoSpaceDN w:val="0"/>
              <w:adjustRightInd w:val="0"/>
              <w:rPr>
                <w:rFonts w:ascii="Calibri" w:hAnsi="Calibri" w:cs="Calibri"/>
                <w:i/>
                <w:sz w:val="18"/>
                <w:szCs w:val="18"/>
              </w:rPr>
            </w:pPr>
            <w:r w:rsidRPr="00D53946">
              <w:rPr>
                <w:rFonts w:ascii="Calibri" w:hAnsi="Calibri" w:cs="Calibri"/>
                <w:sz w:val="18"/>
                <w:szCs w:val="18"/>
              </w:rPr>
              <w:t xml:space="preserve">Compilation of relevant findings </w:t>
            </w:r>
          </w:p>
        </w:tc>
        <w:tc>
          <w:tcPr>
            <w:tcW w:w="1292" w:type="pct"/>
            <w:gridSpan w:val="2"/>
            <w:shd w:val="clear" w:color="auto" w:fill="FFFFFF" w:themeFill="background1"/>
          </w:tcPr>
          <w:p w14:paraId="19D65A39" w14:textId="32792985" w:rsidR="004F6CAA" w:rsidRPr="002C14F2" w:rsidRDefault="004F6CAA" w:rsidP="006834B5">
            <w:pPr>
              <w:rPr>
                <w:color w:val="0070C0"/>
                <w:sz w:val="18"/>
                <w:szCs w:val="18"/>
                <w:lang w:val="en-US"/>
              </w:rPr>
            </w:pPr>
            <w:r w:rsidRPr="002C14F2">
              <w:rPr>
                <w:sz w:val="18"/>
                <w:szCs w:val="18"/>
                <w:lang w:val="en-US"/>
              </w:rPr>
              <w:t xml:space="preserve">This includes </w:t>
            </w:r>
            <w:r>
              <w:rPr>
                <w:sz w:val="18"/>
                <w:szCs w:val="18"/>
                <w:lang w:val="en-US"/>
              </w:rPr>
              <w:t xml:space="preserve">reports of </w:t>
            </w:r>
            <w:r w:rsidR="00694CBD">
              <w:rPr>
                <w:sz w:val="18"/>
                <w:szCs w:val="18"/>
                <w:lang w:val="en-US"/>
              </w:rPr>
              <w:t xml:space="preserve">STAIT missions, </w:t>
            </w:r>
            <w:r>
              <w:rPr>
                <w:sz w:val="18"/>
                <w:szCs w:val="18"/>
                <w:lang w:val="en-US"/>
              </w:rPr>
              <w:t>OPRs, L3 evaluations, operational and technical support</w:t>
            </w:r>
          </w:p>
        </w:tc>
      </w:tr>
      <w:tr w:rsidR="00F55033" w:rsidRPr="007D041C" w14:paraId="53C46CB8" w14:textId="77777777" w:rsidTr="00F55033">
        <w:trPr>
          <w:trHeight w:val="70"/>
        </w:trPr>
        <w:tc>
          <w:tcPr>
            <w:tcW w:w="733" w:type="pct"/>
            <w:vMerge/>
          </w:tcPr>
          <w:p w14:paraId="47F1F5EE" w14:textId="241F3547" w:rsidR="004521CF" w:rsidRPr="00612A97" w:rsidRDefault="004521CF" w:rsidP="00612A97">
            <w:pPr>
              <w:autoSpaceDE w:val="0"/>
              <w:autoSpaceDN w:val="0"/>
              <w:adjustRightInd w:val="0"/>
              <w:rPr>
                <w:rFonts w:ascii="Calibri" w:hAnsi="Calibri" w:cs="Calibri"/>
                <w:sz w:val="18"/>
                <w:szCs w:val="18"/>
              </w:rPr>
            </w:pPr>
          </w:p>
        </w:tc>
        <w:tc>
          <w:tcPr>
            <w:tcW w:w="1034" w:type="pct"/>
          </w:tcPr>
          <w:p w14:paraId="39C4A789" w14:textId="77777777" w:rsidR="004521CF" w:rsidRDefault="004521CF" w:rsidP="00612A97">
            <w:pPr>
              <w:rPr>
                <w:rFonts w:ascii="Calibri" w:hAnsi="Calibri" w:cs="Calibri"/>
                <w:sz w:val="18"/>
                <w:szCs w:val="18"/>
              </w:rPr>
            </w:pPr>
            <w:r w:rsidRPr="00612A97">
              <w:rPr>
                <w:rFonts w:ascii="Calibri" w:hAnsi="Calibri" w:cs="Calibri"/>
                <w:sz w:val="18"/>
                <w:szCs w:val="18"/>
              </w:rPr>
              <w:t xml:space="preserve">Update policy annexes and tools that support policy implementation in light of experience </w:t>
            </w:r>
          </w:p>
          <w:p w14:paraId="2874768A" w14:textId="77777777" w:rsidR="003A242E" w:rsidRPr="00612A97" w:rsidRDefault="003A242E" w:rsidP="00612A97">
            <w:pPr>
              <w:rPr>
                <w:rFonts w:ascii="Calibri" w:hAnsi="Calibri" w:cs="Calibri"/>
                <w:sz w:val="18"/>
                <w:szCs w:val="18"/>
              </w:rPr>
            </w:pPr>
          </w:p>
        </w:tc>
        <w:tc>
          <w:tcPr>
            <w:tcW w:w="526" w:type="pct"/>
          </w:tcPr>
          <w:p w14:paraId="16F46620" w14:textId="77777777" w:rsidR="004521CF" w:rsidRPr="00221B1C" w:rsidRDefault="004521CF" w:rsidP="001A7262">
            <w:pPr>
              <w:autoSpaceDE w:val="0"/>
              <w:autoSpaceDN w:val="0"/>
              <w:adjustRightInd w:val="0"/>
              <w:rPr>
                <w:rFonts w:ascii="Calibri" w:hAnsi="Calibri" w:cs="Calibri"/>
                <w:sz w:val="18"/>
                <w:szCs w:val="18"/>
              </w:rPr>
            </w:pPr>
            <w:r w:rsidRPr="00221B1C">
              <w:rPr>
                <w:rFonts w:ascii="Calibri" w:hAnsi="Calibri" w:cs="Calibri"/>
                <w:sz w:val="18"/>
                <w:szCs w:val="18"/>
              </w:rPr>
              <w:t xml:space="preserve">Task Team </w:t>
            </w:r>
          </w:p>
        </w:tc>
        <w:tc>
          <w:tcPr>
            <w:tcW w:w="435" w:type="pct"/>
          </w:tcPr>
          <w:p w14:paraId="38FE92DF" w14:textId="5F648F77" w:rsidR="004521CF" w:rsidRPr="00CD6592" w:rsidRDefault="00CD6592" w:rsidP="00EF3BC4">
            <w:pPr>
              <w:autoSpaceDE w:val="0"/>
              <w:autoSpaceDN w:val="0"/>
              <w:adjustRightInd w:val="0"/>
              <w:rPr>
                <w:rFonts w:ascii="Calibri" w:hAnsi="Calibri" w:cs="Calibri"/>
                <w:sz w:val="18"/>
                <w:szCs w:val="18"/>
                <w:highlight w:val="yellow"/>
              </w:rPr>
            </w:pPr>
            <w:r w:rsidRPr="00CD6592">
              <w:rPr>
                <w:rFonts w:ascii="Calibri" w:hAnsi="Calibri" w:cs="Calibri"/>
                <w:sz w:val="18"/>
                <w:szCs w:val="18"/>
              </w:rPr>
              <w:t xml:space="preserve">December 2017 </w:t>
            </w:r>
          </w:p>
        </w:tc>
        <w:tc>
          <w:tcPr>
            <w:tcW w:w="980" w:type="pct"/>
          </w:tcPr>
          <w:p w14:paraId="19554629" w14:textId="62755766" w:rsidR="004521CF" w:rsidRPr="00D53946" w:rsidRDefault="00D53946" w:rsidP="00D53946">
            <w:pPr>
              <w:pStyle w:val="ListParagraph"/>
              <w:numPr>
                <w:ilvl w:val="0"/>
                <w:numId w:val="18"/>
              </w:numPr>
              <w:autoSpaceDE w:val="0"/>
              <w:autoSpaceDN w:val="0"/>
              <w:adjustRightInd w:val="0"/>
              <w:rPr>
                <w:rFonts w:ascii="Calibri" w:hAnsi="Calibri" w:cs="Calibri"/>
                <w:sz w:val="18"/>
                <w:szCs w:val="18"/>
              </w:rPr>
            </w:pPr>
            <w:r w:rsidRPr="00D53946">
              <w:rPr>
                <w:rFonts w:ascii="Calibri" w:hAnsi="Calibri" w:cs="Calibri"/>
                <w:sz w:val="18"/>
                <w:szCs w:val="18"/>
              </w:rPr>
              <w:t xml:space="preserve">Proposed updates completed  </w:t>
            </w:r>
          </w:p>
        </w:tc>
        <w:tc>
          <w:tcPr>
            <w:tcW w:w="1292" w:type="pct"/>
            <w:gridSpan w:val="2"/>
            <w:shd w:val="clear" w:color="auto" w:fill="FFFFFF" w:themeFill="background1"/>
          </w:tcPr>
          <w:p w14:paraId="777161DE" w14:textId="77777777" w:rsidR="004521CF" w:rsidRPr="002C14F2" w:rsidRDefault="004521CF" w:rsidP="006834B5">
            <w:pPr>
              <w:rPr>
                <w:sz w:val="18"/>
                <w:szCs w:val="18"/>
                <w:lang w:val="en-US"/>
              </w:rPr>
            </w:pPr>
          </w:p>
        </w:tc>
      </w:tr>
      <w:tr w:rsidR="00F55033" w:rsidRPr="007D041C" w14:paraId="69B4E876" w14:textId="77777777" w:rsidTr="00F55033">
        <w:tc>
          <w:tcPr>
            <w:tcW w:w="733" w:type="pct"/>
          </w:tcPr>
          <w:p w14:paraId="318BBE6A" w14:textId="144F3598" w:rsidR="004521CF" w:rsidRPr="00612A97" w:rsidRDefault="006F3917" w:rsidP="00612A97">
            <w:pPr>
              <w:rPr>
                <w:rFonts w:ascii="Calibri" w:hAnsi="Calibri" w:cs="Calibri"/>
                <w:sz w:val="18"/>
                <w:szCs w:val="18"/>
              </w:rPr>
            </w:pPr>
            <w:r>
              <w:rPr>
                <w:rFonts w:ascii="Calibri" w:hAnsi="Calibri" w:cs="Calibri"/>
                <w:sz w:val="18"/>
                <w:szCs w:val="18"/>
              </w:rPr>
              <w:t xml:space="preserve">D.3 </w:t>
            </w:r>
            <w:r w:rsidR="004521CF" w:rsidRPr="00612A97">
              <w:rPr>
                <w:rFonts w:ascii="Calibri" w:hAnsi="Calibri" w:cs="Calibri"/>
                <w:sz w:val="18"/>
                <w:szCs w:val="18"/>
              </w:rPr>
              <w:t xml:space="preserve">Evaluation of Protection Policy Implementation </w:t>
            </w:r>
          </w:p>
          <w:p w14:paraId="5914ADBE" w14:textId="77777777" w:rsidR="004521CF" w:rsidRPr="00A0566E" w:rsidRDefault="004521CF" w:rsidP="00612A97">
            <w:pPr>
              <w:rPr>
                <w:b/>
                <w:i/>
                <w:sz w:val="18"/>
                <w:szCs w:val="18"/>
                <w:lang w:val="en-US"/>
              </w:rPr>
            </w:pPr>
          </w:p>
        </w:tc>
        <w:tc>
          <w:tcPr>
            <w:tcW w:w="1034" w:type="pct"/>
            <w:shd w:val="clear" w:color="auto" w:fill="auto"/>
          </w:tcPr>
          <w:p w14:paraId="5CDCACC4" w14:textId="77777777" w:rsidR="004521CF" w:rsidRDefault="004521CF" w:rsidP="00612A97">
            <w:pPr>
              <w:rPr>
                <w:rFonts w:ascii="Calibri" w:hAnsi="Calibri" w:cs="Calibri"/>
                <w:sz w:val="18"/>
                <w:szCs w:val="18"/>
              </w:rPr>
            </w:pPr>
            <w:r w:rsidRPr="00612A97">
              <w:rPr>
                <w:rFonts w:ascii="Calibri" w:hAnsi="Calibri" w:cs="Calibri"/>
                <w:sz w:val="18"/>
                <w:szCs w:val="18"/>
              </w:rPr>
              <w:t xml:space="preserve">Commission an independent evaluation of the policy and consider/implement recommendations </w:t>
            </w:r>
          </w:p>
          <w:p w14:paraId="095A2592" w14:textId="77777777" w:rsidR="003A242E" w:rsidRPr="00612A97" w:rsidRDefault="003A242E" w:rsidP="00612A97">
            <w:pPr>
              <w:rPr>
                <w:rFonts w:ascii="Calibri" w:hAnsi="Calibri" w:cs="Calibri"/>
                <w:sz w:val="18"/>
                <w:szCs w:val="18"/>
              </w:rPr>
            </w:pPr>
          </w:p>
        </w:tc>
        <w:tc>
          <w:tcPr>
            <w:tcW w:w="526" w:type="pct"/>
            <w:shd w:val="clear" w:color="auto" w:fill="auto"/>
          </w:tcPr>
          <w:p w14:paraId="626019D2" w14:textId="77777777" w:rsidR="004521CF" w:rsidRPr="00221B1C" w:rsidRDefault="004521CF" w:rsidP="00EF3BC4">
            <w:pPr>
              <w:autoSpaceDE w:val="0"/>
              <w:autoSpaceDN w:val="0"/>
              <w:adjustRightInd w:val="0"/>
              <w:rPr>
                <w:rFonts w:cs="Calibri,Bold"/>
                <w:bCs/>
                <w:sz w:val="18"/>
                <w:szCs w:val="18"/>
              </w:rPr>
            </w:pPr>
            <w:r w:rsidRPr="00221B1C">
              <w:rPr>
                <w:rFonts w:cs="Calibri,Bold"/>
                <w:bCs/>
                <w:sz w:val="18"/>
                <w:szCs w:val="18"/>
              </w:rPr>
              <w:t xml:space="preserve">IASC WG </w:t>
            </w:r>
          </w:p>
        </w:tc>
        <w:tc>
          <w:tcPr>
            <w:tcW w:w="435" w:type="pct"/>
            <w:shd w:val="clear" w:color="auto" w:fill="auto"/>
          </w:tcPr>
          <w:p w14:paraId="1BCB6795" w14:textId="60A7F1D5" w:rsidR="004521CF" w:rsidRPr="00CD6592" w:rsidRDefault="00CD6592" w:rsidP="00CD6592">
            <w:pPr>
              <w:rPr>
                <w:sz w:val="18"/>
                <w:szCs w:val="18"/>
                <w:lang w:val="en-US"/>
              </w:rPr>
            </w:pPr>
            <w:r>
              <w:rPr>
                <w:sz w:val="18"/>
                <w:szCs w:val="18"/>
                <w:lang w:val="en-US"/>
              </w:rPr>
              <w:t xml:space="preserve">TBD per WoSR MRP adopted by IASC WG </w:t>
            </w:r>
          </w:p>
        </w:tc>
        <w:tc>
          <w:tcPr>
            <w:tcW w:w="980" w:type="pct"/>
            <w:shd w:val="clear" w:color="auto" w:fill="auto"/>
          </w:tcPr>
          <w:p w14:paraId="65516DE2" w14:textId="7AE0DF93" w:rsidR="004521CF" w:rsidRPr="00D53946" w:rsidRDefault="00D53946" w:rsidP="00D53946">
            <w:pPr>
              <w:pStyle w:val="ListParagraph"/>
              <w:numPr>
                <w:ilvl w:val="0"/>
                <w:numId w:val="18"/>
              </w:numPr>
              <w:autoSpaceDE w:val="0"/>
              <w:autoSpaceDN w:val="0"/>
              <w:adjustRightInd w:val="0"/>
              <w:rPr>
                <w:sz w:val="18"/>
                <w:szCs w:val="18"/>
                <w:lang w:val="en-US"/>
              </w:rPr>
            </w:pPr>
            <w:r w:rsidRPr="00D53946">
              <w:rPr>
                <w:sz w:val="18"/>
                <w:szCs w:val="18"/>
                <w:lang w:val="en-US"/>
              </w:rPr>
              <w:t xml:space="preserve">ToR for independent evaluation </w:t>
            </w:r>
          </w:p>
        </w:tc>
        <w:tc>
          <w:tcPr>
            <w:tcW w:w="1292" w:type="pct"/>
            <w:gridSpan w:val="2"/>
            <w:shd w:val="clear" w:color="auto" w:fill="FFFFFF" w:themeFill="background1"/>
          </w:tcPr>
          <w:p w14:paraId="7FF15E20" w14:textId="77777777" w:rsidR="004521CF" w:rsidRPr="00BE173B" w:rsidRDefault="004521CF" w:rsidP="004521CF">
            <w:pPr>
              <w:rPr>
                <w:color w:val="1F497D" w:themeColor="text2"/>
                <w:sz w:val="18"/>
                <w:szCs w:val="18"/>
                <w:lang w:val="en-US"/>
              </w:rPr>
            </w:pPr>
            <w:r>
              <w:rPr>
                <w:sz w:val="18"/>
                <w:szCs w:val="18"/>
                <w:lang w:val="en-US"/>
              </w:rPr>
              <w:t xml:space="preserve">Should form part of WoSR MRP action on Recommendation 13.8  </w:t>
            </w:r>
          </w:p>
        </w:tc>
      </w:tr>
    </w:tbl>
    <w:p w14:paraId="5C46D400" w14:textId="77777777" w:rsidR="007E36D1" w:rsidRPr="007E36D1" w:rsidRDefault="007E36D1" w:rsidP="007B7BE6">
      <w:pPr>
        <w:rPr>
          <w:sz w:val="24"/>
          <w:szCs w:val="24"/>
        </w:rPr>
      </w:pPr>
    </w:p>
    <w:sectPr w:rsidR="007E36D1" w:rsidRPr="007E36D1" w:rsidSect="00F55033">
      <w:pgSz w:w="16838" w:h="11906" w:orient="landscape" w:code="9"/>
      <w:pgMar w:top="576" w:right="864" w:bottom="576" w:left="864" w:header="461"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A50F" w14:textId="77777777" w:rsidR="007670AF" w:rsidRDefault="007670AF" w:rsidP="00E50D02">
      <w:pPr>
        <w:spacing w:after="0" w:line="240" w:lineRule="auto"/>
      </w:pPr>
      <w:r>
        <w:separator/>
      </w:r>
    </w:p>
  </w:endnote>
  <w:endnote w:type="continuationSeparator" w:id="0">
    <w:p w14:paraId="20AB73AF" w14:textId="77777777" w:rsidR="007670AF" w:rsidRDefault="007670AF" w:rsidP="00E5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B4799" w14:textId="77777777" w:rsidR="007670AF" w:rsidRDefault="007670AF" w:rsidP="00E50D02">
      <w:pPr>
        <w:spacing w:after="0" w:line="240" w:lineRule="auto"/>
      </w:pPr>
      <w:r>
        <w:separator/>
      </w:r>
    </w:p>
  </w:footnote>
  <w:footnote w:type="continuationSeparator" w:id="0">
    <w:p w14:paraId="007396CF" w14:textId="77777777" w:rsidR="007670AF" w:rsidRDefault="007670AF" w:rsidP="00E50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E2"/>
    <w:multiLevelType w:val="hybridMultilevel"/>
    <w:tmpl w:val="C8C496F8"/>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15:restartNumberingAfterBreak="0">
    <w:nsid w:val="15FF7DAF"/>
    <w:multiLevelType w:val="multilevel"/>
    <w:tmpl w:val="B6DC85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69926D8"/>
    <w:multiLevelType w:val="hybridMultilevel"/>
    <w:tmpl w:val="F1FCFC76"/>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B1106F3"/>
    <w:multiLevelType w:val="multilevel"/>
    <w:tmpl w:val="7572FC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E3C1B66"/>
    <w:multiLevelType w:val="multilevel"/>
    <w:tmpl w:val="414EB8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EDC03A0"/>
    <w:multiLevelType w:val="hybridMultilevel"/>
    <w:tmpl w:val="4F70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1C6439"/>
    <w:multiLevelType w:val="hybridMultilevel"/>
    <w:tmpl w:val="55E22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B3587"/>
    <w:multiLevelType w:val="hybridMultilevel"/>
    <w:tmpl w:val="99C0000E"/>
    <w:lvl w:ilvl="0" w:tplc="04090015">
      <w:start w:val="1"/>
      <w:numFmt w:val="upp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2C4351CC"/>
    <w:multiLevelType w:val="hybridMultilevel"/>
    <w:tmpl w:val="85D6D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4F67E4"/>
    <w:multiLevelType w:val="hybridMultilevel"/>
    <w:tmpl w:val="E6560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EE7EE5"/>
    <w:multiLevelType w:val="hybridMultilevel"/>
    <w:tmpl w:val="DA32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E6AC6"/>
    <w:multiLevelType w:val="hybridMultilevel"/>
    <w:tmpl w:val="1AB6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8538B"/>
    <w:multiLevelType w:val="hybridMultilevel"/>
    <w:tmpl w:val="B9D6E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D27D07"/>
    <w:multiLevelType w:val="hybridMultilevel"/>
    <w:tmpl w:val="6674EF5C"/>
    <w:lvl w:ilvl="0" w:tplc="8134176A">
      <w:start w:val="1"/>
      <w:numFmt w:val="upp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4" w15:restartNumberingAfterBreak="0">
    <w:nsid w:val="55654F6E"/>
    <w:multiLevelType w:val="hybridMultilevel"/>
    <w:tmpl w:val="18D05006"/>
    <w:lvl w:ilvl="0" w:tplc="D64A74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66574"/>
    <w:multiLevelType w:val="hybridMultilevel"/>
    <w:tmpl w:val="0BC6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410A13"/>
    <w:multiLevelType w:val="hybridMultilevel"/>
    <w:tmpl w:val="2DC42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6425F"/>
    <w:multiLevelType w:val="multilevel"/>
    <w:tmpl w:val="B6DC85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CB70717"/>
    <w:multiLevelType w:val="multilevel"/>
    <w:tmpl w:val="7B5AC92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5383040"/>
    <w:multiLevelType w:val="hybridMultilevel"/>
    <w:tmpl w:val="19067AF2"/>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0" w15:restartNumberingAfterBreak="0">
    <w:nsid w:val="7DCD760C"/>
    <w:multiLevelType w:val="hybridMultilevel"/>
    <w:tmpl w:val="0D06E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3635AF"/>
    <w:multiLevelType w:val="hybridMultilevel"/>
    <w:tmpl w:val="876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2"/>
  </w:num>
  <w:num w:numId="4">
    <w:abstractNumId w:val="4"/>
  </w:num>
  <w:num w:numId="5">
    <w:abstractNumId w:val="18"/>
  </w:num>
  <w:num w:numId="6">
    <w:abstractNumId w:val="17"/>
  </w:num>
  <w:num w:numId="7">
    <w:abstractNumId w:val="3"/>
  </w:num>
  <w:num w:numId="8">
    <w:abstractNumId w:val="9"/>
  </w:num>
  <w:num w:numId="9">
    <w:abstractNumId w:val="1"/>
  </w:num>
  <w:num w:numId="10">
    <w:abstractNumId w:val="10"/>
  </w:num>
  <w:num w:numId="11">
    <w:abstractNumId w:val="2"/>
  </w:num>
  <w:num w:numId="12">
    <w:abstractNumId w:val="11"/>
  </w:num>
  <w:num w:numId="13">
    <w:abstractNumId w:val="19"/>
  </w:num>
  <w:num w:numId="14">
    <w:abstractNumId w:val="6"/>
  </w:num>
  <w:num w:numId="15">
    <w:abstractNumId w:val="21"/>
  </w:num>
  <w:num w:numId="16">
    <w:abstractNumId w:val="8"/>
  </w:num>
  <w:num w:numId="17">
    <w:abstractNumId w:val="5"/>
  </w:num>
  <w:num w:numId="18">
    <w:abstractNumId w:val="15"/>
  </w:num>
  <w:num w:numId="19">
    <w:abstractNumId w:val="0"/>
  </w:num>
  <w:num w:numId="20">
    <w:abstractNumId w:val="16"/>
  </w:num>
  <w:num w:numId="21">
    <w:abstractNumId w:val="14"/>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47"/>
    <w:rsid w:val="000030FB"/>
    <w:rsid w:val="00011CD3"/>
    <w:rsid w:val="00012734"/>
    <w:rsid w:val="00014246"/>
    <w:rsid w:val="0001536D"/>
    <w:rsid w:val="00015996"/>
    <w:rsid w:val="00016316"/>
    <w:rsid w:val="000213FE"/>
    <w:rsid w:val="00024B74"/>
    <w:rsid w:val="00033280"/>
    <w:rsid w:val="00037358"/>
    <w:rsid w:val="0004688F"/>
    <w:rsid w:val="00054FBE"/>
    <w:rsid w:val="000571DD"/>
    <w:rsid w:val="000608DB"/>
    <w:rsid w:val="000633DB"/>
    <w:rsid w:val="000702EC"/>
    <w:rsid w:val="00070AF4"/>
    <w:rsid w:val="00074998"/>
    <w:rsid w:val="00074CB7"/>
    <w:rsid w:val="00077E09"/>
    <w:rsid w:val="00081859"/>
    <w:rsid w:val="00081969"/>
    <w:rsid w:val="00083990"/>
    <w:rsid w:val="00084919"/>
    <w:rsid w:val="00091581"/>
    <w:rsid w:val="000A1EE8"/>
    <w:rsid w:val="000A690F"/>
    <w:rsid w:val="000B424A"/>
    <w:rsid w:val="000B4994"/>
    <w:rsid w:val="000B51ED"/>
    <w:rsid w:val="000C6678"/>
    <w:rsid w:val="000C7B68"/>
    <w:rsid w:val="000D0630"/>
    <w:rsid w:val="000D141C"/>
    <w:rsid w:val="000D4487"/>
    <w:rsid w:val="000D6F89"/>
    <w:rsid w:val="000E2E18"/>
    <w:rsid w:val="000E2EBF"/>
    <w:rsid w:val="000E733A"/>
    <w:rsid w:val="000F026B"/>
    <w:rsid w:val="000F41A6"/>
    <w:rsid w:val="000F5ADF"/>
    <w:rsid w:val="0010062B"/>
    <w:rsid w:val="00102091"/>
    <w:rsid w:val="001020B3"/>
    <w:rsid w:val="001035C1"/>
    <w:rsid w:val="00104188"/>
    <w:rsid w:val="0010776B"/>
    <w:rsid w:val="0012113F"/>
    <w:rsid w:val="00121BA1"/>
    <w:rsid w:val="001252A4"/>
    <w:rsid w:val="00127C47"/>
    <w:rsid w:val="00155CF8"/>
    <w:rsid w:val="0015650A"/>
    <w:rsid w:val="00157152"/>
    <w:rsid w:val="0015724F"/>
    <w:rsid w:val="00157D42"/>
    <w:rsid w:val="00157EF8"/>
    <w:rsid w:val="001611F0"/>
    <w:rsid w:val="0016412D"/>
    <w:rsid w:val="0017135C"/>
    <w:rsid w:val="00175195"/>
    <w:rsid w:val="0017783E"/>
    <w:rsid w:val="001802E8"/>
    <w:rsid w:val="001813FF"/>
    <w:rsid w:val="00184AF2"/>
    <w:rsid w:val="0018507F"/>
    <w:rsid w:val="001941D0"/>
    <w:rsid w:val="001957E7"/>
    <w:rsid w:val="00196931"/>
    <w:rsid w:val="00197084"/>
    <w:rsid w:val="001975B3"/>
    <w:rsid w:val="001A4626"/>
    <w:rsid w:val="001B0123"/>
    <w:rsid w:val="001B58C7"/>
    <w:rsid w:val="001C2484"/>
    <w:rsid w:val="001C46CA"/>
    <w:rsid w:val="001C78C7"/>
    <w:rsid w:val="001D1958"/>
    <w:rsid w:val="001D3098"/>
    <w:rsid w:val="001D6837"/>
    <w:rsid w:val="001E22D6"/>
    <w:rsid w:val="00203A1A"/>
    <w:rsid w:val="00207A37"/>
    <w:rsid w:val="00211DC9"/>
    <w:rsid w:val="00213D82"/>
    <w:rsid w:val="00213F41"/>
    <w:rsid w:val="002155F3"/>
    <w:rsid w:val="002178ED"/>
    <w:rsid w:val="002216F8"/>
    <w:rsid w:val="00221B1C"/>
    <w:rsid w:val="00226144"/>
    <w:rsid w:val="002261F7"/>
    <w:rsid w:val="00227C47"/>
    <w:rsid w:val="002305E2"/>
    <w:rsid w:val="00234415"/>
    <w:rsid w:val="00240C10"/>
    <w:rsid w:val="00241907"/>
    <w:rsid w:val="00244D71"/>
    <w:rsid w:val="002578AC"/>
    <w:rsid w:val="002605E3"/>
    <w:rsid w:val="002607A8"/>
    <w:rsid w:val="00262F37"/>
    <w:rsid w:val="00272B76"/>
    <w:rsid w:val="0027701A"/>
    <w:rsid w:val="00284777"/>
    <w:rsid w:val="00286678"/>
    <w:rsid w:val="00286BCF"/>
    <w:rsid w:val="00292061"/>
    <w:rsid w:val="002931A0"/>
    <w:rsid w:val="0029619A"/>
    <w:rsid w:val="00296E49"/>
    <w:rsid w:val="002A1A71"/>
    <w:rsid w:val="002A681B"/>
    <w:rsid w:val="002A7D2D"/>
    <w:rsid w:val="002B30F7"/>
    <w:rsid w:val="002B4A17"/>
    <w:rsid w:val="002B7D54"/>
    <w:rsid w:val="002C14F2"/>
    <w:rsid w:val="002D0655"/>
    <w:rsid w:val="002D0C95"/>
    <w:rsid w:val="002D32CE"/>
    <w:rsid w:val="002D33F6"/>
    <w:rsid w:val="002D5C0F"/>
    <w:rsid w:val="002E1C94"/>
    <w:rsid w:val="002E4300"/>
    <w:rsid w:val="002E4FB8"/>
    <w:rsid w:val="002E50AF"/>
    <w:rsid w:val="002E6CF7"/>
    <w:rsid w:val="002F0D08"/>
    <w:rsid w:val="002F2911"/>
    <w:rsid w:val="002F5EDA"/>
    <w:rsid w:val="00311348"/>
    <w:rsid w:val="00311C8A"/>
    <w:rsid w:val="00311E44"/>
    <w:rsid w:val="003140FA"/>
    <w:rsid w:val="0031751B"/>
    <w:rsid w:val="0032744F"/>
    <w:rsid w:val="003332F5"/>
    <w:rsid w:val="003341CB"/>
    <w:rsid w:val="00334BF7"/>
    <w:rsid w:val="00335E02"/>
    <w:rsid w:val="00336432"/>
    <w:rsid w:val="0034468B"/>
    <w:rsid w:val="003510E2"/>
    <w:rsid w:val="00352497"/>
    <w:rsid w:val="003551DD"/>
    <w:rsid w:val="003571B8"/>
    <w:rsid w:val="00361231"/>
    <w:rsid w:val="003614E5"/>
    <w:rsid w:val="003619DF"/>
    <w:rsid w:val="00365AE0"/>
    <w:rsid w:val="00372C4D"/>
    <w:rsid w:val="00373391"/>
    <w:rsid w:val="003749CC"/>
    <w:rsid w:val="00381F96"/>
    <w:rsid w:val="003912CF"/>
    <w:rsid w:val="00394547"/>
    <w:rsid w:val="0039569C"/>
    <w:rsid w:val="00396292"/>
    <w:rsid w:val="00396F7E"/>
    <w:rsid w:val="003A0F2D"/>
    <w:rsid w:val="003A242E"/>
    <w:rsid w:val="003B08BD"/>
    <w:rsid w:val="003B2909"/>
    <w:rsid w:val="003B30E2"/>
    <w:rsid w:val="003B3601"/>
    <w:rsid w:val="003B55B9"/>
    <w:rsid w:val="003C3906"/>
    <w:rsid w:val="003D1225"/>
    <w:rsid w:val="003E1EA9"/>
    <w:rsid w:val="003E244D"/>
    <w:rsid w:val="003E62C9"/>
    <w:rsid w:val="003F3EA6"/>
    <w:rsid w:val="003F4BDE"/>
    <w:rsid w:val="0040029D"/>
    <w:rsid w:val="00402A06"/>
    <w:rsid w:val="0040394A"/>
    <w:rsid w:val="00406202"/>
    <w:rsid w:val="0040663C"/>
    <w:rsid w:val="00411245"/>
    <w:rsid w:val="00411978"/>
    <w:rsid w:val="0041554C"/>
    <w:rsid w:val="00423FC1"/>
    <w:rsid w:val="0042459A"/>
    <w:rsid w:val="0042571E"/>
    <w:rsid w:val="004266A9"/>
    <w:rsid w:val="00430A22"/>
    <w:rsid w:val="004369D0"/>
    <w:rsid w:val="00436DD2"/>
    <w:rsid w:val="0044071B"/>
    <w:rsid w:val="004414AD"/>
    <w:rsid w:val="004415ED"/>
    <w:rsid w:val="0044229E"/>
    <w:rsid w:val="004425CD"/>
    <w:rsid w:val="004426BA"/>
    <w:rsid w:val="0044485E"/>
    <w:rsid w:val="00447154"/>
    <w:rsid w:val="004521CF"/>
    <w:rsid w:val="00460139"/>
    <w:rsid w:val="00460A9E"/>
    <w:rsid w:val="00461440"/>
    <w:rsid w:val="00461D0A"/>
    <w:rsid w:val="004622BE"/>
    <w:rsid w:val="00470E4A"/>
    <w:rsid w:val="0047149D"/>
    <w:rsid w:val="00472735"/>
    <w:rsid w:val="0047333B"/>
    <w:rsid w:val="00474097"/>
    <w:rsid w:val="00477031"/>
    <w:rsid w:val="00480C23"/>
    <w:rsid w:val="00483009"/>
    <w:rsid w:val="00485200"/>
    <w:rsid w:val="0048596F"/>
    <w:rsid w:val="00485BC8"/>
    <w:rsid w:val="00490006"/>
    <w:rsid w:val="00491346"/>
    <w:rsid w:val="00491C34"/>
    <w:rsid w:val="004A273D"/>
    <w:rsid w:val="004A4B5E"/>
    <w:rsid w:val="004A646B"/>
    <w:rsid w:val="004A6D7E"/>
    <w:rsid w:val="004A72CB"/>
    <w:rsid w:val="004B2D59"/>
    <w:rsid w:val="004B2FBF"/>
    <w:rsid w:val="004B6B31"/>
    <w:rsid w:val="004B6CB4"/>
    <w:rsid w:val="004C0D7B"/>
    <w:rsid w:val="004C75B5"/>
    <w:rsid w:val="004D2B91"/>
    <w:rsid w:val="004D2F1E"/>
    <w:rsid w:val="004D4BD9"/>
    <w:rsid w:val="004D7123"/>
    <w:rsid w:val="004D73AE"/>
    <w:rsid w:val="004E06B3"/>
    <w:rsid w:val="004E0E53"/>
    <w:rsid w:val="004F6CAA"/>
    <w:rsid w:val="004F72CC"/>
    <w:rsid w:val="004F7834"/>
    <w:rsid w:val="00500609"/>
    <w:rsid w:val="00500FEF"/>
    <w:rsid w:val="005036B0"/>
    <w:rsid w:val="00504E65"/>
    <w:rsid w:val="00510742"/>
    <w:rsid w:val="00511763"/>
    <w:rsid w:val="00511F04"/>
    <w:rsid w:val="005137D5"/>
    <w:rsid w:val="00515810"/>
    <w:rsid w:val="005162DE"/>
    <w:rsid w:val="005215A7"/>
    <w:rsid w:val="00522DF2"/>
    <w:rsid w:val="0052591F"/>
    <w:rsid w:val="00526F47"/>
    <w:rsid w:val="005303B7"/>
    <w:rsid w:val="00531C03"/>
    <w:rsid w:val="005350BD"/>
    <w:rsid w:val="005569B9"/>
    <w:rsid w:val="0056420D"/>
    <w:rsid w:val="0056468C"/>
    <w:rsid w:val="00564BBF"/>
    <w:rsid w:val="0058027B"/>
    <w:rsid w:val="005803BD"/>
    <w:rsid w:val="00580AE0"/>
    <w:rsid w:val="00586BAB"/>
    <w:rsid w:val="00592519"/>
    <w:rsid w:val="005A3145"/>
    <w:rsid w:val="005A44DE"/>
    <w:rsid w:val="005A4822"/>
    <w:rsid w:val="005B2E59"/>
    <w:rsid w:val="005B6684"/>
    <w:rsid w:val="005B6E13"/>
    <w:rsid w:val="005B785E"/>
    <w:rsid w:val="005C0049"/>
    <w:rsid w:val="005C2118"/>
    <w:rsid w:val="005C302C"/>
    <w:rsid w:val="005C6CF6"/>
    <w:rsid w:val="005C6FBA"/>
    <w:rsid w:val="005C7315"/>
    <w:rsid w:val="005D04F1"/>
    <w:rsid w:val="005E0984"/>
    <w:rsid w:val="005E1CF5"/>
    <w:rsid w:val="005E63A2"/>
    <w:rsid w:val="005F0716"/>
    <w:rsid w:val="005F08C1"/>
    <w:rsid w:val="005F21C4"/>
    <w:rsid w:val="005F27A8"/>
    <w:rsid w:val="005F27EE"/>
    <w:rsid w:val="005F295C"/>
    <w:rsid w:val="005F59A9"/>
    <w:rsid w:val="005F6177"/>
    <w:rsid w:val="005F68D5"/>
    <w:rsid w:val="005F7327"/>
    <w:rsid w:val="006001A2"/>
    <w:rsid w:val="006013E5"/>
    <w:rsid w:val="006037BC"/>
    <w:rsid w:val="00603BF7"/>
    <w:rsid w:val="00604413"/>
    <w:rsid w:val="0060524A"/>
    <w:rsid w:val="00611516"/>
    <w:rsid w:val="00612A97"/>
    <w:rsid w:val="00615AEA"/>
    <w:rsid w:val="006175B9"/>
    <w:rsid w:val="00620D45"/>
    <w:rsid w:val="00622543"/>
    <w:rsid w:val="00623311"/>
    <w:rsid w:val="00632E1A"/>
    <w:rsid w:val="006415CC"/>
    <w:rsid w:val="006415E4"/>
    <w:rsid w:val="006430B3"/>
    <w:rsid w:val="00645547"/>
    <w:rsid w:val="0064569F"/>
    <w:rsid w:val="0065095C"/>
    <w:rsid w:val="00654080"/>
    <w:rsid w:val="00660193"/>
    <w:rsid w:val="00664FB1"/>
    <w:rsid w:val="006665B6"/>
    <w:rsid w:val="00671115"/>
    <w:rsid w:val="006768AE"/>
    <w:rsid w:val="00680D66"/>
    <w:rsid w:val="00682723"/>
    <w:rsid w:val="006830D4"/>
    <w:rsid w:val="006834B5"/>
    <w:rsid w:val="00685772"/>
    <w:rsid w:val="00693B21"/>
    <w:rsid w:val="00694467"/>
    <w:rsid w:val="0069483A"/>
    <w:rsid w:val="00694CBD"/>
    <w:rsid w:val="006A0066"/>
    <w:rsid w:val="006A04FB"/>
    <w:rsid w:val="006A3C18"/>
    <w:rsid w:val="006A4045"/>
    <w:rsid w:val="006A6898"/>
    <w:rsid w:val="006B111B"/>
    <w:rsid w:val="006B14F1"/>
    <w:rsid w:val="006B2A29"/>
    <w:rsid w:val="006B52D6"/>
    <w:rsid w:val="006C0022"/>
    <w:rsid w:val="006C22C2"/>
    <w:rsid w:val="006C3E18"/>
    <w:rsid w:val="006C4564"/>
    <w:rsid w:val="006D0D9E"/>
    <w:rsid w:val="006D3A28"/>
    <w:rsid w:val="006D7C4E"/>
    <w:rsid w:val="006E1640"/>
    <w:rsid w:val="006F1962"/>
    <w:rsid w:val="006F1A0E"/>
    <w:rsid w:val="006F2A89"/>
    <w:rsid w:val="006F3917"/>
    <w:rsid w:val="006F56B7"/>
    <w:rsid w:val="006F5D1E"/>
    <w:rsid w:val="006F64A8"/>
    <w:rsid w:val="00707AB4"/>
    <w:rsid w:val="00715311"/>
    <w:rsid w:val="00717D78"/>
    <w:rsid w:val="00721744"/>
    <w:rsid w:val="00721B64"/>
    <w:rsid w:val="00730143"/>
    <w:rsid w:val="0073472B"/>
    <w:rsid w:val="007356AC"/>
    <w:rsid w:val="007443D1"/>
    <w:rsid w:val="007459A8"/>
    <w:rsid w:val="00747B4B"/>
    <w:rsid w:val="00747E38"/>
    <w:rsid w:val="0075093D"/>
    <w:rsid w:val="00752059"/>
    <w:rsid w:val="007526DF"/>
    <w:rsid w:val="007532D7"/>
    <w:rsid w:val="007535D0"/>
    <w:rsid w:val="00756142"/>
    <w:rsid w:val="007600F7"/>
    <w:rsid w:val="00761860"/>
    <w:rsid w:val="00762BA8"/>
    <w:rsid w:val="007670AF"/>
    <w:rsid w:val="00767843"/>
    <w:rsid w:val="007739E7"/>
    <w:rsid w:val="0078392D"/>
    <w:rsid w:val="00790381"/>
    <w:rsid w:val="00791BD2"/>
    <w:rsid w:val="00792E7C"/>
    <w:rsid w:val="00794F56"/>
    <w:rsid w:val="00796757"/>
    <w:rsid w:val="007A62B4"/>
    <w:rsid w:val="007A67BB"/>
    <w:rsid w:val="007A7CC8"/>
    <w:rsid w:val="007B0790"/>
    <w:rsid w:val="007B16ED"/>
    <w:rsid w:val="007B7BE6"/>
    <w:rsid w:val="007C1BF2"/>
    <w:rsid w:val="007C4FF0"/>
    <w:rsid w:val="007D041C"/>
    <w:rsid w:val="007D212A"/>
    <w:rsid w:val="007D41CE"/>
    <w:rsid w:val="007D7587"/>
    <w:rsid w:val="007D7D0E"/>
    <w:rsid w:val="007E2C9E"/>
    <w:rsid w:val="007E329A"/>
    <w:rsid w:val="007E36D1"/>
    <w:rsid w:val="007E4130"/>
    <w:rsid w:val="007E5D63"/>
    <w:rsid w:val="007F2B51"/>
    <w:rsid w:val="007F3075"/>
    <w:rsid w:val="007F34EF"/>
    <w:rsid w:val="007F3CFA"/>
    <w:rsid w:val="008001CB"/>
    <w:rsid w:val="008059F8"/>
    <w:rsid w:val="00810431"/>
    <w:rsid w:val="00814E4C"/>
    <w:rsid w:val="00824023"/>
    <w:rsid w:val="00825C43"/>
    <w:rsid w:val="00827D15"/>
    <w:rsid w:val="00831904"/>
    <w:rsid w:val="00831F0A"/>
    <w:rsid w:val="00833773"/>
    <w:rsid w:val="00834256"/>
    <w:rsid w:val="00835DF3"/>
    <w:rsid w:val="00844589"/>
    <w:rsid w:val="00845E54"/>
    <w:rsid w:val="00845EFB"/>
    <w:rsid w:val="008516DD"/>
    <w:rsid w:val="00851BF4"/>
    <w:rsid w:val="00852B62"/>
    <w:rsid w:val="008574F9"/>
    <w:rsid w:val="008618D8"/>
    <w:rsid w:val="008646C6"/>
    <w:rsid w:val="00864B20"/>
    <w:rsid w:val="00864FA5"/>
    <w:rsid w:val="008678AC"/>
    <w:rsid w:val="00867FA3"/>
    <w:rsid w:val="00870301"/>
    <w:rsid w:val="00871945"/>
    <w:rsid w:val="008736EA"/>
    <w:rsid w:val="00874F00"/>
    <w:rsid w:val="00885B4E"/>
    <w:rsid w:val="00885F60"/>
    <w:rsid w:val="008918AA"/>
    <w:rsid w:val="00897632"/>
    <w:rsid w:val="008A5C7F"/>
    <w:rsid w:val="008B3347"/>
    <w:rsid w:val="008B43B1"/>
    <w:rsid w:val="008B4D12"/>
    <w:rsid w:val="008B54F2"/>
    <w:rsid w:val="008C1828"/>
    <w:rsid w:val="008C5141"/>
    <w:rsid w:val="008C54BC"/>
    <w:rsid w:val="008C5892"/>
    <w:rsid w:val="008C6921"/>
    <w:rsid w:val="008C6962"/>
    <w:rsid w:val="008D0D31"/>
    <w:rsid w:val="008D71B7"/>
    <w:rsid w:val="008E2705"/>
    <w:rsid w:val="008E2863"/>
    <w:rsid w:val="008E6876"/>
    <w:rsid w:val="008E6F6A"/>
    <w:rsid w:val="008E75A8"/>
    <w:rsid w:val="008F0B91"/>
    <w:rsid w:val="008F2989"/>
    <w:rsid w:val="008F64AC"/>
    <w:rsid w:val="008F67BF"/>
    <w:rsid w:val="008F683B"/>
    <w:rsid w:val="008F6D5A"/>
    <w:rsid w:val="0090050E"/>
    <w:rsid w:val="00902791"/>
    <w:rsid w:val="009118A4"/>
    <w:rsid w:val="009138DC"/>
    <w:rsid w:val="009141D6"/>
    <w:rsid w:val="0091459B"/>
    <w:rsid w:val="009152FA"/>
    <w:rsid w:val="0092033E"/>
    <w:rsid w:val="00922045"/>
    <w:rsid w:val="009321C4"/>
    <w:rsid w:val="00935B05"/>
    <w:rsid w:val="00936127"/>
    <w:rsid w:val="00941AF6"/>
    <w:rsid w:val="009420BE"/>
    <w:rsid w:val="00942F16"/>
    <w:rsid w:val="009434A4"/>
    <w:rsid w:val="009439B9"/>
    <w:rsid w:val="00947D97"/>
    <w:rsid w:val="00953A99"/>
    <w:rsid w:val="00954E62"/>
    <w:rsid w:val="00963AA9"/>
    <w:rsid w:val="00964513"/>
    <w:rsid w:val="00967E13"/>
    <w:rsid w:val="00973793"/>
    <w:rsid w:val="0097490F"/>
    <w:rsid w:val="009777D5"/>
    <w:rsid w:val="009809C8"/>
    <w:rsid w:val="0098241E"/>
    <w:rsid w:val="00984409"/>
    <w:rsid w:val="00986256"/>
    <w:rsid w:val="00986617"/>
    <w:rsid w:val="00993A37"/>
    <w:rsid w:val="009955FE"/>
    <w:rsid w:val="009A184A"/>
    <w:rsid w:val="009A1967"/>
    <w:rsid w:val="009A60A9"/>
    <w:rsid w:val="009A60ED"/>
    <w:rsid w:val="009A6F93"/>
    <w:rsid w:val="009B4CE7"/>
    <w:rsid w:val="009B4D7A"/>
    <w:rsid w:val="009B56B6"/>
    <w:rsid w:val="009C1F71"/>
    <w:rsid w:val="009D7863"/>
    <w:rsid w:val="009E3CAB"/>
    <w:rsid w:val="009E5B38"/>
    <w:rsid w:val="009E7A07"/>
    <w:rsid w:val="009F0C35"/>
    <w:rsid w:val="009F50B1"/>
    <w:rsid w:val="009F6D3D"/>
    <w:rsid w:val="00A01211"/>
    <w:rsid w:val="00A04EE6"/>
    <w:rsid w:val="00A05650"/>
    <w:rsid w:val="00A0566E"/>
    <w:rsid w:val="00A06834"/>
    <w:rsid w:val="00A12E0A"/>
    <w:rsid w:val="00A140B0"/>
    <w:rsid w:val="00A14DCA"/>
    <w:rsid w:val="00A2419C"/>
    <w:rsid w:val="00A25740"/>
    <w:rsid w:val="00A26D51"/>
    <w:rsid w:val="00A30985"/>
    <w:rsid w:val="00A311BD"/>
    <w:rsid w:val="00A351F0"/>
    <w:rsid w:val="00A35718"/>
    <w:rsid w:val="00A41056"/>
    <w:rsid w:val="00A411C4"/>
    <w:rsid w:val="00A447F7"/>
    <w:rsid w:val="00A45028"/>
    <w:rsid w:val="00A544A8"/>
    <w:rsid w:val="00A544E6"/>
    <w:rsid w:val="00A54B7A"/>
    <w:rsid w:val="00A57646"/>
    <w:rsid w:val="00A62280"/>
    <w:rsid w:val="00A63A84"/>
    <w:rsid w:val="00A730E8"/>
    <w:rsid w:val="00A74252"/>
    <w:rsid w:val="00A74271"/>
    <w:rsid w:val="00A755C9"/>
    <w:rsid w:val="00A90436"/>
    <w:rsid w:val="00A95725"/>
    <w:rsid w:val="00AA0895"/>
    <w:rsid w:val="00AA3C61"/>
    <w:rsid w:val="00AA62E6"/>
    <w:rsid w:val="00AA7627"/>
    <w:rsid w:val="00AA7819"/>
    <w:rsid w:val="00AA7C43"/>
    <w:rsid w:val="00AB0BA7"/>
    <w:rsid w:val="00AB26CF"/>
    <w:rsid w:val="00AB54F1"/>
    <w:rsid w:val="00AB5F53"/>
    <w:rsid w:val="00AB78A3"/>
    <w:rsid w:val="00AC0A5F"/>
    <w:rsid w:val="00AC0DCA"/>
    <w:rsid w:val="00AC11CB"/>
    <w:rsid w:val="00AC42FB"/>
    <w:rsid w:val="00AC5113"/>
    <w:rsid w:val="00AD0A4F"/>
    <w:rsid w:val="00AD3A74"/>
    <w:rsid w:val="00AD5910"/>
    <w:rsid w:val="00AD7E39"/>
    <w:rsid w:val="00AE22CB"/>
    <w:rsid w:val="00AF3F0A"/>
    <w:rsid w:val="00AF76F6"/>
    <w:rsid w:val="00AF7771"/>
    <w:rsid w:val="00B01E20"/>
    <w:rsid w:val="00B041BA"/>
    <w:rsid w:val="00B05FA0"/>
    <w:rsid w:val="00B06484"/>
    <w:rsid w:val="00B06966"/>
    <w:rsid w:val="00B07291"/>
    <w:rsid w:val="00B07F95"/>
    <w:rsid w:val="00B11E25"/>
    <w:rsid w:val="00B12410"/>
    <w:rsid w:val="00B12DD6"/>
    <w:rsid w:val="00B15306"/>
    <w:rsid w:val="00B229CB"/>
    <w:rsid w:val="00B22E61"/>
    <w:rsid w:val="00B23656"/>
    <w:rsid w:val="00B3135E"/>
    <w:rsid w:val="00B33BC8"/>
    <w:rsid w:val="00B35999"/>
    <w:rsid w:val="00B36303"/>
    <w:rsid w:val="00B36436"/>
    <w:rsid w:val="00B44F30"/>
    <w:rsid w:val="00B45559"/>
    <w:rsid w:val="00B47220"/>
    <w:rsid w:val="00B4773F"/>
    <w:rsid w:val="00B47DE1"/>
    <w:rsid w:val="00B541EF"/>
    <w:rsid w:val="00B54972"/>
    <w:rsid w:val="00B54E75"/>
    <w:rsid w:val="00B609F5"/>
    <w:rsid w:val="00B61990"/>
    <w:rsid w:val="00B651E6"/>
    <w:rsid w:val="00B6559E"/>
    <w:rsid w:val="00B72941"/>
    <w:rsid w:val="00B86D67"/>
    <w:rsid w:val="00B87CEB"/>
    <w:rsid w:val="00B92DEE"/>
    <w:rsid w:val="00B97DB5"/>
    <w:rsid w:val="00BA014F"/>
    <w:rsid w:val="00BA374C"/>
    <w:rsid w:val="00BA3BE1"/>
    <w:rsid w:val="00BA4022"/>
    <w:rsid w:val="00BA42E6"/>
    <w:rsid w:val="00BB147F"/>
    <w:rsid w:val="00BB2911"/>
    <w:rsid w:val="00BC5069"/>
    <w:rsid w:val="00BC689A"/>
    <w:rsid w:val="00BD0A29"/>
    <w:rsid w:val="00BD1B7F"/>
    <w:rsid w:val="00BD2DE9"/>
    <w:rsid w:val="00BE0005"/>
    <w:rsid w:val="00BE160C"/>
    <w:rsid w:val="00BE173B"/>
    <w:rsid w:val="00BE1CB0"/>
    <w:rsid w:val="00BE2049"/>
    <w:rsid w:val="00BE37EB"/>
    <w:rsid w:val="00BE4CCB"/>
    <w:rsid w:val="00BE798F"/>
    <w:rsid w:val="00BE7D2E"/>
    <w:rsid w:val="00BF6C7E"/>
    <w:rsid w:val="00C010C0"/>
    <w:rsid w:val="00C04E9E"/>
    <w:rsid w:val="00C072A6"/>
    <w:rsid w:val="00C1696F"/>
    <w:rsid w:val="00C22680"/>
    <w:rsid w:val="00C239D6"/>
    <w:rsid w:val="00C23D04"/>
    <w:rsid w:val="00C307B8"/>
    <w:rsid w:val="00C31161"/>
    <w:rsid w:val="00C35CD6"/>
    <w:rsid w:val="00C36408"/>
    <w:rsid w:val="00C37A4B"/>
    <w:rsid w:val="00C37EC2"/>
    <w:rsid w:val="00C432B6"/>
    <w:rsid w:val="00C464A8"/>
    <w:rsid w:val="00C46958"/>
    <w:rsid w:val="00C529F5"/>
    <w:rsid w:val="00C538AB"/>
    <w:rsid w:val="00C56440"/>
    <w:rsid w:val="00C56925"/>
    <w:rsid w:val="00C64DA2"/>
    <w:rsid w:val="00C67C45"/>
    <w:rsid w:val="00C741C8"/>
    <w:rsid w:val="00C81CF5"/>
    <w:rsid w:val="00C836F4"/>
    <w:rsid w:val="00C85866"/>
    <w:rsid w:val="00C90071"/>
    <w:rsid w:val="00C93C91"/>
    <w:rsid w:val="00C95F05"/>
    <w:rsid w:val="00CA3815"/>
    <w:rsid w:val="00CA6224"/>
    <w:rsid w:val="00CB224C"/>
    <w:rsid w:val="00CB5B1B"/>
    <w:rsid w:val="00CB6D68"/>
    <w:rsid w:val="00CC304B"/>
    <w:rsid w:val="00CC5ABC"/>
    <w:rsid w:val="00CD563B"/>
    <w:rsid w:val="00CD6592"/>
    <w:rsid w:val="00CE2067"/>
    <w:rsid w:val="00CE36AD"/>
    <w:rsid w:val="00CF0860"/>
    <w:rsid w:val="00CF2A7F"/>
    <w:rsid w:val="00CF5581"/>
    <w:rsid w:val="00CF7CA3"/>
    <w:rsid w:val="00D0120B"/>
    <w:rsid w:val="00D0213D"/>
    <w:rsid w:val="00D0688A"/>
    <w:rsid w:val="00D10AB4"/>
    <w:rsid w:val="00D118F5"/>
    <w:rsid w:val="00D13997"/>
    <w:rsid w:val="00D15675"/>
    <w:rsid w:val="00D15E43"/>
    <w:rsid w:val="00D1650B"/>
    <w:rsid w:val="00D16BD7"/>
    <w:rsid w:val="00D17C58"/>
    <w:rsid w:val="00D20950"/>
    <w:rsid w:val="00D27FAB"/>
    <w:rsid w:val="00D35701"/>
    <w:rsid w:val="00D418E5"/>
    <w:rsid w:val="00D42D4D"/>
    <w:rsid w:val="00D44C26"/>
    <w:rsid w:val="00D466D8"/>
    <w:rsid w:val="00D52234"/>
    <w:rsid w:val="00D52C8C"/>
    <w:rsid w:val="00D52E51"/>
    <w:rsid w:val="00D53946"/>
    <w:rsid w:val="00D60523"/>
    <w:rsid w:val="00D60DED"/>
    <w:rsid w:val="00D63CD7"/>
    <w:rsid w:val="00D70255"/>
    <w:rsid w:val="00D86FC8"/>
    <w:rsid w:val="00D926E5"/>
    <w:rsid w:val="00D97434"/>
    <w:rsid w:val="00DB7401"/>
    <w:rsid w:val="00DC14CB"/>
    <w:rsid w:val="00DC40F9"/>
    <w:rsid w:val="00DC6C6A"/>
    <w:rsid w:val="00DD5A7C"/>
    <w:rsid w:val="00DD73D6"/>
    <w:rsid w:val="00DE24A8"/>
    <w:rsid w:val="00DE2800"/>
    <w:rsid w:val="00DE3C3B"/>
    <w:rsid w:val="00DE4C64"/>
    <w:rsid w:val="00DF283D"/>
    <w:rsid w:val="00DF43D8"/>
    <w:rsid w:val="00E036DC"/>
    <w:rsid w:val="00E03E6B"/>
    <w:rsid w:val="00E03EDB"/>
    <w:rsid w:val="00E03FBD"/>
    <w:rsid w:val="00E1637C"/>
    <w:rsid w:val="00E17F3E"/>
    <w:rsid w:val="00E22407"/>
    <w:rsid w:val="00E238B7"/>
    <w:rsid w:val="00E26243"/>
    <w:rsid w:val="00E30BF4"/>
    <w:rsid w:val="00E32926"/>
    <w:rsid w:val="00E344E4"/>
    <w:rsid w:val="00E36149"/>
    <w:rsid w:val="00E43104"/>
    <w:rsid w:val="00E44795"/>
    <w:rsid w:val="00E45CAF"/>
    <w:rsid w:val="00E46634"/>
    <w:rsid w:val="00E50D02"/>
    <w:rsid w:val="00E640F8"/>
    <w:rsid w:val="00E66865"/>
    <w:rsid w:val="00E67451"/>
    <w:rsid w:val="00E70709"/>
    <w:rsid w:val="00E73029"/>
    <w:rsid w:val="00E76757"/>
    <w:rsid w:val="00E8326F"/>
    <w:rsid w:val="00E852A0"/>
    <w:rsid w:val="00E853CC"/>
    <w:rsid w:val="00E86281"/>
    <w:rsid w:val="00E930BC"/>
    <w:rsid w:val="00E93410"/>
    <w:rsid w:val="00E961B3"/>
    <w:rsid w:val="00EA3AEB"/>
    <w:rsid w:val="00EA5A8C"/>
    <w:rsid w:val="00EA7DF4"/>
    <w:rsid w:val="00EB0A43"/>
    <w:rsid w:val="00EB0CD6"/>
    <w:rsid w:val="00EB1184"/>
    <w:rsid w:val="00EB1F45"/>
    <w:rsid w:val="00EB2EAB"/>
    <w:rsid w:val="00EB362D"/>
    <w:rsid w:val="00EB5398"/>
    <w:rsid w:val="00EB774D"/>
    <w:rsid w:val="00EC5E20"/>
    <w:rsid w:val="00ED597B"/>
    <w:rsid w:val="00ED5A2E"/>
    <w:rsid w:val="00EE0E93"/>
    <w:rsid w:val="00EE2A2B"/>
    <w:rsid w:val="00EE3DC7"/>
    <w:rsid w:val="00EE63C6"/>
    <w:rsid w:val="00EE6EDC"/>
    <w:rsid w:val="00EF1BED"/>
    <w:rsid w:val="00EF20C1"/>
    <w:rsid w:val="00EF22DB"/>
    <w:rsid w:val="00EF2754"/>
    <w:rsid w:val="00EF40B1"/>
    <w:rsid w:val="00EF50C2"/>
    <w:rsid w:val="00EF5436"/>
    <w:rsid w:val="00EF6ED6"/>
    <w:rsid w:val="00F010AF"/>
    <w:rsid w:val="00F03C7E"/>
    <w:rsid w:val="00F059AC"/>
    <w:rsid w:val="00F10BC6"/>
    <w:rsid w:val="00F10E84"/>
    <w:rsid w:val="00F12744"/>
    <w:rsid w:val="00F14028"/>
    <w:rsid w:val="00F16ACB"/>
    <w:rsid w:val="00F20231"/>
    <w:rsid w:val="00F20D7F"/>
    <w:rsid w:val="00F244F2"/>
    <w:rsid w:val="00F26D3A"/>
    <w:rsid w:val="00F33B68"/>
    <w:rsid w:val="00F417F6"/>
    <w:rsid w:val="00F4386C"/>
    <w:rsid w:val="00F43ABE"/>
    <w:rsid w:val="00F50B95"/>
    <w:rsid w:val="00F55033"/>
    <w:rsid w:val="00F579BB"/>
    <w:rsid w:val="00F63668"/>
    <w:rsid w:val="00F6382D"/>
    <w:rsid w:val="00F64F04"/>
    <w:rsid w:val="00F71FE8"/>
    <w:rsid w:val="00F73A48"/>
    <w:rsid w:val="00F80D7E"/>
    <w:rsid w:val="00F8124C"/>
    <w:rsid w:val="00F861D1"/>
    <w:rsid w:val="00F8713F"/>
    <w:rsid w:val="00F90173"/>
    <w:rsid w:val="00F908D6"/>
    <w:rsid w:val="00F91BF3"/>
    <w:rsid w:val="00F94126"/>
    <w:rsid w:val="00F95564"/>
    <w:rsid w:val="00F9767B"/>
    <w:rsid w:val="00FA52C7"/>
    <w:rsid w:val="00FA72AE"/>
    <w:rsid w:val="00FB2E83"/>
    <w:rsid w:val="00FB43E2"/>
    <w:rsid w:val="00FB630E"/>
    <w:rsid w:val="00FB750E"/>
    <w:rsid w:val="00FB7A69"/>
    <w:rsid w:val="00FC173B"/>
    <w:rsid w:val="00FC6EAD"/>
    <w:rsid w:val="00FD01D1"/>
    <w:rsid w:val="00FD12C1"/>
    <w:rsid w:val="00FD17B8"/>
    <w:rsid w:val="00FD19FF"/>
    <w:rsid w:val="00FD20A2"/>
    <w:rsid w:val="00FD2283"/>
    <w:rsid w:val="00FD5B48"/>
    <w:rsid w:val="00FD684C"/>
    <w:rsid w:val="00FE09DD"/>
    <w:rsid w:val="00FE1195"/>
    <w:rsid w:val="00FE1A60"/>
    <w:rsid w:val="00FE42C7"/>
    <w:rsid w:val="00FF168B"/>
    <w:rsid w:val="00FF2C3D"/>
    <w:rsid w:val="00FF3720"/>
    <w:rsid w:val="00FF3891"/>
    <w:rsid w:val="00FF6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2DAED"/>
  <w15:docId w15:val="{49403EEF-B5A6-4A49-9966-1BC6B5D2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547"/>
    <w:rPr>
      <w:b/>
      <w:bCs/>
    </w:rPr>
  </w:style>
  <w:style w:type="paragraph" w:styleId="ListParagraph">
    <w:name w:val="List Paragraph"/>
    <w:basedOn w:val="Normal"/>
    <w:uiPriority w:val="34"/>
    <w:qFormat/>
    <w:rsid w:val="00336432"/>
    <w:pPr>
      <w:ind w:left="720"/>
      <w:contextualSpacing/>
    </w:pPr>
  </w:style>
  <w:style w:type="table" w:styleId="TableGrid">
    <w:name w:val="Table Grid"/>
    <w:basedOn w:val="TableNormal"/>
    <w:uiPriority w:val="59"/>
    <w:rsid w:val="0006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5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60523"/>
  </w:style>
  <w:style w:type="character" w:styleId="Hyperlink">
    <w:name w:val="Hyperlink"/>
    <w:basedOn w:val="DefaultParagraphFont"/>
    <w:uiPriority w:val="99"/>
    <w:semiHidden/>
    <w:unhideWhenUsed/>
    <w:rsid w:val="00D60523"/>
    <w:rPr>
      <w:color w:val="0000FF"/>
      <w:u w:val="single"/>
    </w:rPr>
  </w:style>
  <w:style w:type="paragraph" w:styleId="BalloonText">
    <w:name w:val="Balloon Text"/>
    <w:basedOn w:val="Normal"/>
    <w:link w:val="BalloonTextChar"/>
    <w:uiPriority w:val="99"/>
    <w:semiHidden/>
    <w:unhideWhenUsed/>
    <w:rsid w:val="008F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AC"/>
    <w:rPr>
      <w:rFonts w:ascii="Tahoma" w:hAnsi="Tahoma" w:cs="Tahoma"/>
      <w:sz w:val="16"/>
      <w:szCs w:val="16"/>
    </w:rPr>
  </w:style>
  <w:style w:type="paragraph" w:styleId="FootnoteText">
    <w:name w:val="footnote text"/>
    <w:basedOn w:val="Normal"/>
    <w:link w:val="FootnoteTextChar"/>
    <w:uiPriority w:val="99"/>
    <w:semiHidden/>
    <w:unhideWhenUsed/>
    <w:rsid w:val="00E50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D02"/>
    <w:rPr>
      <w:sz w:val="20"/>
      <w:szCs w:val="20"/>
    </w:rPr>
  </w:style>
  <w:style w:type="character" w:styleId="FootnoteReference">
    <w:name w:val="footnote reference"/>
    <w:basedOn w:val="DefaultParagraphFont"/>
    <w:uiPriority w:val="99"/>
    <w:semiHidden/>
    <w:unhideWhenUsed/>
    <w:rsid w:val="00E50D02"/>
    <w:rPr>
      <w:vertAlign w:val="superscript"/>
    </w:rPr>
  </w:style>
  <w:style w:type="character" w:styleId="CommentReference">
    <w:name w:val="annotation reference"/>
    <w:basedOn w:val="DefaultParagraphFont"/>
    <w:uiPriority w:val="99"/>
    <w:semiHidden/>
    <w:unhideWhenUsed/>
    <w:rsid w:val="00694467"/>
    <w:rPr>
      <w:sz w:val="16"/>
      <w:szCs w:val="16"/>
    </w:rPr>
  </w:style>
  <w:style w:type="paragraph" w:styleId="CommentText">
    <w:name w:val="annotation text"/>
    <w:basedOn w:val="Normal"/>
    <w:link w:val="CommentTextChar"/>
    <w:uiPriority w:val="99"/>
    <w:semiHidden/>
    <w:unhideWhenUsed/>
    <w:rsid w:val="00694467"/>
    <w:pPr>
      <w:spacing w:line="240" w:lineRule="auto"/>
    </w:pPr>
    <w:rPr>
      <w:sz w:val="20"/>
      <w:szCs w:val="20"/>
    </w:rPr>
  </w:style>
  <w:style w:type="character" w:customStyle="1" w:styleId="CommentTextChar">
    <w:name w:val="Comment Text Char"/>
    <w:basedOn w:val="DefaultParagraphFont"/>
    <w:link w:val="CommentText"/>
    <w:uiPriority w:val="99"/>
    <w:semiHidden/>
    <w:rsid w:val="00694467"/>
    <w:rPr>
      <w:sz w:val="20"/>
      <w:szCs w:val="20"/>
    </w:rPr>
  </w:style>
  <w:style w:type="paragraph" w:styleId="Header">
    <w:name w:val="header"/>
    <w:basedOn w:val="Normal"/>
    <w:link w:val="HeaderChar"/>
    <w:uiPriority w:val="99"/>
    <w:unhideWhenUsed/>
    <w:rsid w:val="00FF6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C12"/>
  </w:style>
  <w:style w:type="paragraph" w:styleId="Footer">
    <w:name w:val="footer"/>
    <w:basedOn w:val="Normal"/>
    <w:link w:val="FooterChar"/>
    <w:uiPriority w:val="99"/>
    <w:unhideWhenUsed/>
    <w:rsid w:val="00FF6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C12"/>
  </w:style>
  <w:style w:type="paragraph" w:styleId="CommentSubject">
    <w:name w:val="annotation subject"/>
    <w:basedOn w:val="CommentText"/>
    <w:next w:val="CommentText"/>
    <w:link w:val="CommentSubjectChar"/>
    <w:uiPriority w:val="99"/>
    <w:semiHidden/>
    <w:unhideWhenUsed/>
    <w:rsid w:val="00CC5ABC"/>
    <w:rPr>
      <w:b/>
      <w:bCs/>
    </w:rPr>
  </w:style>
  <w:style w:type="character" w:customStyle="1" w:styleId="CommentSubjectChar">
    <w:name w:val="Comment Subject Char"/>
    <w:basedOn w:val="CommentTextChar"/>
    <w:link w:val="CommentSubject"/>
    <w:uiPriority w:val="99"/>
    <w:semiHidden/>
    <w:rsid w:val="00CC5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5409">
      <w:bodyDiv w:val="1"/>
      <w:marLeft w:val="0"/>
      <w:marRight w:val="0"/>
      <w:marTop w:val="0"/>
      <w:marBottom w:val="0"/>
      <w:divBdr>
        <w:top w:val="none" w:sz="0" w:space="0" w:color="auto"/>
        <w:left w:val="none" w:sz="0" w:space="0" w:color="auto"/>
        <w:bottom w:val="none" w:sz="0" w:space="0" w:color="auto"/>
        <w:right w:val="none" w:sz="0" w:space="0" w:color="auto"/>
      </w:divBdr>
      <w:divsChild>
        <w:div w:id="83638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6119">
              <w:marLeft w:val="0"/>
              <w:marRight w:val="0"/>
              <w:marTop w:val="0"/>
              <w:marBottom w:val="0"/>
              <w:divBdr>
                <w:top w:val="none" w:sz="0" w:space="0" w:color="auto"/>
                <w:left w:val="none" w:sz="0" w:space="0" w:color="auto"/>
                <w:bottom w:val="none" w:sz="0" w:space="0" w:color="auto"/>
                <w:right w:val="none" w:sz="0" w:space="0" w:color="auto"/>
              </w:divBdr>
              <w:divsChild>
                <w:div w:id="1742826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78723">
                      <w:marLeft w:val="0"/>
                      <w:marRight w:val="0"/>
                      <w:marTop w:val="0"/>
                      <w:marBottom w:val="0"/>
                      <w:divBdr>
                        <w:top w:val="none" w:sz="0" w:space="0" w:color="auto"/>
                        <w:left w:val="none" w:sz="0" w:space="0" w:color="auto"/>
                        <w:bottom w:val="none" w:sz="0" w:space="0" w:color="auto"/>
                        <w:right w:val="none" w:sz="0" w:space="0" w:color="auto"/>
                      </w:divBdr>
                      <w:divsChild>
                        <w:div w:id="106853523">
                          <w:marLeft w:val="0"/>
                          <w:marRight w:val="0"/>
                          <w:marTop w:val="0"/>
                          <w:marBottom w:val="0"/>
                          <w:divBdr>
                            <w:top w:val="none" w:sz="0" w:space="0" w:color="auto"/>
                            <w:left w:val="none" w:sz="0" w:space="0" w:color="auto"/>
                            <w:bottom w:val="none" w:sz="0" w:space="0" w:color="auto"/>
                            <w:right w:val="none" w:sz="0" w:space="0" w:color="auto"/>
                          </w:divBdr>
                        </w:div>
                        <w:div w:id="737481292">
                          <w:marLeft w:val="0"/>
                          <w:marRight w:val="0"/>
                          <w:marTop w:val="0"/>
                          <w:marBottom w:val="0"/>
                          <w:divBdr>
                            <w:top w:val="none" w:sz="0" w:space="0" w:color="auto"/>
                            <w:left w:val="none" w:sz="0" w:space="0" w:color="auto"/>
                            <w:bottom w:val="none" w:sz="0" w:space="0" w:color="auto"/>
                            <w:right w:val="none" w:sz="0" w:space="0" w:color="auto"/>
                          </w:divBdr>
                        </w:div>
                        <w:div w:id="958412421">
                          <w:marLeft w:val="0"/>
                          <w:marRight w:val="0"/>
                          <w:marTop w:val="0"/>
                          <w:marBottom w:val="0"/>
                          <w:divBdr>
                            <w:top w:val="none" w:sz="0" w:space="0" w:color="auto"/>
                            <w:left w:val="none" w:sz="0" w:space="0" w:color="auto"/>
                            <w:bottom w:val="none" w:sz="0" w:space="0" w:color="auto"/>
                            <w:right w:val="none" w:sz="0" w:space="0" w:color="auto"/>
                          </w:divBdr>
                        </w:div>
                        <w:div w:id="967663174">
                          <w:marLeft w:val="0"/>
                          <w:marRight w:val="0"/>
                          <w:marTop w:val="0"/>
                          <w:marBottom w:val="0"/>
                          <w:divBdr>
                            <w:top w:val="none" w:sz="0" w:space="0" w:color="auto"/>
                            <w:left w:val="none" w:sz="0" w:space="0" w:color="auto"/>
                            <w:bottom w:val="none" w:sz="0" w:space="0" w:color="auto"/>
                            <w:right w:val="none" w:sz="0" w:space="0" w:color="auto"/>
                          </w:divBdr>
                        </w:div>
                        <w:div w:id="1448043676">
                          <w:marLeft w:val="0"/>
                          <w:marRight w:val="0"/>
                          <w:marTop w:val="0"/>
                          <w:marBottom w:val="0"/>
                          <w:divBdr>
                            <w:top w:val="none" w:sz="0" w:space="0" w:color="auto"/>
                            <w:left w:val="none" w:sz="0" w:space="0" w:color="auto"/>
                            <w:bottom w:val="none" w:sz="0" w:space="0" w:color="auto"/>
                            <w:right w:val="none" w:sz="0" w:space="0" w:color="auto"/>
                          </w:divBdr>
                        </w:div>
                        <w:div w:id="1527598587">
                          <w:marLeft w:val="0"/>
                          <w:marRight w:val="0"/>
                          <w:marTop w:val="0"/>
                          <w:marBottom w:val="0"/>
                          <w:divBdr>
                            <w:top w:val="none" w:sz="0" w:space="0" w:color="auto"/>
                            <w:left w:val="none" w:sz="0" w:space="0" w:color="auto"/>
                            <w:bottom w:val="none" w:sz="0" w:space="0" w:color="auto"/>
                            <w:right w:val="none" w:sz="0" w:space="0" w:color="auto"/>
                          </w:divBdr>
                        </w:div>
                        <w:div w:id="1768648894">
                          <w:marLeft w:val="0"/>
                          <w:marRight w:val="0"/>
                          <w:marTop w:val="0"/>
                          <w:marBottom w:val="0"/>
                          <w:divBdr>
                            <w:top w:val="none" w:sz="0" w:space="0" w:color="auto"/>
                            <w:left w:val="none" w:sz="0" w:space="0" w:color="auto"/>
                            <w:bottom w:val="none" w:sz="0" w:space="0" w:color="auto"/>
                            <w:right w:val="none" w:sz="0" w:space="0" w:color="auto"/>
                          </w:divBdr>
                        </w:div>
                        <w:div w:id="17765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35573">
      <w:bodyDiv w:val="1"/>
      <w:marLeft w:val="0"/>
      <w:marRight w:val="0"/>
      <w:marTop w:val="0"/>
      <w:marBottom w:val="0"/>
      <w:divBdr>
        <w:top w:val="none" w:sz="0" w:space="0" w:color="auto"/>
        <w:left w:val="none" w:sz="0" w:space="0" w:color="auto"/>
        <w:bottom w:val="none" w:sz="0" w:space="0" w:color="auto"/>
        <w:right w:val="none" w:sz="0" w:space="0" w:color="auto"/>
      </w:divBdr>
    </w:div>
    <w:div w:id="20067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FC83-B25E-4C66-8D57-6FD54ED4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Tanja Schuemer</cp:lastModifiedBy>
  <cp:revision>2</cp:revision>
  <cp:lastPrinted>2016-09-20T18:43:00Z</cp:lastPrinted>
  <dcterms:created xsi:type="dcterms:W3CDTF">2016-10-05T11:00:00Z</dcterms:created>
  <dcterms:modified xsi:type="dcterms:W3CDTF">2016-10-05T11:00:00Z</dcterms:modified>
</cp:coreProperties>
</file>