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FD" w:rsidRDefault="001A3DFD" w:rsidP="001A3DFD">
      <w:pPr>
        <w:spacing w:after="0"/>
        <w:jc w:val="center"/>
        <w:rPr>
          <w:rFonts w:asciiTheme="majorHAnsi" w:hAnsiTheme="majorHAnsi"/>
          <w:sz w:val="40"/>
          <w:szCs w:val="40"/>
        </w:rPr>
      </w:pPr>
      <w:r w:rsidRPr="00666570">
        <w:rPr>
          <w:rFonts w:asciiTheme="majorHAnsi" w:hAnsiTheme="majorHAnsi"/>
          <w:sz w:val="40"/>
          <w:szCs w:val="40"/>
        </w:rPr>
        <w:t>DRAFT WOR</w:t>
      </w:r>
      <w:r>
        <w:rPr>
          <w:rFonts w:asciiTheme="majorHAnsi" w:hAnsiTheme="majorHAnsi"/>
          <w:sz w:val="40"/>
          <w:szCs w:val="40"/>
        </w:rPr>
        <w:t>KP</w:t>
      </w:r>
      <w:r w:rsidRPr="00666570">
        <w:rPr>
          <w:rFonts w:asciiTheme="majorHAnsi" w:hAnsiTheme="majorHAnsi"/>
          <w:sz w:val="40"/>
          <w:szCs w:val="40"/>
        </w:rPr>
        <w:t>LAN: INTER-AGENCY STANDING COMMITTEE TASK TEAM</w:t>
      </w:r>
    </w:p>
    <w:p w:rsidR="001A3DFD" w:rsidRPr="00666570" w:rsidRDefault="001A3DFD" w:rsidP="001A3DFD">
      <w:pPr>
        <w:spacing w:after="0"/>
        <w:jc w:val="center"/>
        <w:rPr>
          <w:rFonts w:asciiTheme="majorHAnsi" w:hAnsiTheme="majorHAnsi"/>
          <w:sz w:val="40"/>
          <w:szCs w:val="40"/>
        </w:rPr>
      </w:pPr>
      <w:r w:rsidRPr="00666570">
        <w:rPr>
          <w:rFonts w:asciiTheme="majorHAnsi" w:hAnsiTheme="majorHAnsi"/>
          <w:sz w:val="40"/>
          <w:szCs w:val="40"/>
        </w:rPr>
        <w:t>ON STRENGHTENING THE H</w:t>
      </w:r>
      <w:r>
        <w:rPr>
          <w:rFonts w:asciiTheme="majorHAnsi" w:hAnsiTheme="majorHAnsi"/>
          <w:sz w:val="40"/>
          <w:szCs w:val="40"/>
        </w:rPr>
        <w:t>UMANITARIAN DEVELOPMENT NEXUS IN</w:t>
      </w:r>
      <w:r w:rsidRPr="00666570">
        <w:rPr>
          <w:rFonts w:asciiTheme="majorHAnsi" w:hAnsiTheme="majorHAnsi"/>
          <w:sz w:val="40"/>
          <w:szCs w:val="40"/>
        </w:rPr>
        <w:t xml:space="preserve"> PROTRACTED SETTINGS</w:t>
      </w:r>
      <w:r w:rsidR="00FA18C3">
        <w:rPr>
          <w:rStyle w:val="FootnoteReference"/>
          <w:rFonts w:asciiTheme="majorHAnsi" w:hAnsiTheme="majorHAnsi"/>
          <w:sz w:val="40"/>
          <w:szCs w:val="40"/>
        </w:rPr>
        <w:footnoteReference w:id="1"/>
      </w:r>
    </w:p>
    <w:tbl>
      <w:tblPr>
        <w:tblStyle w:val="TableGrid"/>
        <w:tblpPr w:leftFromText="180" w:rightFromText="180" w:vertAnchor="page" w:horzAnchor="margin" w:tblpY="2821"/>
        <w:tblW w:w="22147" w:type="dxa"/>
        <w:tblLayout w:type="fixed"/>
        <w:tblLook w:val="04A0" w:firstRow="1" w:lastRow="0" w:firstColumn="1" w:lastColumn="0" w:noHBand="0" w:noVBand="1"/>
      </w:tblPr>
      <w:tblGrid>
        <w:gridCol w:w="1936"/>
        <w:gridCol w:w="6817"/>
        <w:gridCol w:w="2232"/>
        <w:gridCol w:w="2232"/>
        <w:gridCol w:w="6804"/>
        <w:gridCol w:w="2126"/>
      </w:tblGrid>
      <w:tr w:rsidR="00D02439" w:rsidRPr="00623652" w:rsidTr="002A1154">
        <w:trPr>
          <w:trHeight w:val="536"/>
        </w:trPr>
        <w:tc>
          <w:tcPr>
            <w:tcW w:w="1936" w:type="dxa"/>
            <w:shd w:val="clear" w:color="auto" w:fill="C4BC96" w:themeFill="background2" w:themeFillShade="BF"/>
            <w:vAlign w:val="center"/>
          </w:tcPr>
          <w:p w:rsidR="00D02439" w:rsidRPr="00623652" w:rsidRDefault="00D02439" w:rsidP="004D446C">
            <w:pPr>
              <w:jc w:val="center"/>
            </w:pPr>
            <w:r w:rsidRPr="00623652">
              <w:t>Objective</w:t>
            </w:r>
          </w:p>
        </w:tc>
        <w:tc>
          <w:tcPr>
            <w:tcW w:w="6817" w:type="dxa"/>
            <w:shd w:val="clear" w:color="auto" w:fill="C4BC96" w:themeFill="background2" w:themeFillShade="BF"/>
            <w:vAlign w:val="center"/>
          </w:tcPr>
          <w:p w:rsidR="00D02439" w:rsidRPr="00623652" w:rsidRDefault="00D02439" w:rsidP="004D446C">
            <w:pPr>
              <w:jc w:val="center"/>
            </w:pPr>
            <w:r w:rsidRPr="00623652">
              <w:t>Activities</w:t>
            </w:r>
          </w:p>
        </w:tc>
        <w:tc>
          <w:tcPr>
            <w:tcW w:w="2232" w:type="dxa"/>
            <w:shd w:val="clear" w:color="auto" w:fill="C4BC96" w:themeFill="background2" w:themeFillShade="BF"/>
            <w:vAlign w:val="center"/>
          </w:tcPr>
          <w:p w:rsidR="00D02439" w:rsidRPr="00623652" w:rsidRDefault="00D02439" w:rsidP="002A1154">
            <w:pPr>
              <w:jc w:val="center"/>
            </w:pPr>
            <w:r>
              <w:t>Output</w:t>
            </w:r>
            <w:r w:rsidR="00DB4393">
              <w:t xml:space="preserve"> and lead agency</w:t>
            </w:r>
            <w:bookmarkStart w:id="0" w:name="_GoBack"/>
            <w:bookmarkEnd w:id="0"/>
          </w:p>
        </w:tc>
        <w:tc>
          <w:tcPr>
            <w:tcW w:w="2232" w:type="dxa"/>
            <w:shd w:val="clear" w:color="auto" w:fill="C4BC96" w:themeFill="background2" w:themeFillShade="BF"/>
            <w:vAlign w:val="center"/>
          </w:tcPr>
          <w:p w:rsidR="00D02439" w:rsidRPr="00623652" w:rsidRDefault="00D02439" w:rsidP="004D446C">
            <w:pPr>
              <w:jc w:val="center"/>
            </w:pPr>
            <w:r w:rsidRPr="00623652">
              <w:t>Agencies Commitm</w:t>
            </w:r>
            <w:r>
              <w:t xml:space="preserve">ent </w:t>
            </w:r>
          </w:p>
        </w:tc>
        <w:tc>
          <w:tcPr>
            <w:tcW w:w="6804" w:type="dxa"/>
            <w:shd w:val="clear" w:color="auto" w:fill="C4BC96" w:themeFill="background2" w:themeFillShade="BF"/>
            <w:vAlign w:val="center"/>
          </w:tcPr>
          <w:p w:rsidR="00D02439" w:rsidRPr="00623652" w:rsidRDefault="00D02439" w:rsidP="00080939">
            <w:pPr>
              <w:jc w:val="center"/>
            </w:pPr>
            <w:r w:rsidRPr="00623652">
              <w:t xml:space="preserve">Expected </w:t>
            </w:r>
            <w:r>
              <w:t>Product (Outcome)</w:t>
            </w:r>
          </w:p>
        </w:tc>
        <w:tc>
          <w:tcPr>
            <w:tcW w:w="2126" w:type="dxa"/>
            <w:shd w:val="clear" w:color="auto" w:fill="C4BC96" w:themeFill="background2" w:themeFillShade="BF"/>
            <w:vAlign w:val="center"/>
          </w:tcPr>
          <w:p w:rsidR="00D02439" w:rsidRPr="00623652" w:rsidRDefault="00D02439" w:rsidP="004D446C">
            <w:pPr>
              <w:jc w:val="center"/>
            </w:pPr>
            <w:r w:rsidRPr="00623652">
              <w:t xml:space="preserve">Time Frame </w:t>
            </w:r>
          </w:p>
        </w:tc>
      </w:tr>
      <w:tr w:rsidR="00D02439" w:rsidRPr="00623652" w:rsidTr="002A1154">
        <w:trPr>
          <w:trHeight w:val="1611"/>
        </w:trPr>
        <w:tc>
          <w:tcPr>
            <w:tcW w:w="1936" w:type="dxa"/>
            <w:vMerge w:val="restart"/>
            <w:shd w:val="clear" w:color="auto" w:fill="CCC0D9" w:themeFill="accent4" w:themeFillTint="66"/>
            <w:vAlign w:val="center"/>
          </w:tcPr>
          <w:p w:rsidR="00D02439" w:rsidRPr="00623652" w:rsidRDefault="00D02439" w:rsidP="004D446C">
            <w:pPr>
              <w:jc w:val="center"/>
            </w:pPr>
            <w:r>
              <w:t>1. Establish Common Understanding of what is required to strengthen the humanitarian development nexus</w:t>
            </w:r>
          </w:p>
        </w:tc>
        <w:tc>
          <w:tcPr>
            <w:tcW w:w="6817" w:type="dxa"/>
            <w:shd w:val="clear" w:color="auto" w:fill="auto"/>
            <w:vAlign w:val="center"/>
          </w:tcPr>
          <w:p w:rsidR="00D02439" w:rsidRDefault="00D02439" w:rsidP="004D446C"/>
          <w:p w:rsidR="00D02439" w:rsidRPr="00265132" w:rsidRDefault="00D02439" w:rsidP="004D446C">
            <w:pPr>
              <w:rPr>
                <w:i/>
                <w:iCs/>
                <w:color w:val="FF0000"/>
              </w:rPr>
            </w:pPr>
            <w:r>
              <w:t xml:space="preserve">1.1 Develop Criteria and Key definitions of HDN in protracted emergencies: </w:t>
            </w:r>
            <w:r>
              <w:rPr>
                <w:i/>
                <w:iCs/>
                <w:color w:val="FF0000"/>
              </w:rPr>
              <w:t xml:space="preserve">This activity will serve to establish and define a set of common criteria to analyse existing documents, guidance, and tools to ascertain to what extent they incorporate key HDN elements. </w:t>
            </w:r>
          </w:p>
          <w:p w:rsidR="00D02439" w:rsidRPr="00AB1271" w:rsidRDefault="00D02439" w:rsidP="00AB1271">
            <w:pPr>
              <w:jc w:val="right"/>
              <w:rPr>
                <w:b/>
                <w:bCs/>
              </w:rPr>
            </w:pPr>
          </w:p>
        </w:tc>
        <w:tc>
          <w:tcPr>
            <w:tcW w:w="2232" w:type="dxa"/>
          </w:tcPr>
          <w:p w:rsidR="002A1154" w:rsidRDefault="002A1154" w:rsidP="002A1154">
            <w:pPr>
              <w:rPr>
                <w:b/>
                <w:bCs/>
              </w:rPr>
            </w:pPr>
          </w:p>
          <w:p w:rsidR="002A1154" w:rsidRDefault="002A1154" w:rsidP="002A1154">
            <w:pPr>
              <w:rPr>
                <w:b/>
                <w:bCs/>
              </w:rPr>
            </w:pPr>
            <w:r>
              <w:rPr>
                <w:b/>
                <w:bCs/>
              </w:rPr>
              <w:t>HDN Criteria and definitions compendium</w:t>
            </w:r>
          </w:p>
          <w:p w:rsidR="002A1154" w:rsidRDefault="002A1154" w:rsidP="002A1154">
            <w:pPr>
              <w:rPr>
                <w:b/>
                <w:bCs/>
              </w:rPr>
            </w:pPr>
          </w:p>
          <w:p w:rsidR="00D02439" w:rsidRDefault="002A1154" w:rsidP="002A1154">
            <w:pPr>
              <w:rPr>
                <w:b/>
                <w:bCs/>
              </w:rPr>
            </w:pPr>
            <w:r>
              <w:rPr>
                <w:b/>
                <w:bCs/>
              </w:rPr>
              <w:t xml:space="preserve"> (L: OCHA)</w:t>
            </w:r>
          </w:p>
          <w:p w:rsidR="002A1154" w:rsidRDefault="002A1154" w:rsidP="002A1154"/>
        </w:tc>
        <w:tc>
          <w:tcPr>
            <w:tcW w:w="2232" w:type="dxa"/>
            <w:vAlign w:val="center"/>
          </w:tcPr>
          <w:p w:rsidR="00D02439" w:rsidRPr="00623652" w:rsidRDefault="00D02439" w:rsidP="004D446C">
            <w:r>
              <w:t>UNDP, WHO,</w:t>
            </w:r>
          </w:p>
        </w:tc>
        <w:tc>
          <w:tcPr>
            <w:tcW w:w="6804" w:type="dxa"/>
            <w:vMerge w:val="restart"/>
            <w:shd w:val="clear" w:color="auto" w:fill="F2DBDB" w:themeFill="accent2" w:themeFillTint="33"/>
            <w:vAlign w:val="center"/>
          </w:tcPr>
          <w:p w:rsidR="00D02439" w:rsidRDefault="00D02439" w:rsidP="004D446C">
            <w:pPr>
              <w:jc w:val="both"/>
              <w:rPr>
                <w:i/>
                <w:iCs/>
                <w:color w:val="FF0000"/>
              </w:rPr>
            </w:pPr>
            <w:r>
              <w:t xml:space="preserve">IASC Position Paper on Humanitarian-Development Nexus: </w:t>
            </w:r>
            <w:r>
              <w:rPr>
                <w:i/>
                <w:iCs/>
                <w:color w:val="FF0000"/>
              </w:rPr>
              <w:t>This product will incorporate the work from criteria and key definitions (1.1), and propose to scope the extent to which humanitarian actors can engage with the HDN nexus depending on context (1.2). (Q2 of 2017)</w:t>
            </w:r>
          </w:p>
          <w:p w:rsidR="00D02439" w:rsidRDefault="00D02439" w:rsidP="004D446C">
            <w:pPr>
              <w:jc w:val="both"/>
              <w:rPr>
                <w:i/>
                <w:iCs/>
                <w:color w:val="FF0000"/>
              </w:rPr>
            </w:pPr>
          </w:p>
          <w:p w:rsidR="00D02439" w:rsidRPr="00623652" w:rsidRDefault="00D02439" w:rsidP="00AB1271">
            <w:pPr>
              <w:jc w:val="both"/>
            </w:pPr>
            <w:r>
              <w:rPr>
                <w:i/>
                <w:iCs/>
                <w:color w:val="FF0000"/>
              </w:rPr>
              <w:t xml:space="preserve"> </w:t>
            </w:r>
            <w:r w:rsidRPr="00117269">
              <w:rPr>
                <w:i/>
                <w:iCs/>
              </w:rPr>
              <w:t>(</w:t>
            </w:r>
            <w:r>
              <w:rPr>
                <w:i/>
                <w:iCs/>
              </w:rPr>
              <w:t xml:space="preserve">drafting </w:t>
            </w:r>
            <w:r w:rsidRPr="00117269">
              <w:rPr>
                <w:i/>
                <w:iCs/>
              </w:rPr>
              <w:t xml:space="preserve">UNHCR,  </w:t>
            </w:r>
            <w:r>
              <w:rPr>
                <w:i/>
                <w:iCs/>
              </w:rPr>
              <w:t>xxx, led by: xxx)</w:t>
            </w:r>
          </w:p>
        </w:tc>
        <w:tc>
          <w:tcPr>
            <w:tcW w:w="2126" w:type="dxa"/>
            <w:shd w:val="clear" w:color="auto" w:fill="auto"/>
            <w:vAlign w:val="center"/>
          </w:tcPr>
          <w:p w:rsidR="00D02439" w:rsidRPr="00623652" w:rsidRDefault="00D02439" w:rsidP="004D446C">
            <w:r>
              <w:t>End of Q4 2016</w:t>
            </w:r>
          </w:p>
        </w:tc>
      </w:tr>
      <w:tr w:rsidR="00D02439" w:rsidRPr="00623652" w:rsidTr="002A1154">
        <w:trPr>
          <w:trHeight w:val="1611"/>
        </w:trPr>
        <w:tc>
          <w:tcPr>
            <w:tcW w:w="1936" w:type="dxa"/>
            <w:vMerge/>
            <w:shd w:val="clear" w:color="auto" w:fill="CCC0D9" w:themeFill="accent4" w:themeFillTint="66"/>
            <w:vAlign w:val="center"/>
          </w:tcPr>
          <w:p w:rsidR="00D02439" w:rsidRDefault="00D02439" w:rsidP="004D446C">
            <w:pPr>
              <w:jc w:val="center"/>
            </w:pPr>
          </w:p>
        </w:tc>
        <w:tc>
          <w:tcPr>
            <w:tcW w:w="6817" w:type="dxa"/>
            <w:shd w:val="clear" w:color="auto" w:fill="auto"/>
            <w:vAlign w:val="center"/>
          </w:tcPr>
          <w:p w:rsidR="00D02439" w:rsidRDefault="00D02439" w:rsidP="004D446C"/>
          <w:p w:rsidR="00D02439" w:rsidRDefault="00D02439" w:rsidP="004D446C">
            <w:pPr>
              <w:rPr>
                <w:i/>
                <w:iCs/>
                <w:color w:val="FF0000"/>
              </w:rPr>
            </w:pPr>
            <w:r>
              <w:t xml:space="preserve">1.2 Develop Typologies of Response Scenarios: </w:t>
            </w:r>
            <w:r>
              <w:rPr>
                <w:i/>
                <w:iCs/>
                <w:color w:val="FF0000"/>
              </w:rPr>
              <w:t>Acknowledging that the full extent of collaboration with development and government partners cannot be achieve in all stations. This activity will aim to develop a typology of response scenarios based on the work done by the HDAG</w:t>
            </w:r>
          </w:p>
          <w:p w:rsidR="00D02439" w:rsidRDefault="00D02439" w:rsidP="00AB1271">
            <w:pPr>
              <w:jc w:val="right"/>
              <w:rPr>
                <w:b/>
                <w:bCs/>
              </w:rPr>
            </w:pPr>
          </w:p>
          <w:p w:rsidR="00D02439" w:rsidRPr="00AB1271" w:rsidRDefault="00D02439" w:rsidP="00AB1271">
            <w:pPr>
              <w:jc w:val="right"/>
              <w:rPr>
                <w:b/>
                <w:bCs/>
                <w:color w:val="FF0000"/>
              </w:rPr>
            </w:pPr>
          </w:p>
        </w:tc>
        <w:tc>
          <w:tcPr>
            <w:tcW w:w="2232" w:type="dxa"/>
          </w:tcPr>
          <w:p w:rsidR="002A1154" w:rsidRDefault="002A1154" w:rsidP="002A1154">
            <w:pPr>
              <w:rPr>
                <w:b/>
                <w:bCs/>
              </w:rPr>
            </w:pPr>
          </w:p>
          <w:p w:rsidR="002A1154" w:rsidRDefault="002A1154" w:rsidP="002A1154">
            <w:pPr>
              <w:rPr>
                <w:b/>
                <w:bCs/>
              </w:rPr>
            </w:pPr>
            <w:r w:rsidRPr="00AB1271">
              <w:rPr>
                <w:b/>
                <w:bCs/>
              </w:rPr>
              <w:t>Typologies of Scenario Paper</w:t>
            </w:r>
          </w:p>
          <w:p w:rsidR="002A1154" w:rsidRDefault="002A1154" w:rsidP="002A1154">
            <w:pPr>
              <w:rPr>
                <w:b/>
                <w:bCs/>
              </w:rPr>
            </w:pPr>
          </w:p>
          <w:p w:rsidR="00D02439" w:rsidRDefault="002A1154" w:rsidP="002A1154">
            <w:r>
              <w:rPr>
                <w:b/>
                <w:bCs/>
              </w:rPr>
              <w:t xml:space="preserve"> (L: UNDP ERC)</w:t>
            </w:r>
          </w:p>
        </w:tc>
        <w:tc>
          <w:tcPr>
            <w:tcW w:w="2232" w:type="dxa"/>
            <w:vAlign w:val="center"/>
          </w:tcPr>
          <w:p w:rsidR="00D02439" w:rsidRPr="00623652" w:rsidRDefault="00D02439" w:rsidP="004D446C">
            <w:r>
              <w:t xml:space="preserve">WHO, IOM, </w:t>
            </w:r>
          </w:p>
        </w:tc>
        <w:tc>
          <w:tcPr>
            <w:tcW w:w="6804" w:type="dxa"/>
            <w:vMerge/>
            <w:shd w:val="clear" w:color="auto" w:fill="F2DBDB" w:themeFill="accent2" w:themeFillTint="33"/>
            <w:vAlign w:val="center"/>
          </w:tcPr>
          <w:p w:rsidR="00D02439" w:rsidRPr="00623652" w:rsidRDefault="00D02439" w:rsidP="004D446C"/>
        </w:tc>
        <w:tc>
          <w:tcPr>
            <w:tcW w:w="2126" w:type="dxa"/>
            <w:shd w:val="clear" w:color="auto" w:fill="auto"/>
            <w:vAlign w:val="center"/>
          </w:tcPr>
          <w:p w:rsidR="00D02439" w:rsidRPr="00623652" w:rsidRDefault="00D02439" w:rsidP="004D446C">
            <w:r>
              <w:t>End of Q4 2016</w:t>
            </w:r>
          </w:p>
        </w:tc>
      </w:tr>
      <w:tr w:rsidR="00D02439" w:rsidRPr="00623652" w:rsidTr="002A1154">
        <w:trPr>
          <w:trHeight w:val="946"/>
        </w:trPr>
        <w:tc>
          <w:tcPr>
            <w:tcW w:w="1936" w:type="dxa"/>
            <w:vMerge/>
            <w:shd w:val="clear" w:color="auto" w:fill="CCC0D9" w:themeFill="accent4" w:themeFillTint="66"/>
            <w:vAlign w:val="center"/>
          </w:tcPr>
          <w:p w:rsidR="00D02439" w:rsidRDefault="00D02439" w:rsidP="004D446C">
            <w:pPr>
              <w:jc w:val="center"/>
            </w:pPr>
          </w:p>
        </w:tc>
        <w:tc>
          <w:tcPr>
            <w:tcW w:w="6817" w:type="dxa"/>
            <w:shd w:val="clear" w:color="auto" w:fill="auto"/>
            <w:vAlign w:val="center"/>
          </w:tcPr>
          <w:p w:rsidR="00D02439" w:rsidRDefault="00D02439" w:rsidP="004D446C"/>
          <w:p w:rsidR="00D02439" w:rsidRDefault="00D02439" w:rsidP="004D446C"/>
          <w:p w:rsidR="00D02439" w:rsidRPr="00265132" w:rsidRDefault="00D02439" w:rsidP="004D446C">
            <w:pPr>
              <w:rPr>
                <w:i/>
                <w:iCs/>
                <w:color w:val="FF0000"/>
              </w:rPr>
            </w:pPr>
            <w:r>
              <w:t xml:space="preserve">1.3 Joint Retreat with WG on Transitions: </w:t>
            </w:r>
            <w:r>
              <w:rPr>
                <w:i/>
                <w:iCs/>
                <w:color w:val="FF0000"/>
              </w:rPr>
              <w:t>3 or 4 joint workshops where work plans will be harmonized, and output validated. The first will establish common working methods, and provide initial substantive ideas on how peace-development and humanitarian actors can collective engage in processes related to planning and analysis. (October 2016)</w:t>
            </w:r>
          </w:p>
          <w:p w:rsidR="00D02439" w:rsidRDefault="00D02439" w:rsidP="00AB1271">
            <w:pPr>
              <w:jc w:val="right"/>
              <w:rPr>
                <w:b/>
                <w:bCs/>
              </w:rPr>
            </w:pPr>
          </w:p>
          <w:p w:rsidR="00D02439" w:rsidRDefault="00D02439" w:rsidP="002A1154">
            <w:pPr>
              <w:jc w:val="right"/>
            </w:pPr>
          </w:p>
        </w:tc>
        <w:tc>
          <w:tcPr>
            <w:tcW w:w="2232" w:type="dxa"/>
          </w:tcPr>
          <w:p w:rsidR="002A1154" w:rsidRDefault="002A1154" w:rsidP="002A1154">
            <w:pPr>
              <w:rPr>
                <w:b/>
                <w:bCs/>
              </w:rPr>
            </w:pPr>
          </w:p>
          <w:p w:rsidR="002A1154" w:rsidRDefault="002A1154" w:rsidP="002A1154">
            <w:pPr>
              <w:rPr>
                <w:b/>
                <w:bCs/>
              </w:rPr>
            </w:pPr>
          </w:p>
          <w:p w:rsidR="002A1154" w:rsidRDefault="002A1154" w:rsidP="002A1154">
            <w:pPr>
              <w:ind w:right="440"/>
              <w:rPr>
                <w:b/>
                <w:bCs/>
              </w:rPr>
            </w:pPr>
            <w:r>
              <w:rPr>
                <w:b/>
                <w:bCs/>
              </w:rPr>
              <w:t>Workshop Outcomes and Decisions</w:t>
            </w:r>
          </w:p>
          <w:p w:rsidR="002A1154" w:rsidRDefault="002A1154" w:rsidP="002A1154">
            <w:pPr>
              <w:ind w:right="440"/>
              <w:rPr>
                <w:b/>
                <w:bCs/>
              </w:rPr>
            </w:pPr>
          </w:p>
          <w:p w:rsidR="002A1154" w:rsidRDefault="002A1154" w:rsidP="002A1154">
            <w:pPr>
              <w:ind w:right="440"/>
            </w:pPr>
            <w:r>
              <w:rPr>
                <w:b/>
                <w:bCs/>
              </w:rPr>
              <w:t xml:space="preserve"> (L: TT and WGT co-chairs)</w:t>
            </w:r>
          </w:p>
          <w:p w:rsidR="00D02439" w:rsidRDefault="00D02439" w:rsidP="002A1154"/>
        </w:tc>
        <w:tc>
          <w:tcPr>
            <w:tcW w:w="2232" w:type="dxa"/>
            <w:vAlign w:val="center"/>
          </w:tcPr>
          <w:p w:rsidR="00D02439" w:rsidRPr="00623652" w:rsidRDefault="00D02439" w:rsidP="004D446C">
            <w:r>
              <w:t>Planning Group: (DOCO, EOSG’s Analysis and Planning Capacity, FAO, OCHA, PBSO, UNDP, UNICEF, WFP, WHO)</w:t>
            </w:r>
          </w:p>
        </w:tc>
        <w:tc>
          <w:tcPr>
            <w:tcW w:w="6804" w:type="dxa"/>
            <w:vMerge w:val="restart"/>
            <w:shd w:val="clear" w:color="auto" w:fill="E5DFEC" w:themeFill="accent4" w:themeFillTint="33"/>
            <w:vAlign w:val="center"/>
          </w:tcPr>
          <w:p w:rsidR="00D02439" w:rsidRPr="003308FC" w:rsidRDefault="00D02439" w:rsidP="00AB1271">
            <w:pPr>
              <w:jc w:val="both"/>
              <w:rPr>
                <w:i/>
                <w:iCs/>
                <w:color w:val="FF0000"/>
              </w:rPr>
            </w:pPr>
            <w:r>
              <w:t xml:space="preserve">Joint IASC-UNDG Roadmap for Collective Engagement in Humanitarian Development Nexus. </w:t>
            </w:r>
            <w:r>
              <w:rPr>
                <w:i/>
                <w:iCs/>
                <w:color w:val="FF0000"/>
              </w:rPr>
              <w:t>This output will build on the outcome of the first joint retreat with the WGT (1.3) and joint work planning to establish a common understanding (1.4) of working relationship with development actors in protracted settings. It will also answer the call from the IASC WG to elaborate a new way of working/new business model. This will establish How we jointly work on the ground. (Q3 2017)</w:t>
            </w:r>
          </w:p>
          <w:p w:rsidR="00D02439" w:rsidRDefault="00D02439" w:rsidP="004D446C">
            <w:pPr>
              <w:rPr>
                <w:i/>
                <w:iCs/>
              </w:rPr>
            </w:pPr>
          </w:p>
          <w:p w:rsidR="00D02439" w:rsidRPr="00623652" w:rsidRDefault="00D02439" w:rsidP="004D446C">
            <w:r w:rsidRPr="00117269">
              <w:rPr>
                <w:i/>
                <w:iCs/>
              </w:rPr>
              <w:t>(</w:t>
            </w:r>
            <w:r>
              <w:rPr>
                <w:i/>
                <w:iCs/>
              </w:rPr>
              <w:t>drafting team:</w:t>
            </w:r>
            <w:r w:rsidRPr="00117269">
              <w:rPr>
                <w:i/>
                <w:iCs/>
              </w:rPr>
              <w:t xml:space="preserve">  </w:t>
            </w:r>
            <w:r>
              <w:rPr>
                <w:i/>
                <w:iCs/>
              </w:rPr>
              <w:t>UNHCR, WHO, Early Recovery Cluster, Led by: xxx</w:t>
            </w:r>
          </w:p>
        </w:tc>
        <w:tc>
          <w:tcPr>
            <w:tcW w:w="2126" w:type="dxa"/>
            <w:shd w:val="clear" w:color="auto" w:fill="auto"/>
            <w:vAlign w:val="center"/>
          </w:tcPr>
          <w:p w:rsidR="00D02439" w:rsidRPr="00623652" w:rsidRDefault="00D02439" w:rsidP="004D446C">
            <w:r>
              <w:t>End of Q4 2016</w:t>
            </w:r>
          </w:p>
        </w:tc>
      </w:tr>
      <w:tr w:rsidR="00D02439" w:rsidRPr="00623652" w:rsidTr="002A1154">
        <w:trPr>
          <w:trHeight w:val="644"/>
        </w:trPr>
        <w:tc>
          <w:tcPr>
            <w:tcW w:w="1936" w:type="dxa"/>
            <w:vMerge/>
            <w:shd w:val="clear" w:color="auto" w:fill="CCC0D9" w:themeFill="accent4" w:themeFillTint="66"/>
            <w:vAlign w:val="center"/>
          </w:tcPr>
          <w:p w:rsidR="00D02439" w:rsidRDefault="00D02439" w:rsidP="004D446C">
            <w:pPr>
              <w:jc w:val="center"/>
            </w:pPr>
          </w:p>
        </w:tc>
        <w:tc>
          <w:tcPr>
            <w:tcW w:w="6817" w:type="dxa"/>
            <w:shd w:val="clear" w:color="auto" w:fill="auto"/>
            <w:vAlign w:val="center"/>
          </w:tcPr>
          <w:p w:rsidR="00D02439" w:rsidRDefault="00D02439" w:rsidP="004D446C"/>
          <w:p w:rsidR="00D02439" w:rsidRDefault="00D02439" w:rsidP="004D446C"/>
          <w:p w:rsidR="00D02439" w:rsidRDefault="00D02439" w:rsidP="004D446C">
            <w:pPr>
              <w:rPr>
                <w:b/>
                <w:bCs/>
              </w:rPr>
            </w:pPr>
            <w:r>
              <w:t xml:space="preserve">1.4 Mapping of Existing Operational and Guidance Documents: </w:t>
            </w:r>
            <w:r>
              <w:rPr>
                <w:i/>
                <w:iCs/>
                <w:color w:val="FF0000"/>
              </w:rPr>
              <w:t xml:space="preserve">Establish and maintain a living document showing progress, workstreams, outputs from the UN system and beyond related to humanitarian develop nexus. This will be refined by the retreat (1.3). </w:t>
            </w:r>
            <w:r w:rsidRPr="00AB1271">
              <w:rPr>
                <w:b/>
                <w:bCs/>
              </w:rPr>
              <w:t xml:space="preserve"> </w:t>
            </w:r>
          </w:p>
          <w:p w:rsidR="00D02439" w:rsidRDefault="00D02439" w:rsidP="004D446C">
            <w:pPr>
              <w:rPr>
                <w:b/>
                <w:bCs/>
              </w:rPr>
            </w:pPr>
          </w:p>
          <w:p w:rsidR="00D02439" w:rsidRDefault="00D02439" w:rsidP="00080939">
            <w:pPr>
              <w:jc w:val="right"/>
              <w:rPr>
                <w:b/>
                <w:bCs/>
              </w:rPr>
            </w:pPr>
          </w:p>
          <w:p w:rsidR="00D02439" w:rsidRDefault="00D02439" w:rsidP="00080939">
            <w:pPr>
              <w:jc w:val="right"/>
              <w:rPr>
                <w:b/>
                <w:bCs/>
              </w:rPr>
            </w:pPr>
          </w:p>
          <w:p w:rsidR="00D02439" w:rsidRDefault="00D02439" w:rsidP="00080939">
            <w:pPr>
              <w:jc w:val="right"/>
              <w:rPr>
                <w:b/>
                <w:bCs/>
              </w:rPr>
            </w:pPr>
          </w:p>
          <w:p w:rsidR="00D02439" w:rsidRDefault="00D02439" w:rsidP="00080939">
            <w:pPr>
              <w:jc w:val="right"/>
              <w:rPr>
                <w:b/>
                <w:bCs/>
              </w:rPr>
            </w:pPr>
          </w:p>
          <w:p w:rsidR="00D02439" w:rsidRDefault="00D02439" w:rsidP="00080939">
            <w:pPr>
              <w:jc w:val="right"/>
              <w:rPr>
                <w:b/>
                <w:bCs/>
              </w:rPr>
            </w:pPr>
          </w:p>
          <w:p w:rsidR="00D02439" w:rsidRDefault="00D02439" w:rsidP="00080939">
            <w:pPr>
              <w:jc w:val="right"/>
              <w:rPr>
                <w:b/>
                <w:bCs/>
              </w:rPr>
            </w:pPr>
          </w:p>
          <w:p w:rsidR="00D02439" w:rsidRPr="00080939" w:rsidRDefault="00D02439" w:rsidP="00080939">
            <w:pPr>
              <w:jc w:val="right"/>
              <w:rPr>
                <w:b/>
                <w:bCs/>
              </w:rPr>
            </w:pPr>
          </w:p>
          <w:p w:rsidR="00D02439" w:rsidRDefault="00D02439" w:rsidP="004D446C"/>
          <w:p w:rsidR="00D02439" w:rsidRDefault="00D02439" w:rsidP="004D446C"/>
        </w:tc>
        <w:tc>
          <w:tcPr>
            <w:tcW w:w="2232" w:type="dxa"/>
          </w:tcPr>
          <w:p w:rsidR="002A1154" w:rsidRDefault="002A1154" w:rsidP="002A1154">
            <w:pPr>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r w:rsidRPr="00080939">
              <w:rPr>
                <w:b/>
                <w:bCs/>
              </w:rPr>
              <w:t>This will also be an output in its own right</w:t>
            </w:r>
            <w:r>
              <w:rPr>
                <w:b/>
                <w:bCs/>
              </w:rPr>
              <w:t xml:space="preserve"> </w:t>
            </w:r>
          </w:p>
          <w:p w:rsidR="002A1154" w:rsidRDefault="002A1154" w:rsidP="002A1154">
            <w:pPr>
              <w:ind w:right="440"/>
              <w:rPr>
                <w:b/>
                <w:bCs/>
              </w:rPr>
            </w:pPr>
          </w:p>
          <w:p w:rsidR="002A1154" w:rsidRDefault="002A1154" w:rsidP="002A1154">
            <w:pPr>
              <w:ind w:right="440"/>
              <w:rPr>
                <w:b/>
                <w:bCs/>
              </w:rPr>
            </w:pPr>
            <w:r>
              <w:rPr>
                <w:b/>
                <w:bCs/>
              </w:rPr>
              <w:t>(L: HDN TT co-chairs)</w:t>
            </w:r>
            <w:r w:rsidRPr="00080939">
              <w:rPr>
                <w:b/>
                <w:bCs/>
              </w:rPr>
              <w:t>.</w:t>
            </w: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D02439" w:rsidRDefault="00D02439" w:rsidP="002A1154"/>
        </w:tc>
        <w:tc>
          <w:tcPr>
            <w:tcW w:w="2232" w:type="dxa"/>
            <w:vAlign w:val="center"/>
          </w:tcPr>
          <w:p w:rsidR="00D02439" w:rsidRPr="00623652" w:rsidRDefault="00D02439" w:rsidP="004D446C">
            <w:r>
              <w:t>All Agencies, UNDP + WHO to consolidate and maintain live document</w:t>
            </w:r>
          </w:p>
        </w:tc>
        <w:tc>
          <w:tcPr>
            <w:tcW w:w="6804" w:type="dxa"/>
            <w:vMerge/>
            <w:shd w:val="clear" w:color="auto" w:fill="E5DFEC" w:themeFill="accent4" w:themeFillTint="33"/>
            <w:vAlign w:val="center"/>
          </w:tcPr>
          <w:p w:rsidR="00D02439" w:rsidRPr="00623652" w:rsidRDefault="00D02439" w:rsidP="004D446C"/>
        </w:tc>
        <w:tc>
          <w:tcPr>
            <w:tcW w:w="2126" w:type="dxa"/>
            <w:shd w:val="clear" w:color="auto" w:fill="auto"/>
            <w:vAlign w:val="center"/>
          </w:tcPr>
          <w:p w:rsidR="00D02439" w:rsidRPr="00623652" w:rsidRDefault="00D02439" w:rsidP="004D446C">
            <w:r>
              <w:t>Living document</w:t>
            </w:r>
          </w:p>
        </w:tc>
      </w:tr>
      <w:tr w:rsidR="00D02439" w:rsidRPr="00623652" w:rsidTr="002A1154">
        <w:trPr>
          <w:trHeight w:val="1153"/>
        </w:trPr>
        <w:tc>
          <w:tcPr>
            <w:tcW w:w="1936" w:type="dxa"/>
            <w:vMerge w:val="restart"/>
            <w:shd w:val="clear" w:color="auto" w:fill="D6E3BC" w:themeFill="accent3" w:themeFillTint="66"/>
            <w:vAlign w:val="center"/>
          </w:tcPr>
          <w:p w:rsidR="00D02439" w:rsidRDefault="00D02439" w:rsidP="00080939">
            <w:pPr>
              <w:jc w:val="center"/>
            </w:pPr>
            <w:r>
              <w:lastRenderedPageBreak/>
              <w:t>2. Review and Assess current Policy, Guidance and operational tools based on common understanding (1) to identify gaps and best practices.</w:t>
            </w:r>
          </w:p>
        </w:tc>
        <w:tc>
          <w:tcPr>
            <w:tcW w:w="6817" w:type="dxa"/>
            <w:shd w:val="clear" w:color="auto" w:fill="auto"/>
            <w:vAlign w:val="center"/>
          </w:tcPr>
          <w:p w:rsidR="00D02439" w:rsidRDefault="00D02439" w:rsidP="004D446C"/>
          <w:p w:rsidR="00D02439" w:rsidRPr="00261EE7" w:rsidRDefault="00D02439" w:rsidP="004D446C">
            <w:pPr>
              <w:rPr>
                <w:i/>
                <w:iCs/>
                <w:color w:val="FF0000"/>
              </w:rPr>
            </w:pPr>
            <w:r>
              <w:t xml:space="preserve">2.1 Conduct lessons Learned Exercise from the field: </w:t>
            </w:r>
            <w:r>
              <w:rPr>
                <w:i/>
                <w:iCs/>
                <w:color w:val="FF0000"/>
              </w:rPr>
              <w:t>HDN TT will identify 3 or 4 current operations that have demonstrated advances in HDN thinking/programming. The LLE will aim to capture best practices, challenges, bottlenecks, and successes.</w:t>
            </w:r>
          </w:p>
          <w:p w:rsidR="00D02439" w:rsidRDefault="00D02439" w:rsidP="004D446C"/>
          <w:p w:rsidR="00D02439" w:rsidRDefault="00D02439" w:rsidP="002A1154">
            <w:pPr>
              <w:jc w:val="right"/>
            </w:pPr>
          </w:p>
        </w:tc>
        <w:tc>
          <w:tcPr>
            <w:tcW w:w="2232" w:type="dxa"/>
          </w:tcPr>
          <w:p w:rsidR="002A1154" w:rsidRDefault="002A1154" w:rsidP="002A1154">
            <w:pPr>
              <w:rPr>
                <w:b/>
                <w:bCs/>
              </w:rPr>
            </w:pPr>
            <w:r w:rsidRPr="00AB1271">
              <w:rPr>
                <w:b/>
                <w:bCs/>
              </w:rPr>
              <w:t xml:space="preserve">Output: </w:t>
            </w:r>
            <w:r>
              <w:rPr>
                <w:b/>
                <w:bCs/>
              </w:rPr>
              <w:t>Stand-alone country-focused LL reports</w:t>
            </w:r>
          </w:p>
          <w:p w:rsidR="002A1154" w:rsidRDefault="002A1154" w:rsidP="002A1154">
            <w:pPr>
              <w:rPr>
                <w:b/>
                <w:bCs/>
              </w:rPr>
            </w:pPr>
          </w:p>
          <w:p w:rsidR="002A1154" w:rsidRDefault="002A1154" w:rsidP="002A1154">
            <w:r>
              <w:rPr>
                <w:b/>
                <w:bCs/>
              </w:rPr>
              <w:t xml:space="preserve"> (L: Co-chairs, to consolidate input field practitioners)</w:t>
            </w:r>
          </w:p>
          <w:p w:rsidR="00D02439" w:rsidRDefault="00D02439" w:rsidP="002A1154"/>
        </w:tc>
        <w:tc>
          <w:tcPr>
            <w:tcW w:w="2232" w:type="dxa"/>
            <w:vAlign w:val="center"/>
          </w:tcPr>
          <w:p w:rsidR="00D02439" w:rsidRPr="00623652" w:rsidRDefault="00D02439" w:rsidP="004D446C">
            <w:r>
              <w:t>WGT, WHO, UNDP, DOCO, PBSO</w:t>
            </w:r>
          </w:p>
        </w:tc>
        <w:tc>
          <w:tcPr>
            <w:tcW w:w="6804" w:type="dxa"/>
            <w:vMerge w:val="restart"/>
            <w:shd w:val="clear" w:color="auto" w:fill="EAF1DD" w:themeFill="accent3" w:themeFillTint="33"/>
            <w:vAlign w:val="center"/>
          </w:tcPr>
          <w:p w:rsidR="00D02439" w:rsidRDefault="00D02439" w:rsidP="004D446C">
            <w:pPr>
              <w:jc w:val="both"/>
              <w:rPr>
                <w:i/>
                <w:iCs/>
                <w:color w:val="FF0000"/>
              </w:rPr>
            </w:pPr>
            <w:r>
              <w:t xml:space="preserve">IASC Compendium of Best Practices Report on Humanitarian and Development Nexus: </w:t>
            </w:r>
            <w:r>
              <w:rPr>
                <w:i/>
                <w:iCs/>
                <w:color w:val="FF0000"/>
              </w:rPr>
              <w:t xml:space="preserve">This will include the findings of the LLE (2.1), field perspectives drawn from the joint IASC-UNDG retreat (1.3), mapping of ongoing pilots (2.3), and the Global Survey of field practitioners (2.2). It may include a checklist of field level (focusing on NGOs) activities to ensure engagement with the HDN (Q3 2017). </w:t>
            </w:r>
          </w:p>
          <w:p w:rsidR="00D02439" w:rsidRDefault="00D02439" w:rsidP="004D446C">
            <w:pPr>
              <w:jc w:val="both"/>
              <w:rPr>
                <w:i/>
                <w:iCs/>
              </w:rPr>
            </w:pPr>
            <w:r w:rsidRPr="00117269">
              <w:rPr>
                <w:i/>
                <w:iCs/>
              </w:rPr>
              <w:t>(drafting tea</w:t>
            </w:r>
          </w:p>
          <w:p w:rsidR="00D02439" w:rsidRPr="00265132" w:rsidRDefault="00D02439" w:rsidP="004D446C">
            <w:pPr>
              <w:jc w:val="both"/>
              <w:rPr>
                <w:i/>
                <w:iCs/>
                <w:color w:val="FF0000"/>
              </w:rPr>
            </w:pPr>
            <w:r>
              <w:rPr>
                <w:i/>
                <w:iCs/>
              </w:rPr>
              <w:t>0ukj</w:t>
            </w:r>
            <w:r w:rsidRPr="00117269">
              <w:rPr>
                <w:i/>
                <w:iCs/>
              </w:rPr>
              <w:t xml:space="preserve">m: </w:t>
            </w:r>
            <w:r>
              <w:rPr>
                <w:i/>
                <w:iCs/>
              </w:rPr>
              <w:t>ICVA</w:t>
            </w:r>
            <w:r w:rsidRPr="00117269">
              <w:rPr>
                <w:i/>
                <w:iCs/>
              </w:rPr>
              <w:t>,</w:t>
            </w:r>
            <w:r>
              <w:rPr>
                <w:i/>
                <w:iCs/>
              </w:rPr>
              <w:t xml:space="preserve"> IOM</w:t>
            </w:r>
            <w:r w:rsidRPr="00117269">
              <w:rPr>
                <w:i/>
                <w:iCs/>
              </w:rPr>
              <w:t xml:space="preserve"> </w:t>
            </w:r>
            <w:r>
              <w:rPr>
                <w:i/>
                <w:iCs/>
              </w:rPr>
              <w:t>, xxx, Led by: xxx)</w:t>
            </w:r>
          </w:p>
        </w:tc>
        <w:tc>
          <w:tcPr>
            <w:tcW w:w="2126" w:type="dxa"/>
            <w:shd w:val="clear" w:color="auto" w:fill="auto"/>
            <w:vAlign w:val="center"/>
          </w:tcPr>
          <w:p w:rsidR="00D02439" w:rsidRPr="00623652" w:rsidRDefault="00D02439" w:rsidP="004D446C">
            <w:r>
              <w:t>Q1-Q4 2017</w:t>
            </w:r>
          </w:p>
        </w:tc>
      </w:tr>
      <w:tr w:rsidR="00D02439" w:rsidRPr="00623652" w:rsidTr="002A1154">
        <w:trPr>
          <w:trHeight w:val="1611"/>
        </w:trPr>
        <w:tc>
          <w:tcPr>
            <w:tcW w:w="1936" w:type="dxa"/>
            <w:vMerge/>
            <w:shd w:val="clear" w:color="auto" w:fill="D6E3BC" w:themeFill="accent3" w:themeFillTint="66"/>
            <w:vAlign w:val="center"/>
          </w:tcPr>
          <w:p w:rsidR="00D02439" w:rsidRDefault="00D02439" w:rsidP="004D446C">
            <w:pPr>
              <w:jc w:val="center"/>
            </w:pPr>
          </w:p>
        </w:tc>
        <w:tc>
          <w:tcPr>
            <w:tcW w:w="6817" w:type="dxa"/>
            <w:shd w:val="clear" w:color="auto" w:fill="auto"/>
            <w:vAlign w:val="center"/>
          </w:tcPr>
          <w:p w:rsidR="00D02439" w:rsidRDefault="00D02439" w:rsidP="004D446C">
            <w:pPr>
              <w:rPr>
                <w:i/>
                <w:iCs/>
                <w:color w:val="FF0000"/>
              </w:rPr>
            </w:pPr>
            <w:r>
              <w:t xml:space="preserve">2.2 Global Survey of field practitioners: </w:t>
            </w:r>
            <w:r>
              <w:rPr>
                <w:i/>
                <w:iCs/>
                <w:color w:val="FF0000"/>
              </w:rPr>
              <w:t>Building on initial outcomes from joint retreats, and anecdotal evidence from HDN TT, this activity will include the designing, dissemination, and analysis of a wide global survey of field practitioners to understand the challenges and opportunities related to jointly working with development, peace, and other actors in the nexus.</w:t>
            </w:r>
          </w:p>
          <w:p w:rsidR="00D02439" w:rsidRDefault="00D02439" w:rsidP="004D446C">
            <w:pPr>
              <w:rPr>
                <w:i/>
                <w:iCs/>
                <w:color w:val="FF0000"/>
              </w:rPr>
            </w:pPr>
          </w:p>
          <w:p w:rsidR="00D02439" w:rsidRPr="00261EE7" w:rsidRDefault="00D02439" w:rsidP="002A1154">
            <w:pPr>
              <w:jc w:val="right"/>
              <w:rPr>
                <w:i/>
                <w:iCs/>
                <w:color w:val="FF0000"/>
              </w:rPr>
            </w:pPr>
          </w:p>
        </w:tc>
        <w:tc>
          <w:tcPr>
            <w:tcW w:w="2232" w:type="dxa"/>
          </w:tcPr>
          <w:p w:rsidR="002A1154" w:rsidRDefault="002A1154" w:rsidP="002A1154">
            <w:pPr>
              <w:ind w:right="440"/>
              <w:rPr>
                <w:b/>
                <w:bCs/>
              </w:rPr>
            </w:pPr>
          </w:p>
          <w:p w:rsidR="002A1154" w:rsidRDefault="002A1154" w:rsidP="002A1154">
            <w:pPr>
              <w:ind w:right="440"/>
              <w:rPr>
                <w:b/>
                <w:bCs/>
              </w:rPr>
            </w:pPr>
            <w:r>
              <w:rPr>
                <w:b/>
                <w:bCs/>
              </w:rPr>
              <w:t xml:space="preserve">Survey Report </w:t>
            </w: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pPr>
            <w:r>
              <w:rPr>
                <w:b/>
                <w:bCs/>
              </w:rPr>
              <w:t>(L: xxx )</w:t>
            </w:r>
          </w:p>
          <w:p w:rsidR="00D02439" w:rsidRDefault="00D02439" w:rsidP="002A1154"/>
        </w:tc>
        <w:tc>
          <w:tcPr>
            <w:tcW w:w="2232" w:type="dxa"/>
            <w:vAlign w:val="center"/>
          </w:tcPr>
          <w:p w:rsidR="00D02439" w:rsidRPr="00623652" w:rsidRDefault="00D02439" w:rsidP="004D446C">
            <w:r>
              <w:t>ICVA</w:t>
            </w:r>
            <w:r>
              <w:rPr>
                <w:rStyle w:val="FootnoteReference"/>
              </w:rPr>
              <w:footnoteReference w:id="2"/>
            </w:r>
            <w:r>
              <w:t>, InterAction, IOM, OCHA</w:t>
            </w:r>
          </w:p>
        </w:tc>
        <w:tc>
          <w:tcPr>
            <w:tcW w:w="6804" w:type="dxa"/>
            <w:vMerge/>
            <w:shd w:val="clear" w:color="auto" w:fill="EAF1DD" w:themeFill="accent3" w:themeFillTint="33"/>
            <w:vAlign w:val="center"/>
          </w:tcPr>
          <w:p w:rsidR="00D02439" w:rsidRPr="00623652" w:rsidRDefault="00D02439" w:rsidP="004D446C"/>
        </w:tc>
        <w:tc>
          <w:tcPr>
            <w:tcW w:w="2126" w:type="dxa"/>
            <w:shd w:val="clear" w:color="auto" w:fill="auto"/>
            <w:vAlign w:val="center"/>
          </w:tcPr>
          <w:p w:rsidR="00D02439" w:rsidRPr="00623652" w:rsidRDefault="00D02439" w:rsidP="004D446C">
            <w:r>
              <w:t>Q1-Q4 2017</w:t>
            </w:r>
          </w:p>
        </w:tc>
      </w:tr>
      <w:tr w:rsidR="00D02439" w:rsidRPr="00623652" w:rsidTr="002A1154">
        <w:trPr>
          <w:trHeight w:val="3239"/>
        </w:trPr>
        <w:tc>
          <w:tcPr>
            <w:tcW w:w="1936" w:type="dxa"/>
            <w:vMerge/>
            <w:shd w:val="clear" w:color="auto" w:fill="D6E3BC" w:themeFill="accent3" w:themeFillTint="66"/>
            <w:vAlign w:val="center"/>
          </w:tcPr>
          <w:p w:rsidR="00D02439" w:rsidRDefault="00D02439" w:rsidP="004D446C">
            <w:pPr>
              <w:jc w:val="center"/>
            </w:pPr>
          </w:p>
        </w:tc>
        <w:tc>
          <w:tcPr>
            <w:tcW w:w="6817" w:type="dxa"/>
            <w:shd w:val="clear" w:color="auto" w:fill="auto"/>
            <w:vAlign w:val="center"/>
          </w:tcPr>
          <w:p w:rsidR="00D02439" w:rsidRDefault="00D02439" w:rsidP="004D446C"/>
          <w:p w:rsidR="00D02439" w:rsidRPr="000C4D17" w:rsidRDefault="00D02439" w:rsidP="004D446C">
            <w:pPr>
              <w:rPr>
                <w:color w:val="FF0000"/>
              </w:rPr>
            </w:pPr>
            <w:r>
              <w:t xml:space="preserve">2.3 Mapping of Pilots: </w:t>
            </w:r>
            <w:r w:rsidRPr="00117269">
              <w:rPr>
                <w:i/>
                <w:iCs/>
                <w:color w:val="FF0000"/>
              </w:rPr>
              <w:t>Building on the initial products from the first Joint retreat, this work will aim to consolidate and analysis all relevant pilot programmes that relate to the HDN. The secondary aim of this process will be to ensure coherence accords the system, limiting duplication in efforts, and reducing the burden on field operations by harmonize missions and studies.</w:t>
            </w:r>
          </w:p>
          <w:p w:rsidR="00D02439" w:rsidRDefault="00D02439" w:rsidP="004D446C">
            <w:pPr>
              <w:pStyle w:val="ListParagraph"/>
            </w:pPr>
          </w:p>
          <w:p w:rsidR="00D02439" w:rsidRDefault="00D02439" w:rsidP="004D446C">
            <w:pPr>
              <w:pStyle w:val="ListParagraph"/>
            </w:pPr>
          </w:p>
          <w:p w:rsidR="00D02439" w:rsidRDefault="00D02439" w:rsidP="004D446C"/>
        </w:tc>
        <w:tc>
          <w:tcPr>
            <w:tcW w:w="2232" w:type="dxa"/>
          </w:tcPr>
          <w:p w:rsidR="002A1154" w:rsidRDefault="002A1154" w:rsidP="002A1154">
            <w:pPr>
              <w:rPr>
                <w:b/>
                <w:bCs/>
              </w:rPr>
            </w:pPr>
          </w:p>
          <w:p w:rsidR="002A1154" w:rsidRDefault="002A1154" w:rsidP="002A1154">
            <w:pPr>
              <w:rPr>
                <w:b/>
                <w:bCs/>
              </w:rPr>
            </w:pPr>
            <w:r>
              <w:rPr>
                <w:b/>
                <w:bCs/>
              </w:rPr>
              <w:t xml:space="preserve">The mapping of Pilots will be an output in its own right. </w:t>
            </w:r>
          </w:p>
          <w:p w:rsidR="002A1154" w:rsidRDefault="002A1154" w:rsidP="002A1154">
            <w:pPr>
              <w:rPr>
                <w:b/>
                <w:bCs/>
              </w:rPr>
            </w:pPr>
          </w:p>
          <w:p w:rsidR="002A1154" w:rsidRDefault="002A1154" w:rsidP="002A1154">
            <w:pPr>
              <w:ind w:right="440"/>
              <w:rPr>
                <w:b/>
                <w:bCs/>
              </w:rPr>
            </w:pPr>
          </w:p>
          <w:p w:rsidR="002A1154" w:rsidRDefault="002A1154" w:rsidP="002A1154">
            <w:pPr>
              <w:ind w:right="440"/>
            </w:pPr>
            <w:r>
              <w:rPr>
                <w:b/>
                <w:bCs/>
              </w:rPr>
              <w:t>(L: OCHA, DOCO )</w:t>
            </w:r>
          </w:p>
          <w:p w:rsidR="00D02439" w:rsidRDefault="00D02439" w:rsidP="002A1154"/>
        </w:tc>
        <w:tc>
          <w:tcPr>
            <w:tcW w:w="2232" w:type="dxa"/>
            <w:vAlign w:val="center"/>
          </w:tcPr>
          <w:p w:rsidR="00D02439" w:rsidRPr="00623652" w:rsidRDefault="00D02439" w:rsidP="004D446C">
            <w:r>
              <w:t xml:space="preserve"> UNDP, WHO, UNICEF</w:t>
            </w:r>
          </w:p>
        </w:tc>
        <w:tc>
          <w:tcPr>
            <w:tcW w:w="6804" w:type="dxa"/>
            <w:vMerge/>
            <w:shd w:val="clear" w:color="auto" w:fill="EAF1DD" w:themeFill="accent3" w:themeFillTint="33"/>
            <w:vAlign w:val="center"/>
          </w:tcPr>
          <w:p w:rsidR="00D02439" w:rsidRPr="00623652" w:rsidRDefault="00D02439" w:rsidP="004D446C"/>
        </w:tc>
        <w:tc>
          <w:tcPr>
            <w:tcW w:w="2126" w:type="dxa"/>
            <w:shd w:val="clear" w:color="auto" w:fill="auto"/>
            <w:vAlign w:val="center"/>
          </w:tcPr>
          <w:p w:rsidR="00D02439" w:rsidRPr="00623652" w:rsidRDefault="00D02439" w:rsidP="004D446C">
            <w:r>
              <w:t>Q4 2016 and then regularly updated</w:t>
            </w:r>
          </w:p>
        </w:tc>
      </w:tr>
      <w:tr w:rsidR="00D02439" w:rsidRPr="00623652" w:rsidTr="002A1154">
        <w:trPr>
          <w:trHeight w:val="2134"/>
        </w:trPr>
        <w:tc>
          <w:tcPr>
            <w:tcW w:w="1936" w:type="dxa"/>
            <w:vMerge w:val="restart"/>
            <w:shd w:val="clear" w:color="auto" w:fill="E5B8B7" w:themeFill="accent2" w:themeFillTint="66"/>
            <w:vAlign w:val="center"/>
          </w:tcPr>
          <w:p w:rsidR="00D02439" w:rsidRDefault="00D02439" w:rsidP="004D446C">
            <w:pPr>
              <w:jc w:val="center"/>
            </w:pPr>
            <w:r>
              <w:t>3. Jointly work with UNDG on refining and expanding on joint principles towards Collective Outcomes</w:t>
            </w:r>
          </w:p>
        </w:tc>
        <w:tc>
          <w:tcPr>
            <w:tcW w:w="6817" w:type="dxa"/>
            <w:shd w:val="clear" w:color="auto" w:fill="auto"/>
            <w:vAlign w:val="center"/>
          </w:tcPr>
          <w:p w:rsidR="00D02439" w:rsidRDefault="00D02439" w:rsidP="004D446C"/>
          <w:p w:rsidR="00D02439" w:rsidRPr="000E63E8" w:rsidRDefault="00D02439" w:rsidP="004D446C">
            <w:pPr>
              <w:rPr>
                <w:i/>
                <w:iCs/>
                <w:color w:val="FF0000"/>
              </w:rPr>
            </w:pPr>
            <w:r>
              <w:t>3.1 Revisit current humanitarian-development principles on resilience</w:t>
            </w:r>
            <w:r>
              <w:rPr>
                <w:rStyle w:val="FootnoteReference"/>
              </w:rPr>
              <w:footnoteReference w:id="3"/>
            </w:r>
            <w:r>
              <w:t xml:space="preserve">: </w:t>
            </w:r>
            <w:r>
              <w:rPr>
                <w:i/>
                <w:iCs/>
                <w:color w:val="FF0000"/>
              </w:rPr>
              <w:t>Informed by new developments and commitments during WHS and through the Grand Bargain Process, this activity will aim to update the joint principles and reflect new thinking around collective outcomes.</w:t>
            </w:r>
          </w:p>
          <w:p w:rsidR="00D02439" w:rsidRDefault="00D02439" w:rsidP="004D446C">
            <w:pPr>
              <w:pStyle w:val="ListParagraph"/>
            </w:pPr>
          </w:p>
          <w:p w:rsidR="00D02439" w:rsidRDefault="00D02439" w:rsidP="002A1154">
            <w:pPr>
              <w:jc w:val="right"/>
            </w:pPr>
          </w:p>
        </w:tc>
        <w:tc>
          <w:tcPr>
            <w:tcW w:w="2232" w:type="dxa"/>
          </w:tcPr>
          <w:p w:rsidR="002A1154" w:rsidRDefault="002A1154" w:rsidP="002A1154">
            <w:pPr>
              <w:ind w:right="550"/>
              <w:rPr>
                <w:b/>
                <w:bCs/>
              </w:rPr>
            </w:pPr>
          </w:p>
          <w:p w:rsidR="002A1154" w:rsidRDefault="002A1154" w:rsidP="002A1154">
            <w:pPr>
              <w:ind w:right="550"/>
              <w:rPr>
                <w:b/>
                <w:bCs/>
              </w:rPr>
            </w:pPr>
            <w:r>
              <w:rPr>
                <w:b/>
                <w:bCs/>
              </w:rPr>
              <w:t xml:space="preserve">Revision of the joint principles  </w:t>
            </w:r>
          </w:p>
          <w:p w:rsidR="002A1154" w:rsidRDefault="002A1154" w:rsidP="002A1154">
            <w:pPr>
              <w:ind w:right="550"/>
              <w:rPr>
                <w:b/>
                <w:bCs/>
              </w:rPr>
            </w:pPr>
          </w:p>
          <w:p w:rsidR="002A1154" w:rsidRDefault="002A1154" w:rsidP="002A1154">
            <w:pPr>
              <w:ind w:right="550"/>
              <w:rPr>
                <w:b/>
                <w:bCs/>
              </w:rPr>
            </w:pPr>
          </w:p>
          <w:p w:rsidR="002A1154" w:rsidRDefault="002A1154" w:rsidP="002A1154">
            <w:pPr>
              <w:ind w:right="550"/>
            </w:pPr>
            <w:r>
              <w:rPr>
                <w:b/>
                <w:bCs/>
              </w:rPr>
              <w:t>(L: FAO )</w:t>
            </w:r>
          </w:p>
          <w:p w:rsidR="00D02439" w:rsidRDefault="00D02439" w:rsidP="002A1154"/>
        </w:tc>
        <w:tc>
          <w:tcPr>
            <w:tcW w:w="2232" w:type="dxa"/>
            <w:vAlign w:val="center"/>
          </w:tcPr>
          <w:p w:rsidR="00D02439" w:rsidRPr="00623652" w:rsidRDefault="00D02439" w:rsidP="004D446C">
            <w:r>
              <w:t>UNDP, WHO, UNHCR, WFP</w:t>
            </w:r>
          </w:p>
        </w:tc>
        <w:tc>
          <w:tcPr>
            <w:tcW w:w="6804" w:type="dxa"/>
            <w:vMerge w:val="restart"/>
            <w:shd w:val="clear" w:color="auto" w:fill="F2DBDB" w:themeFill="accent2" w:themeFillTint="33"/>
            <w:vAlign w:val="center"/>
          </w:tcPr>
          <w:p w:rsidR="00D02439" w:rsidRPr="000E63E8" w:rsidRDefault="00D02439" w:rsidP="004D446C">
            <w:pPr>
              <w:rPr>
                <w:i/>
                <w:iCs/>
                <w:color w:val="FF0000"/>
              </w:rPr>
            </w:pPr>
            <w:r>
              <w:t xml:space="preserve">Joint IASC-UNDG humanitarian-development principles on Advancing Collective Outcomes: </w:t>
            </w:r>
            <w:r>
              <w:rPr>
                <w:i/>
                <w:iCs/>
                <w:color w:val="FF0000"/>
              </w:rPr>
              <w:t>This document will consolidate the latest thinking on HDN (3.2), and propose revised principles for Advancing Collective Outcomes to be endorsed by the IASC and the UNDG (3.1).(Q2 2017)</w:t>
            </w:r>
          </w:p>
          <w:p w:rsidR="00D02439" w:rsidRPr="00623652" w:rsidRDefault="00D02439" w:rsidP="004D446C">
            <w:r w:rsidRPr="00117269">
              <w:rPr>
                <w:i/>
                <w:iCs/>
              </w:rPr>
              <w:t xml:space="preserve">(drafting team: </w:t>
            </w:r>
            <w:r>
              <w:rPr>
                <w:i/>
                <w:iCs/>
              </w:rPr>
              <w:t>FAO, UNDP,</w:t>
            </w:r>
            <w:r w:rsidRPr="00117269">
              <w:rPr>
                <w:i/>
                <w:iCs/>
              </w:rPr>
              <w:t xml:space="preserve">  </w:t>
            </w:r>
            <w:r>
              <w:rPr>
                <w:i/>
                <w:iCs/>
              </w:rPr>
              <w:t>WHO, WFP</w:t>
            </w:r>
          </w:p>
        </w:tc>
        <w:tc>
          <w:tcPr>
            <w:tcW w:w="2126" w:type="dxa"/>
            <w:shd w:val="clear" w:color="auto" w:fill="auto"/>
            <w:vAlign w:val="center"/>
          </w:tcPr>
          <w:p w:rsidR="00D02439" w:rsidRPr="00623652" w:rsidRDefault="00D02439" w:rsidP="004D446C">
            <w:r>
              <w:t>Currently underway Q3/Q4 2016</w:t>
            </w:r>
          </w:p>
        </w:tc>
      </w:tr>
      <w:tr w:rsidR="00D02439" w:rsidRPr="00623652" w:rsidTr="002A1154">
        <w:trPr>
          <w:trHeight w:val="2391"/>
        </w:trPr>
        <w:tc>
          <w:tcPr>
            <w:tcW w:w="1936" w:type="dxa"/>
            <w:vMerge/>
            <w:shd w:val="clear" w:color="auto" w:fill="E5B8B7" w:themeFill="accent2" w:themeFillTint="66"/>
            <w:vAlign w:val="center"/>
          </w:tcPr>
          <w:p w:rsidR="00D02439" w:rsidRDefault="00D02439" w:rsidP="004D446C">
            <w:pPr>
              <w:jc w:val="center"/>
            </w:pPr>
          </w:p>
        </w:tc>
        <w:tc>
          <w:tcPr>
            <w:tcW w:w="6817" w:type="dxa"/>
            <w:shd w:val="clear" w:color="auto" w:fill="auto"/>
            <w:vAlign w:val="center"/>
          </w:tcPr>
          <w:p w:rsidR="00D02439" w:rsidRDefault="00D02439" w:rsidP="004D446C"/>
          <w:p w:rsidR="00D02439" w:rsidRPr="000E63E8" w:rsidRDefault="00D02439" w:rsidP="004D446C">
            <w:pPr>
              <w:rPr>
                <w:i/>
                <w:iCs/>
                <w:color w:val="FF0000"/>
              </w:rPr>
            </w:pPr>
            <w:r>
              <w:t xml:space="preserve">3.2 Analysis of humanitarian, planning, analysis tools, &amp; related guidance; UNDAF and related Guidance; and Integrated Strategic Framework and related Guidance (w/WGT): </w:t>
            </w:r>
            <w:r>
              <w:rPr>
                <w:i/>
                <w:iCs/>
                <w:color w:val="FF0000"/>
              </w:rPr>
              <w:t>This analysis, as part of wider efforts to gain better normative understanding, and as background to the retreat, will also inform the revision of the joint Principles.</w:t>
            </w:r>
          </w:p>
          <w:p w:rsidR="00D02439" w:rsidRDefault="00D02439" w:rsidP="004D446C">
            <w:pPr>
              <w:pStyle w:val="ListParagraph"/>
            </w:pPr>
          </w:p>
          <w:p w:rsidR="00D02439" w:rsidRDefault="00D02439" w:rsidP="002A1154">
            <w:pPr>
              <w:jc w:val="right"/>
            </w:pPr>
          </w:p>
        </w:tc>
        <w:tc>
          <w:tcPr>
            <w:tcW w:w="2232" w:type="dxa"/>
          </w:tcPr>
          <w:p w:rsidR="002A1154" w:rsidRDefault="002A1154" w:rsidP="002A1154">
            <w:pPr>
              <w:ind w:right="440"/>
              <w:rPr>
                <w:b/>
                <w:bCs/>
              </w:rPr>
            </w:pPr>
            <w:r w:rsidRPr="00AB1271">
              <w:rPr>
                <w:b/>
                <w:bCs/>
              </w:rPr>
              <w:t xml:space="preserve"> </w:t>
            </w: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rPr>
                <w:b/>
                <w:bCs/>
              </w:rPr>
            </w:pPr>
            <w:r>
              <w:rPr>
                <w:b/>
                <w:bCs/>
              </w:rPr>
              <w:t>Various related analysis documents</w:t>
            </w:r>
          </w:p>
          <w:p w:rsidR="002A1154" w:rsidRDefault="002A1154" w:rsidP="002A1154">
            <w:pPr>
              <w:ind w:right="440"/>
              <w:rPr>
                <w:b/>
                <w:bCs/>
              </w:rPr>
            </w:pPr>
          </w:p>
          <w:p w:rsidR="002A1154" w:rsidRDefault="002A1154" w:rsidP="002A1154">
            <w:pPr>
              <w:ind w:right="440"/>
              <w:rPr>
                <w:b/>
                <w:bCs/>
              </w:rPr>
            </w:pPr>
          </w:p>
          <w:p w:rsidR="002A1154" w:rsidRDefault="002A1154" w:rsidP="002A1154">
            <w:pPr>
              <w:ind w:right="440"/>
            </w:pPr>
            <w:r>
              <w:rPr>
                <w:b/>
                <w:bCs/>
              </w:rPr>
              <w:t xml:space="preserve"> (L: xxx )</w:t>
            </w:r>
          </w:p>
          <w:p w:rsidR="00D02439" w:rsidRDefault="00D02439" w:rsidP="002A1154"/>
        </w:tc>
        <w:tc>
          <w:tcPr>
            <w:tcW w:w="2232" w:type="dxa"/>
            <w:vAlign w:val="center"/>
          </w:tcPr>
          <w:p w:rsidR="00D02439" w:rsidRPr="00623652" w:rsidRDefault="00D02439" w:rsidP="004D446C">
            <w:r>
              <w:t>Joint Retreat Outcome, UNDP, WHO, xxx</w:t>
            </w:r>
          </w:p>
        </w:tc>
        <w:tc>
          <w:tcPr>
            <w:tcW w:w="6804" w:type="dxa"/>
            <w:vMerge/>
            <w:shd w:val="clear" w:color="auto" w:fill="F2DBDB" w:themeFill="accent2" w:themeFillTint="33"/>
            <w:vAlign w:val="center"/>
          </w:tcPr>
          <w:p w:rsidR="00D02439" w:rsidRDefault="00D02439" w:rsidP="004D446C">
            <w:pPr>
              <w:pStyle w:val="ListParagraph"/>
              <w:numPr>
                <w:ilvl w:val="0"/>
                <w:numId w:val="1"/>
              </w:numPr>
            </w:pPr>
          </w:p>
        </w:tc>
        <w:tc>
          <w:tcPr>
            <w:tcW w:w="2126" w:type="dxa"/>
            <w:shd w:val="clear" w:color="auto" w:fill="auto"/>
            <w:vAlign w:val="center"/>
          </w:tcPr>
          <w:p w:rsidR="00D02439" w:rsidRPr="00623652" w:rsidRDefault="00D02439" w:rsidP="004D446C">
            <w:r>
              <w:t>Q4 2016 during retreat then updated regularly</w:t>
            </w:r>
          </w:p>
        </w:tc>
      </w:tr>
      <w:tr w:rsidR="002A1154" w:rsidRPr="00623652" w:rsidTr="002A1154">
        <w:trPr>
          <w:trHeight w:val="1999"/>
        </w:trPr>
        <w:tc>
          <w:tcPr>
            <w:tcW w:w="1936" w:type="dxa"/>
            <w:vMerge w:val="restart"/>
            <w:shd w:val="clear" w:color="auto" w:fill="B8CCE4" w:themeFill="accent1" w:themeFillTint="66"/>
            <w:vAlign w:val="center"/>
          </w:tcPr>
          <w:p w:rsidR="002A1154" w:rsidRDefault="002A1154" w:rsidP="00080939">
            <w:pPr>
              <w:jc w:val="center"/>
            </w:pPr>
            <w:r>
              <w:lastRenderedPageBreak/>
              <w:t>4. Ensure that IASC has normative and operational frameworks relevant to protracted emergencies</w:t>
            </w:r>
          </w:p>
        </w:tc>
        <w:tc>
          <w:tcPr>
            <w:tcW w:w="6817" w:type="dxa"/>
            <w:shd w:val="clear" w:color="auto" w:fill="auto"/>
            <w:vAlign w:val="center"/>
          </w:tcPr>
          <w:p w:rsidR="002A1154" w:rsidRDefault="002A1154" w:rsidP="004D446C">
            <w:pPr>
              <w:rPr>
                <w:i/>
                <w:iCs/>
                <w:color w:val="FF0000"/>
              </w:rPr>
            </w:pPr>
            <w:r>
              <w:t xml:space="preserve">4.1 Review of Transformative Agenda Protocols and related operational Guidance for their applicability in Protracted situations: </w:t>
            </w:r>
            <w:r>
              <w:rPr>
                <w:i/>
                <w:iCs/>
                <w:color w:val="FF0000"/>
              </w:rPr>
              <w:t xml:space="preserve">As part of wider effort to gain better normative understanding, and building on the criteria and typologies, this activity will aim to systematically review and assess the existing IASC response protocols for the relevance and applicability to protracted situations. </w:t>
            </w:r>
          </w:p>
          <w:p w:rsidR="002A1154" w:rsidRDefault="002A1154" w:rsidP="004D446C">
            <w:pPr>
              <w:rPr>
                <w:i/>
                <w:iCs/>
                <w:color w:val="FF0000"/>
              </w:rPr>
            </w:pPr>
          </w:p>
          <w:p w:rsidR="002A1154" w:rsidRPr="000E63E8" w:rsidRDefault="002A1154" w:rsidP="002A1154">
            <w:pPr>
              <w:jc w:val="right"/>
              <w:rPr>
                <w:i/>
                <w:iCs/>
                <w:color w:val="FF0000"/>
              </w:rPr>
            </w:pPr>
          </w:p>
        </w:tc>
        <w:tc>
          <w:tcPr>
            <w:tcW w:w="2232" w:type="dxa"/>
          </w:tcPr>
          <w:p w:rsidR="002A1154" w:rsidRDefault="002A1154" w:rsidP="002A1154">
            <w:r w:rsidRPr="00AB1271">
              <w:rPr>
                <w:b/>
                <w:bCs/>
              </w:rPr>
              <w:t xml:space="preserve">Output: </w:t>
            </w:r>
            <w:r>
              <w:rPr>
                <w:b/>
                <w:bCs/>
              </w:rPr>
              <w:t>Analysis of TA protocols Document (L: WHO )</w:t>
            </w:r>
          </w:p>
          <w:p w:rsidR="002A1154" w:rsidRDefault="002A1154" w:rsidP="002A1154"/>
        </w:tc>
        <w:tc>
          <w:tcPr>
            <w:tcW w:w="2232" w:type="dxa"/>
            <w:vAlign w:val="center"/>
          </w:tcPr>
          <w:p w:rsidR="002A1154" w:rsidRDefault="002A1154" w:rsidP="004D446C">
            <w:r>
              <w:t xml:space="preserve">UNDP, WHO, </w:t>
            </w:r>
          </w:p>
          <w:p w:rsidR="002A1154" w:rsidRDefault="002A1154" w:rsidP="004D446C">
            <w:r>
              <w:t>WFP (ERP)</w:t>
            </w:r>
          </w:p>
          <w:p w:rsidR="002A1154" w:rsidRDefault="002A1154" w:rsidP="004D446C">
            <w:r>
              <w:t>OCHA (HRP)</w:t>
            </w:r>
          </w:p>
          <w:p w:rsidR="002A1154" w:rsidRPr="00623652" w:rsidRDefault="002A1154" w:rsidP="004D446C"/>
        </w:tc>
        <w:tc>
          <w:tcPr>
            <w:tcW w:w="6804" w:type="dxa"/>
            <w:vMerge w:val="restart"/>
            <w:shd w:val="clear" w:color="auto" w:fill="DBE5F1" w:themeFill="accent1" w:themeFillTint="33"/>
            <w:vAlign w:val="center"/>
          </w:tcPr>
          <w:p w:rsidR="002A1154" w:rsidRPr="00E91DFB" w:rsidRDefault="002A1154" w:rsidP="004D446C">
            <w:pPr>
              <w:rPr>
                <w:i/>
                <w:iCs/>
                <w:color w:val="FF0000"/>
              </w:rPr>
            </w:pPr>
            <w:r>
              <w:t xml:space="preserve">HDN TT system-wide recommendations on adapting IASC protocols for protracted situations: </w:t>
            </w:r>
            <w:r>
              <w:rPr>
                <w:i/>
                <w:iCs/>
                <w:color w:val="FF0000"/>
              </w:rPr>
              <w:t>As tasked by the IASC working group, this report will aim to outline a set of system-wide recommendations and findings based on the review of current IASC protocols (4.1, 3.2, 1.3) and the validation of these findings through the HDN retreat (4.2), to be submitted for further action to the IASC Working group. The recommendations will include to which extent current protocols are adapted, offer recommendations to relevant fora in this regard (building on draft adapted operational guidance: 4.3), or take on the responsibility of producing additional/clarifying guidance. (Q4 2017)</w:t>
            </w:r>
          </w:p>
          <w:p w:rsidR="002A1154" w:rsidRDefault="002A1154" w:rsidP="004D446C">
            <w:pPr>
              <w:pStyle w:val="ListParagraph"/>
            </w:pPr>
          </w:p>
          <w:p w:rsidR="002A1154" w:rsidRDefault="002A1154" w:rsidP="004D446C">
            <w:pPr>
              <w:pStyle w:val="ListParagraph"/>
            </w:pPr>
            <w:r w:rsidRPr="00117269">
              <w:rPr>
                <w:i/>
                <w:iCs/>
              </w:rPr>
              <w:t xml:space="preserve">(drafting team: </w:t>
            </w:r>
            <w:r>
              <w:rPr>
                <w:i/>
                <w:iCs/>
              </w:rPr>
              <w:t>FAO, UNDP,</w:t>
            </w:r>
            <w:r w:rsidRPr="00117269">
              <w:rPr>
                <w:i/>
                <w:iCs/>
              </w:rPr>
              <w:t xml:space="preserve">  </w:t>
            </w:r>
            <w:r>
              <w:rPr>
                <w:i/>
                <w:iCs/>
              </w:rPr>
              <w:t>WHO, WFP, ICVA, IOM, led by xxx)</w:t>
            </w:r>
          </w:p>
          <w:p w:rsidR="002A1154" w:rsidRDefault="002A1154" w:rsidP="002A1154"/>
        </w:tc>
        <w:tc>
          <w:tcPr>
            <w:tcW w:w="2126" w:type="dxa"/>
            <w:shd w:val="clear" w:color="auto" w:fill="auto"/>
            <w:vAlign w:val="center"/>
          </w:tcPr>
          <w:p w:rsidR="002A1154" w:rsidRPr="00623652" w:rsidRDefault="002A1154" w:rsidP="004D446C">
            <w:r>
              <w:t>Q1-Q4 2017</w:t>
            </w:r>
          </w:p>
        </w:tc>
      </w:tr>
      <w:tr w:rsidR="002A1154" w:rsidRPr="00623652" w:rsidTr="002A1154">
        <w:trPr>
          <w:trHeight w:val="1271"/>
        </w:trPr>
        <w:tc>
          <w:tcPr>
            <w:tcW w:w="1936" w:type="dxa"/>
            <w:vMerge/>
            <w:shd w:val="clear" w:color="auto" w:fill="B8CCE4" w:themeFill="accent1" w:themeFillTint="66"/>
            <w:vAlign w:val="center"/>
          </w:tcPr>
          <w:p w:rsidR="002A1154" w:rsidRDefault="002A1154" w:rsidP="004D446C">
            <w:pPr>
              <w:jc w:val="center"/>
            </w:pPr>
          </w:p>
        </w:tc>
        <w:tc>
          <w:tcPr>
            <w:tcW w:w="6817" w:type="dxa"/>
            <w:vMerge w:val="restart"/>
            <w:shd w:val="clear" w:color="auto" w:fill="auto"/>
            <w:vAlign w:val="center"/>
          </w:tcPr>
          <w:p w:rsidR="002A1154" w:rsidRDefault="002A1154" w:rsidP="004D446C">
            <w:pPr>
              <w:rPr>
                <w:i/>
                <w:iCs/>
                <w:color w:val="FF0000"/>
              </w:rPr>
            </w:pPr>
            <w:r>
              <w:t xml:space="preserve">4.2 </w:t>
            </w:r>
            <w:r w:rsidRPr="00E91DFB">
              <w:t>HDN TT Retreat on 4.1:</w:t>
            </w:r>
            <w:r>
              <w:rPr>
                <w:i/>
                <w:iCs/>
              </w:rPr>
              <w:t xml:space="preserve"> </w:t>
            </w:r>
            <w:r>
              <w:rPr>
                <w:i/>
                <w:iCs/>
                <w:color w:val="FF0000"/>
              </w:rPr>
              <w:t>4.1 may involve a HDN TT retreat to deep dive into the components of the Transformative Agenda (in Q2 2017)</w:t>
            </w:r>
          </w:p>
          <w:p w:rsidR="002A1154" w:rsidRDefault="002A1154" w:rsidP="002A1154">
            <w:pPr>
              <w:jc w:val="right"/>
            </w:pPr>
          </w:p>
        </w:tc>
        <w:tc>
          <w:tcPr>
            <w:tcW w:w="2232" w:type="dxa"/>
            <w:vMerge w:val="restart"/>
          </w:tcPr>
          <w:p w:rsidR="002A1154" w:rsidRDefault="002A1154" w:rsidP="002A1154">
            <w:r w:rsidRPr="00AB1271">
              <w:rPr>
                <w:b/>
                <w:bCs/>
              </w:rPr>
              <w:t xml:space="preserve">Output: </w:t>
            </w:r>
            <w:r>
              <w:rPr>
                <w:b/>
                <w:bCs/>
              </w:rPr>
              <w:t>Retreat findings and Summary Report (L: Co-chairs)</w:t>
            </w:r>
          </w:p>
          <w:p w:rsidR="002A1154" w:rsidRDefault="002A1154" w:rsidP="002A1154"/>
        </w:tc>
        <w:tc>
          <w:tcPr>
            <w:tcW w:w="2232" w:type="dxa"/>
            <w:vMerge w:val="restart"/>
            <w:vAlign w:val="center"/>
          </w:tcPr>
          <w:p w:rsidR="002A1154" w:rsidRDefault="002A1154" w:rsidP="004D446C">
            <w:r>
              <w:t>All HDN TT Agencies</w:t>
            </w:r>
          </w:p>
        </w:tc>
        <w:tc>
          <w:tcPr>
            <w:tcW w:w="6804" w:type="dxa"/>
            <w:vMerge/>
            <w:shd w:val="clear" w:color="auto" w:fill="DBE5F1" w:themeFill="accent1" w:themeFillTint="33"/>
            <w:vAlign w:val="center"/>
          </w:tcPr>
          <w:p w:rsidR="002A1154" w:rsidRDefault="002A1154" w:rsidP="00B81E22">
            <w:pPr>
              <w:jc w:val="center"/>
            </w:pPr>
          </w:p>
        </w:tc>
        <w:tc>
          <w:tcPr>
            <w:tcW w:w="2126" w:type="dxa"/>
            <w:shd w:val="clear" w:color="auto" w:fill="auto"/>
            <w:vAlign w:val="center"/>
          </w:tcPr>
          <w:p w:rsidR="002A1154" w:rsidRPr="00623652" w:rsidRDefault="002A1154" w:rsidP="004D446C">
            <w:r>
              <w:t>Date TBD</w:t>
            </w:r>
          </w:p>
        </w:tc>
      </w:tr>
      <w:tr w:rsidR="002A1154" w:rsidRPr="00623652" w:rsidTr="002A1154">
        <w:trPr>
          <w:trHeight w:val="269"/>
        </w:trPr>
        <w:tc>
          <w:tcPr>
            <w:tcW w:w="1936" w:type="dxa"/>
            <w:vMerge/>
            <w:shd w:val="clear" w:color="auto" w:fill="B8CCE4" w:themeFill="accent1" w:themeFillTint="66"/>
            <w:vAlign w:val="center"/>
          </w:tcPr>
          <w:p w:rsidR="002A1154" w:rsidRDefault="002A1154" w:rsidP="004D446C">
            <w:pPr>
              <w:jc w:val="center"/>
            </w:pPr>
          </w:p>
        </w:tc>
        <w:tc>
          <w:tcPr>
            <w:tcW w:w="6817" w:type="dxa"/>
            <w:vMerge/>
            <w:shd w:val="clear" w:color="auto" w:fill="auto"/>
            <w:vAlign w:val="center"/>
          </w:tcPr>
          <w:p w:rsidR="002A1154" w:rsidRDefault="002A1154" w:rsidP="004D446C"/>
        </w:tc>
        <w:tc>
          <w:tcPr>
            <w:tcW w:w="2232" w:type="dxa"/>
            <w:vMerge/>
          </w:tcPr>
          <w:p w:rsidR="002A1154" w:rsidRDefault="002A1154" w:rsidP="002A1154"/>
        </w:tc>
        <w:tc>
          <w:tcPr>
            <w:tcW w:w="2232" w:type="dxa"/>
            <w:vMerge/>
            <w:vAlign w:val="center"/>
          </w:tcPr>
          <w:p w:rsidR="002A1154" w:rsidRDefault="002A1154" w:rsidP="004D446C"/>
        </w:tc>
        <w:tc>
          <w:tcPr>
            <w:tcW w:w="6804" w:type="dxa"/>
            <w:vMerge/>
            <w:shd w:val="clear" w:color="auto" w:fill="DBE5F1" w:themeFill="accent1" w:themeFillTint="33"/>
            <w:vAlign w:val="center"/>
          </w:tcPr>
          <w:p w:rsidR="002A1154" w:rsidRDefault="002A1154" w:rsidP="00B81E22">
            <w:pPr>
              <w:jc w:val="center"/>
            </w:pPr>
          </w:p>
        </w:tc>
        <w:tc>
          <w:tcPr>
            <w:tcW w:w="2126" w:type="dxa"/>
            <w:vMerge w:val="restart"/>
            <w:shd w:val="clear" w:color="auto" w:fill="auto"/>
            <w:vAlign w:val="center"/>
          </w:tcPr>
          <w:p w:rsidR="002A1154" w:rsidRPr="00623652" w:rsidRDefault="002A1154" w:rsidP="004D446C">
            <w:r>
              <w:t>By end of Q4 2017</w:t>
            </w:r>
          </w:p>
        </w:tc>
      </w:tr>
      <w:tr w:rsidR="002A1154" w:rsidRPr="00623652" w:rsidTr="002A1154">
        <w:trPr>
          <w:trHeight w:val="1192"/>
        </w:trPr>
        <w:tc>
          <w:tcPr>
            <w:tcW w:w="1936" w:type="dxa"/>
            <w:vMerge/>
            <w:shd w:val="clear" w:color="auto" w:fill="B8CCE4" w:themeFill="accent1" w:themeFillTint="66"/>
            <w:vAlign w:val="center"/>
          </w:tcPr>
          <w:p w:rsidR="002A1154" w:rsidRDefault="002A1154" w:rsidP="004D446C">
            <w:pPr>
              <w:jc w:val="center"/>
            </w:pPr>
          </w:p>
        </w:tc>
        <w:tc>
          <w:tcPr>
            <w:tcW w:w="6817" w:type="dxa"/>
            <w:shd w:val="clear" w:color="auto" w:fill="auto"/>
            <w:vAlign w:val="center"/>
          </w:tcPr>
          <w:p w:rsidR="002A1154" w:rsidRDefault="002A1154" w:rsidP="004D446C"/>
          <w:p w:rsidR="002A1154" w:rsidRPr="00BD36B0" w:rsidRDefault="002A1154" w:rsidP="0029044C">
            <w:pPr>
              <w:rPr>
                <w:b/>
                <w:bCs/>
                <w:i/>
                <w:iCs/>
                <w:color w:val="FF0000"/>
              </w:rPr>
            </w:pPr>
            <w:r w:rsidRPr="0029044C">
              <w:rPr>
                <w:b/>
                <w:bCs/>
              </w:rPr>
              <w:t xml:space="preserve">4.3 Integration of existing Operational Guidance: </w:t>
            </w:r>
            <w:r w:rsidRPr="00BD36B0">
              <w:rPr>
                <w:i/>
                <w:iCs/>
                <w:color w:val="FF0000"/>
              </w:rPr>
              <w:t xml:space="preserve">This may involve facilitating the integration of policy guidance into relevant operational guidance, by liaising with the relevant platforms and groups and where identified develop additional tools and guidance for protracted settings </w:t>
            </w:r>
            <w:r w:rsidRPr="00BD36B0">
              <w:rPr>
                <w:b/>
                <w:bCs/>
                <w:i/>
                <w:iCs/>
                <w:color w:val="FF0000"/>
              </w:rPr>
              <w:t>(3.1, 2.1, 1.4</w:t>
            </w:r>
            <w:r>
              <w:rPr>
                <w:b/>
                <w:bCs/>
                <w:i/>
                <w:iCs/>
                <w:color w:val="FF0000"/>
              </w:rPr>
              <w:t>, and 4.1</w:t>
            </w:r>
            <w:r w:rsidRPr="00BD36B0">
              <w:rPr>
                <w:b/>
                <w:bCs/>
                <w:i/>
                <w:iCs/>
                <w:color w:val="FF0000"/>
              </w:rPr>
              <w:t>).</w:t>
            </w:r>
          </w:p>
          <w:p w:rsidR="002A1154" w:rsidRDefault="002A1154" w:rsidP="004D446C"/>
          <w:p w:rsidR="002A1154" w:rsidRDefault="002A1154" w:rsidP="002A1154">
            <w:pPr>
              <w:jc w:val="right"/>
            </w:pPr>
          </w:p>
        </w:tc>
        <w:tc>
          <w:tcPr>
            <w:tcW w:w="2232" w:type="dxa"/>
          </w:tcPr>
          <w:p w:rsidR="002A1154" w:rsidRDefault="002A1154" w:rsidP="002A1154">
            <w:r w:rsidRPr="00AB1271">
              <w:rPr>
                <w:b/>
                <w:bCs/>
              </w:rPr>
              <w:t xml:space="preserve">Output: </w:t>
            </w:r>
            <w:r>
              <w:rPr>
                <w:b/>
                <w:bCs/>
              </w:rPr>
              <w:t>As required (L: xxx )</w:t>
            </w:r>
          </w:p>
          <w:p w:rsidR="002A1154" w:rsidRDefault="002A1154" w:rsidP="002A1154"/>
        </w:tc>
        <w:tc>
          <w:tcPr>
            <w:tcW w:w="2232" w:type="dxa"/>
            <w:vAlign w:val="center"/>
          </w:tcPr>
          <w:p w:rsidR="002A1154" w:rsidRPr="00623652" w:rsidRDefault="002A1154" w:rsidP="004D446C">
            <w:r>
              <w:t>TT in collaboration with relevant group, platform</w:t>
            </w:r>
          </w:p>
        </w:tc>
        <w:tc>
          <w:tcPr>
            <w:tcW w:w="6804" w:type="dxa"/>
            <w:vMerge/>
            <w:shd w:val="clear" w:color="auto" w:fill="DBE5F1" w:themeFill="accent1" w:themeFillTint="33"/>
            <w:vAlign w:val="center"/>
          </w:tcPr>
          <w:p w:rsidR="002A1154" w:rsidRDefault="002A1154" w:rsidP="00B81E22">
            <w:pPr>
              <w:jc w:val="center"/>
            </w:pPr>
          </w:p>
        </w:tc>
        <w:tc>
          <w:tcPr>
            <w:tcW w:w="2126" w:type="dxa"/>
            <w:vMerge/>
            <w:shd w:val="clear" w:color="auto" w:fill="auto"/>
            <w:vAlign w:val="center"/>
          </w:tcPr>
          <w:p w:rsidR="002A1154" w:rsidRPr="00623652" w:rsidRDefault="002A1154" w:rsidP="004D446C"/>
        </w:tc>
      </w:tr>
      <w:tr w:rsidR="002A1154" w:rsidRPr="00623652" w:rsidTr="002A1154">
        <w:trPr>
          <w:trHeight w:val="1192"/>
        </w:trPr>
        <w:tc>
          <w:tcPr>
            <w:tcW w:w="1936" w:type="dxa"/>
            <w:vMerge/>
            <w:shd w:val="clear" w:color="auto" w:fill="B8CCE4" w:themeFill="accent1" w:themeFillTint="66"/>
            <w:vAlign w:val="center"/>
          </w:tcPr>
          <w:p w:rsidR="002A1154" w:rsidRDefault="002A1154" w:rsidP="004D446C">
            <w:pPr>
              <w:jc w:val="center"/>
            </w:pPr>
          </w:p>
        </w:tc>
        <w:tc>
          <w:tcPr>
            <w:tcW w:w="6817" w:type="dxa"/>
            <w:shd w:val="clear" w:color="auto" w:fill="auto"/>
            <w:vAlign w:val="center"/>
          </w:tcPr>
          <w:p w:rsidR="002A1154" w:rsidRDefault="002A1154" w:rsidP="00BD36B0">
            <w:pPr>
              <w:rPr>
                <w:i/>
                <w:iCs/>
                <w:color w:val="FF0000"/>
              </w:rPr>
            </w:pPr>
            <w:r w:rsidRPr="00BD36B0">
              <w:rPr>
                <w:b/>
                <w:bCs/>
              </w:rPr>
              <w:t xml:space="preserve">4.4 Develop Additional </w:t>
            </w:r>
            <w:r>
              <w:rPr>
                <w:b/>
                <w:bCs/>
              </w:rPr>
              <w:t xml:space="preserve">Guidance </w:t>
            </w:r>
            <w:r w:rsidRPr="00BD36B0">
              <w:rPr>
                <w:b/>
                <w:bCs/>
              </w:rPr>
              <w:t xml:space="preserve">: </w:t>
            </w:r>
            <w:r>
              <w:rPr>
                <w:i/>
                <w:iCs/>
                <w:color w:val="FF0000"/>
              </w:rPr>
              <w:t xml:space="preserve">If the processes, outputs, and activities above point towards the need for substantial and/or additional substance – This may involve liaising with the relevant platforms and groups to develop standalone normative or operational guidance </w:t>
            </w:r>
          </w:p>
          <w:p w:rsidR="002A1154" w:rsidRDefault="002A1154" w:rsidP="00BD36B0">
            <w:pPr>
              <w:rPr>
                <w:i/>
                <w:iCs/>
                <w:color w:val="FF0000"/>
              </w:rPr>
            </w:pPr>
          </w:p>
          <w:p w:rsidR="002A1154" w:rsidRPr="00BD36B0" w:rsidRDefault="002A1154" w:rsidP="002A1154">
            <w:pPr>
              <w:jc w:val="right"/>
              <w:rPr>
                <w:i/>
                <w:iCs/>
                <w:color w:val="FF0000"/>
              </w:rPr>
            </w:pPr>
          </w:p>
        </w:tc>
        <w:tc>
          <w:tcPr>
            <w:tcW w:w="2232" w:type="dxa"/>
          </w:tcPr>
          <w:p w:rsidR="002A1154" w:rsidRDefault="002A1154" w:rsidP="002A1154">
            <w:r w:rsidRPr="00AB1271">
              <w:rPr>
                <w:b/>
                <w:bCs/>
              </w:rPr>
              <w:t xml:space="preserve">Output: </w:t>
            </w:r>
            <w:r>
              <w:rPr>
                <w:b/>
                <w:bCs/>
              </w:rPr>
              <w:t>As required (L: TT co-chairs )</w:t>
            </w:r>
          </w:p>
          <w:p w:rsidR="002A1154" w:rsidRDefault="002A1154" w:rsidP="002A1154"/>
        </w:tc>
        <w:tc>
          <w:tcPr>
            <w:tcW w:w="2232" w:type="dxa"/>
            <w:vAlign w:val="center"/>
          </w:tcPr>
          <w:p w:rsidR="002A1154" w:rsidRPr="004615C5" w:rsidRDefault="002A1154" w:rsidP="004D446C">
            <w:pPr>
              <w:rPr>
                <w:highlight w:val="yellow"/>
              </w:rPr>
            </w:pPr>
            <w:r>
              <w:t>TT in collaboration with relevant group, platform</w:t>
            </w:r>
          </w:p>
        </w:tc>
        <w:tc>
          <w:tcPr>
            <w:tcW w:w="6804" w:type="dxa"/>
            <w:vMerge/>
            <w:shd w:val="clear" w:color="auto" w:fill="auto"/>
            <w:vAlign w:val="center"/>
          </w:tcPr>
          <w:p w:rsidR="002A1154" w:rsidRDefault="002A1154" w:rsidP="00CF4C8D">
            <w:pPr>
              <w:jc w:val="center"/>
            </w:pPr>
          </w:p>
        </w:tc>
        <w:tc>
          <w:tcPr>
            <w:tcW w:w="2126" w:type="dxa"/>
            <w:shd w:val="clear" w:color="auto" w:fill="auto"/>
            <w:vAlign w:val="center"/>
          </w:tcPr>
          <w:p w:rsidR="002A1154" w:rsidRPr="00623652" w:rsidRDefault="002A1154" w:rsidP="004D446C">
            <w:r>
              <w:t>From Q2- Q4 2017</w:t>
            </w:r>
          </w:p>
        </w:tc>
      </w:tr>
      <w:tr w:rsidR="00D02439" w:rsidRPr="00623652" w:rsidTr="002A1154">
        <w:trPr>
          <w:trHeight w:val="1192"/>
        </w:trPr>
        <w:tc>
          <w:tcPr>
            <w:tcW w:w="1936" w:type="dxa"/>
            <w:shd w:val="clear" w:color="auto" w:fill="D9D9D9" w:themeFill="background1" w:themeFillShade="D9"/>
            <w:vAlign w:val="center"/>
          </w:tcPr>
          <w:p w:rsidR="00D02439" w:rsidRDefault="00D02439" w:rsidP="004D446C">
            <w:pPr>
              <w:jc w:val="center"/>
            </w:pPr>
          </w:p>
        </w:tc>
        <w:tc>
          <w:tcPr>
            <w:tcW w:w="6817" w:type="dxa"/>
            <w:shd w:val="clear" w:color="auto" w:fill="D9D9D9" w:themeFill="background1" w:themeFillShade="D9"/>
            <w:vAlign w:val="center"/>
          </w:tcPr>
          <w:p w:rsidR="00D02439" w:rsidRDefault="00D02439" w:rsidP="005C7CB8">
            <w:pPr>
              <w:rPr>
                <w:i/>
                <w:iCs/>
                <w:color w:val="FF0000"/>
              </w:rPr>
            </w:pPr>
            <w:r>
              <w:rPr>
                <w:b/>
                <w:bCs/>
              </w:rPr>
              <w:t>4.5</w:t>
            </w:r>
            <w:r w:rsidRPr="00BD36B0">
              <w:rPr>
                <w:b/>
                <w:bCs/>
              </w:rPr>
              <w:t xml:space="preserve"> Develop Additional </w:t>
            </w:r>
            <w:r>
              <w:rPr>
                <w:b/>
                <w:bCs/>
              </w:rPr>
              <w:t>Protocols:</w:t>
            </w:r>
            <w:r w:rsidRPr="00BD36B0">
              <w:rPr>
                <w:b/>
                <w:bCs/>
              </w:rPr>
              <w:t xml:space="preserve"> </w:t>
            </w:r>
            <w:r>
              <w:rPr>
                <w:i/>
                <w:iCs/>
                <w:color w:val="FF0000"/>
              </w:rPr>
              <w:t xml:space="preserve">If the processes, outputs, and activities above point towards the need for substantial and/or additional substance – and is informed by the reality checks and assessment of rates of adoption of additional Guidance (4.4). This may involve liaising with the relevant platforms and groups to develop standalone normative or operational guidance </w:t>
            </w:r>
          </w:p>
          <w:p w:rsidR="00D02439" w:rsidRDefault="00D02439" w:rsidP="005C7CB8">
            <w:pPr>
              <w:rPr>
                <w:i/>
                <w:iCs/>
                <w:color w:val="FF0000"/>
              </w:rPr>
            </w:pPr>
          </w:p>
          <w:p w:rsidR="00D02439" w:rsidRPr="00BD36B0" w:rsidRDefault="00D02439" w:rsidP="002A1154">
            <w:pPr>
              <w:jc w:val="right"/>
              <w:rPr>
                <w:b/>
                <w:bCs/>
              </w:rPr>
            </w:pPr>
          </w:p>
        </w:tc>
        <w:tc>
          <w:tcPr>
            <w:tcW w:w="2232" w:type="dxa"/>
            <w:shd w:val="clear" w:color="auto" w:fill="D9D9D9" w:themeFill="background1" w:themeFillShade="D9"/>
          </w:tcPr>
          <w:p w:rsidR="002A1154" w:rsidRDefault="002A1154" w:rsidP="002A1154">
            <w:pPr>
              <w:rPr>
                <w:i/>
                <w:iCs/>
                <w:color w:val="FF0000"/>
              </w:rPr>
            </w:pPr>
            <w:r w:rsidRPr="00AB1271">
              <w:rPr>
                <w:b/>
                <w:bCs/>
              </w:rPr>
              <w:t xml:space="preserve">Output: </w:t>
            </w:r>
            <w:r>
              <w:rPr>
                <w:b/>
                <w:bCs/>
              </w:rPr>
              <w:t>As deemed necessary (L: TT co-chairs )</w:t>
            </w:r>
          </w:p>
          <w:p w:rsidR="00D02439" w:rsidRDefault="00D02439" w:rsidP="002A1154"/>
        </w:tc>
        <w:tc>
          <w:tcPr>
            <w:tcW w:w="2232" w:type="dxa"/>
            <w:shd w:val="clear" w:color="auto" w:fill="D9D9D9" w:themeFill="background1" w:themeFillShade="D9"/>
            <w:vAlign w:val="center"/>
          </w:tcPr>
          <w:p w:rsidR="00D02439" w:rsidRDefault="00D02439" w:rsidP="004D446C">
            <w:r>
              <w:t>Xxx in collaboration with relevant group, platform</w:t>
            </w:r>
          </w:p>
        </w:tc>
        <w:tc>
          <w:tcPr>
            <w:tcW w:w="6804" w:type="dxa"/>
            <w:shd w:val="clear" w:color="auto" w:fill="D9D9D9" w:themeFill="background1" w:themeFillShade="D9"/>
            <w:vAlign w:val="center"/>
          </w:tcPr>
          <w:p w:rsidR="00D02439" w:rsidRDefault="00D02439" w:rsidP="00CF4C8D">
            <w:pPr>
              <w:jc w:val="center"/>
            </w:pPr>
            <w:r>
              <w:t>xxx</w:t>
            </w:r>
          </w:p>
        </w:tc>
        <w:tc>
          <w:tcPr>
            <w:tcW w:w="2126" w:type="dxa"/>
            <w:shd w:val="clear" w:color="auto" w:fill="D9D9D9" w:themeFill="background1" w:themeFillShade="D9"/>
            <w:vAlign w:val="center"/>
          </w:tcPr>
          <w:p w:rsidR="00D02439" w:rsidRPr="00623652" w:rsidRDefault="00D02439" w:rsidP="00CF4C8D">
            <w:pPr>
              <w:jc w:val="center"/>
            </w:pPr>
            <w:r>
              <w:t>xxx</w:t>
            </w:r>
          </w:p>
        </w:tc>
      </w:tr>
    </w:tbl>
    <w:p w:rsidR="00A57911" w:rsidRDefault="00A57911" w:rsidP="00261EE7"/>
    <w:sectPr w:rsidR="00A57911" w:rsidSect="001A3DFD">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A8" w:rsidRDefault="006959A8" w:rsidP="004D3441">
      <w:pPr>
        <w:spacing w:after="0" w:line="240" w:lineRule="auto"/>
      </w:pPr>
      <w:r>
        <w:separator/>
      </w:r>
    </w:p>
  </w:endnote>
  <w:endnote w:type="continuationSeparator" w:id="0">
    <w:p w:rsidR="006959A8" w:rsidRDefault="006959A8" w:rsidP="004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A8" w:rsidRDefault="006959A8" w:rsidP="004D3441">
      <w:pPr>
        <w:spacing w:after="0" w:line="240" w:lineRule="auto"/>
      </w:pPr>
      <w:r>
        <w:separator/>
      </w:r>
    </w:p>
  </w:footnote>
  <w:footnote w:type="continuationSeparator" w:id="0">
    <w:p w:rsidR="006959A8" w:rsidRDefault="006959A8" w:rsidP="004D3441">
      <w:pPr>
        <w:spacing w:after="0" w:line="240" w:lineRule="auto"/>
      </w:pPr>
      <w:r>
        <w:continuationSeparator/>
      </w:r>
    </w:p>
  </w:footnote>
  <w:footnote w:id="1">
    <w:p w:rsidR="00FA18C3" w:rsidRDefault="00FA18C3">
      <w:pPr>
        <w:pStyle w:val="FootnoteText"/>
      </w:pPr>
      <w:r>
        <w:rPr>
          <w:rStyle w:val="FootnoteReference"/>
        </w:rPr>
        <w:footnoteRef/>
      </w:r>
      <w:r>
        <w:t xml:space="preserve"> Where applicable references have been made to WGT and other fora where the HDN TT’s work can be taken forward, for a full picture of other relevant and concurrent workstreams within the IASC- refer to draft “overview of workplans of IASC and other Subsidiary Bodies Relevant to Strengthening the Humanitarian Development Nexus : Q3 2016 – Q42017. The co-chairs will aim to ensure coherence and limit duplication as the work outlined in this document progresses and expands in scope.</w:t>
      </w:r>
    </w:p>
  </w:footnote>
  <w:footnote w:id="2">
    <w:p w:rsidR="00D02439" w:rsidRDefault="00D02439" w:rsidP="00E91DFB">
      <w:pPr>
        <w:pStyle w:val="FootnoteText"/>
      </w:pPr>
      <w:r>
        <w:rPr>
          <w:rStyle w:val="FootnoteReference"/>
        </w:rPr>
        <w:footnoteRef/>
      </w:r>
      <w:r>
        <w:t xml:space="preserve"> Pending clarification of the scope</w:t>
      </w:r>
    </w:p>
  </w:footnote>
  <w:footnote w:id="3">
    <w:p w:rsidR="00D02439" w:rsidRDefault="00D02439">
      <w:pPr>
        <w:pStyle w:val="FootnoteText"/>
      </w:pPr>
      <w:r>
        <w:rPr>
          <w:rStyle w:val="FootnoteReference"/>
        </w:rPr>
        <w:footnoteRef/>
      </w:r>
      <w:r>
        <w:t xml:space="preserve"> Already Underway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4B" w:rsidRPr="00106A4B" w:rsidRDefault="00106A4B" w:rsidP="005C71F9">
    <w:pPr>
      <w:pStyle w:val="Header"/>
      <w:rPr>
        <w:color w:val="FF0000"/>
      </w:rPr>
    </w:pPr>
    <w:r w:rsidRPr="00106A4B">
      <w:rPr>
        <w:color w:val="FF0000"/>
      </w:rPr>
      <w:t xml:space="preserve">Last Updated: </w:t>
    </w:r>
    <w:r w:rsidR="005C71F9">
      <w:rPr>
        <w:color w:val="FF0000"/>
      </w:rPr>
      <w:t>01.10</w:t>
    </w:r>
    <w:r w:rsidRPr="00106A4B">
      <w:rPr>
        <w:color w:val="FF000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35B1D"/>
    <w:multiLevelType w:val="hybridMultilevel"/>
    <w:tmpl w:val="5CAEF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46D9F"/>
    <w:multiLevelType w:val="hybridMultilevel"/>
    <w:tmpl w:val="55308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89D"/>
    <w:multiLevelType w:val="hybridMultilevel"/>
    <w:tmpl w:val="7DF4968A"/>
    <w:lvl w:ilvl="0" w:tplc="7F4AD19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FD"/>
    <w:rsid w:val="00080939"/>
    <w:rsid w:val="000C4D17"/>
    <w:rsid w:val="000E63E8"/>
    <w:rsid w:val="00106A4B"/>
    <w:rsid w:val="00117269"/>
    <w:rsid w:val="001A3DFD"/>
    <w:rsid w:val="001E160F"/>
    <w:rsid w:val="001F6B84"/>
    <w:rsid w:val="00261EE7"/>
    <w:rsid w:val="00265132"/>
    <w:rsid w:val="0027614C"/>
    <w:rsid w:val="0029044C"/>
    <w:rsid w:val="002A1154"/>
    <w:rsid w:val="003308FC"/>
    <w:rsid w:val="00345B91"/>
    <w:rsid w:val="004615C5"/>
    <w:rsid w:val="004742FB"/>
    <w:rsid w:val="00492B5B"/>
    <w:rsid w:val="004D3441"/>
    <w:rsid w:val="004D446C"/>
    <w:rsid w:val="00517486"/>
    <w:rsid w:val="005B2104"/>
    <w:rsid w:val="005C71F9"/>
    <w:rsid w:val="005C7CB8"/>
    <w:rsid w:val="006959A8"/>
    <w:rsid w:val="006A742E"/>
    <w:rsid w:val="007B104F"/>
    <w:rsid w:val="00A32CCB"/>
    <w:rsid w:val="00A57911"/>
    <w:rsid w:val="00AB1271"/>
    <w:rsid w:val="00B514B7"/>
    <w:rsid w:val="00B64811"/>
    <w:rsid w:val="00B85983"/>
    <w:rsid w:val="00BD36B0"/>
    <w:rsid w:val="00C730FB"/>
    <w:rsid w:val="00CB089F"/>
    <w:rsid w:val="00CF4C8D"/>
    <w:rsid w:val="00D02439"/>
    <w:rsid w:val="00DB4393"/>
    <w:rsid w:val="00E8631F"/>
    <w:rsid w:val="00E91DFB"/>
    <w:rsid w:val="00ED05B4"/>
    <w:rsid w:val="00F00436"/>
    <w:rsid w:val="00F135C2"/>
    <w:rsid w:val="00FA18C3"/>
    <w:rsid w:val="00FC7A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FE710-0674-4567-B114-5EA7051E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DFD"/>
    <w:rPr>
      <w:sz w:val="16"/>
      <w:szCs w:val="16"/>
    </w:rPr>
  </w:style>
  <w:style w:type="paragraph" w:styleId="CommentText">
    <w:name w:val="annotation text"/>
    <w:basedOn w:val="Normal"/>
    <w:link w:val="CommentTextChar"/>
    <w:uiPriority w:val="99"/>
    <w:semiHidden/>
    <w:unhideWhenUsed/>
    <w:rsid w:val="001A3DFD"/>
    <w:pPr>
      <w:spacing w:line="240" w:lineRule="auto"/>
    </w:pPr>
    <w:rPr>
      <w:sz w:val="20"/>
      <w:szCs w:val="20"/>
    </w:rPr>
  </w:style>
  <w:style w:type="character" w:customStyle="1" w:styleId="CommentTextChar">
    <w:name w:val="Comment Text Char"/>
    <w:basedOn w:val="DefaultParagraphFont"/>
    <w:link w:val="CommentText"/>
    <w:uiPriority w:val="99"/>
    <w:semiHidden/>
    <w:rsid w:val="001A3DFD"/>
    <w:rPr>
      <w:sz w:val="20"/>
      <w:szCs w:val="20"/>
    </w:rPr>
  </w:style>
  <w:style w:type="paragraph" w:styleId="BalloonText">
    <w:name w:val="Balloon Text"/>
    <w:basedOn w:val="Normal"/>
    <w:link w:val="BalloonTextChar"/>
    <w:uiPriority w:val="99"/>
    <w:semiHidden/>
    <w:unhideWhenUsed/>
    <w:rsid w:val="001A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FD"/>
    <w:rPr>
      <w:rFonts w:ascii="Tahoma" w:hAnsi="Tahoma" w:cs="Tahoma"/>
      <w:sz w:val="16"/>
      <w:szCs w:val="16"/>
    </w:rPr>
  </w:style>
  <w:style w:type="paragraph" w:styleId="ListParagraph">
    <w:name w:val="List Paragraph"/>
    <w:basedOn w:val="Normal"/>
    <w:uiPriority w:val="34"/>
    <w:qFormat/>
    <w:rsid w:val="001A3DFD"/>
    <w:pPr>
      <w:ind w:left="720"/>
      <w:contextualSpacing/>
    </w:pPr>
  </w:style>
  <w:style w:type="paragraph" w:styleId="FootnoteText">
    <w:name w:val="footnote text"/>
    <w:basedOn w:val="Normal"/>
    <w:link w:val="FootnoteTextChar"/>
    <w:uiPriority w:val="99"/>
    <w:semiHidden/>
    <w:unhideWhenUsed/>
    <w:rsid w:val="004D3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441"/>
    <w:rPr>
      <w:sz w:val="20"/>
      <w:szCs w:val="20"/>
    </w:rPr>
  </w:style>
  <w:style w:type="character" w:styleId="FootnoteReference">
    <w:name w:val="footnote reference"/>
    <w:basedOn w:val="DefaultParagraphFont"/>
    <w:uiPriority w:val="99"/>
    <w:semiHidden/>
    <w:unhideWhenUsed/>
    <w:rsid w:val="004D3441"/>
    <w:rPr>
      <w:vertAlign w:val="superscript"/>
    </w:rPr>
  </w:style>
  <w:style w:type="paragraph" w:styleId="Header">
    <w:name w:val="header"/>
    <w:basedOn w:val="Normal"/>
    <w:link w:val="HeaderChar"/>
    <w:uiPriority w:val="99"/>
    <w:unhideWhenUsed/>
    <w:rsid w:val="0010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4B"/>
  </w:style>
  <w:style w:type="paragraph" w:styleId="Footer">
    <w:name w:val="footer"/>
    <w:basedOn w:val="Normal"/>
    <w:link w:val="FooterChar"/>
    <w:uiPriority w:val="99"/>
    <w:unhideWhenUsed/>
    <w:rsid w:val="0010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CD91-1631-4B0B-A656-93E67DE6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4</cp:revision>
  <cp:lastPrinted>2016-09-30T14:07:00Z</cp:lastPrinted>
  <dcterms:created xsi:type="dcterms:W3CDTF">2016-10-01T07:00:00Z</dcterms:created>
  <dcterms:modified xsi:type="dcterms:W3CDTF">2016-10-01T08:32:00Z</dcterms:modified>
</cp:coreProperties>
</file>