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8B" w:rsidRDefault="0037658B" w:rsidP="007D7668">
      <w:pPr>
        <w:pStyle w:val="BoxSub"/>
        <w:pBdr>
          <w:top w:val="none" w:sz="0" w:space="0" w:color="auto"/>
          <w:left w:val="none" w:sz="0" w:space="0" w:color="auto"/>
          <w:bottom w:val="none" w:sz="0" w:space="0" w:color="auto"/>
          <w:right w:val="none" w:sz="0" w:space="0" w:color="auto"/>
        </w:pBdr>
        <w:rPr>
          <w:b/>
          <w:bCs/>
          <w:sz w:val="28"/>
        </w:rPr>
      </w:pPr>
      <w:bookmarkStart w:id="0" w:name="_GoBack"/>
      <w:bookmarkEnd w:id="0"/>
    </w:p>
    <w:p w:rsidR="0037658B" w:rsidRPr="009A7F01" w:rsidRDefault="0037658B" w:rsidP="00BB7724">
      <w:pPr>
        <w:pStyle w:val="BoxTitle"/>
        <w:pBdr>
          <w:top w:val="none" w:sz="0" w:space="0" w:color="auto"/>
          <w:left w:val="none" w:sz="0" w:space="0" w:color="auto"/>
          <w:bottom w:val="none" w:sz="0" w:space="0" w:color="auto"/>
          <w:right w:val="none" w:sz="0" w:space="0" w:color="auto"/>
        </w:pBdr>
        <w:spacing w:before="0" w:after="120"/>
        <w:rPr>
          <w:sz w:val="24"/>
        </w:rPr>
      </w:pPr>
      <w:r w:rsidRPr="009A7F01">
        <w:rPr>
          <w:caps/>
          <w:sz w:val="24"/>
        </w:rPr>
        <w:t>IASC</w:t>
      </w:r>
      <w:r w:rsidRPr="009A7F01">
        <w:rPr>
          <w:sz w:val="24"/>
        </w:rPr>
        <w:t xml:space="preserve"> PRINCIPALS AD HOC MEETING </w:t>
      </w:r>
    </w:p>
    <w:p w:rsidR="0037658B" w:rsidRPr="009A7F01" w:rsidRDefault="0037658B" w:rsidP="00BB7724">
      <w:pPr>
        <w:pStyle w:val="BoxTitle"/>
        <w:pBdr>
          <w:top w:val="none" w:sz="0" w:space="0" w:color="auto"/>
          <w:left w:val="none" w:sz="0" w:space="0" w:color="auto"/>
          <w:bottom w:val="none" w:sz="0" w:space="0" w:color="auto"/>
          <w:right w:val="none" w:sz="0" w:space="0" w:color="auto"/>
        </w:pBdr>
        <w:spacing w:before="120"/>
        <w:rPr>
          <w:caps/>
          <w:sz w:val="24"/>
        </w:rPr>
      </w:pPr>
      <w:r w:rsidRPr="009A7F01">
        <w:rPr>
          <w:caps/>
          <w:sz w:val="24"/>
        </w:rPr>
        <w:t>Central African Republic</w:t>
      </w:r>
    </w:p>
    <w:p w:rsidR="0037658B" w:rsidRPr="009A7F01" w:rsidRDefault="0037658B" w:rsidP="00BB7724">
      <w:pPr>
        <w:pStyle w:val="BoxSub"/>
        <w:pBdr>
          <w:top w:val="none" w:sz="0" w:space="0" w:color="auto"/>
          <w:left w:val="none" w:sz="0" w:space="0" w:color="auto"/>
          <w:bottom w:val="none" w:sz="0" w:space="0" w:color="auto"/>
          <w:right w:val="none" w:sz="0" w:space="0" w:color="auto"/>
        </w:pBdr>
        <w:rPr>
          <w:sz w:val="24"/>
        </w:rPr>
      </w:pPr>
      <w:r>
        <w:rPr>
          <w:sz w:val="24"/>
        </w:rPr>
        <w:t>15</w:t>
      </w:r>
      <w:r w:rsidRPr="009A7F01">
        <w:rPr>
          <w:sz w:val="24"/>
        </w:rPr>
        <w:t xml:space="preserve"> January 2014</w:t>
      </w:r>
    </w:p>
    <w:p w:rsidR="0037658B" w:rsidRPr="009A7F01" w:rsidRDefault="0037658B" w:rsidP="00BB7724">
      <w:pPr>
        <w:pStyle w:val="BoxSub"/>
        <w:pBdr>
          <w:top w:val="none" w:sz="0" w:space="0" w:color="auto"/>
          <w:left w:val="none" w:sz="0" w:space="0" w:color="auto"/>
          <w:bottom w:val="none" w:sz="0" w:space="0" w:color="auto"/>
          <w:right w:val="none" w:sz="0" w:space="0" w:color="auto"/>
        </w:pBdr>
        <w:rPr>
          <w:sz w:val="24"/>
        </w:rPr>
      </w:pPr>
    </w:p>
    <w:p w:rsidR="0037658B" w:rsidRDefault="0037658B" w:rsidP="00BB7724">
      <w:pPr>
        <w:pStyle w:val="BoxSub"/>
        <w:pBdr>
          <w:top w:val="none" w:sz="0" w:space="0" w:color="auto"/>
          <w:left w:val="none" w:sz="0" w:space="0" w:color="auto"/>
          <w:bottom w:val="none" w:sz="0" w:space="0" w:color="auto"/>
          <w:right w:val="none" w:sz="0" w:space="0" w:color="auto"/>
        </w:pBdr>
        <w:rPr>
          <w:b/>
          <w:bCs/>
          <w:sz w:val="28"/>
        </w:rPr>
      </w:pPr>
      <w:r>
        <w:rPr>
          <w:b/>
          <w:bCs/>
          <w:sz w:val="28"/>
        </w:rPr>
        <w:t>Summary Record and Action Points</w:t>
      </w:r>
    </w:p>
    <w:p w:rsidR="0037658B" w:rsidRDefault="0037658B" w:rsidP="00BB7724">
      <w:pPr>
        <w:pStyle w:val="BoxSub"/>
        <w:pBdr>
          <w:top w:val="none" w:sz="0" w:space="0" w:color="auto"/>
          <w:left w:val="none" w:sz="0" w:space="0" w:color="auto"/>
          <w:bottom w:val="none" w:sz="0" w:space="0" w:color="auto"/>
          <w:right w:val="none" w:sz="0" w:space="0" w:color="auto"/>
        </w:pBdr>
        <w:rPr>
          <w:b/>
          <w:bCs/>
          <w:sz w:val="28"/>
        </w:rPr>
      </w:pPr>
    </w:p>
    <w:p w:rsidR="0037658B" w:rsidRDefault="0037658B" w:rsidP="007D7668">
      <w:pPr>
        <w:pStyle w:val="BoxSub"/>
        <w:pBdr>
          <w:top w:val="none" w:sz="0" w:space="0" w:color="auto"/>
          <w:left w:val="none" w:sz="0" w:space="0" w:color="auto"/>
          <w:bottom w:val="none" w:sz="0" w:space="0" w:color="auto"/>
          <w:right w:val="none" w:sz="0" w:space="0" w:color="auto"/>
        </w:pBdr>
        <w:rPr>
          <w:b/>
          <w:bCs/>
          <w:sz w:val="28"/>
        </w:rPr>
      </w:pPr>
    </w:p>
    <w:p w:rsidR="0037658B" w:rsidRPr="00BB7724" w:rsidRDefault="0037658B" w:rsidP="00AF7429">
      <w:pPr>
        <w:pStyle w:val="Heading1"/>
        <w:keepNext w:val="0"/>
        <w:keepLines w:val="0"/>
        <w:widowControl w:val="0"/>
        <w:numPr>
          <w:ilvl w:val="0"/>
          <w:numId w:val="8"/>
        </w:numPr>
        <w:pBdr>
          <w:top w:val="none" w:sz="0" w:space="0" w:color="auto"/>
          <w:left w:val="none" w:sz="0" w:space="0" w:color="auto"/>
          <w:bottom w:val="none" w:sz="0" w:space="0" w:color="auto"/>
          <w:right w:val="none" w:sz="0" w:space="0" w:color="auto"/>
          <w:bar w:val="none" w:sz="0" w:color="auto"/>
        </w:pBdr>
        <w:spacing w:before="0" w:after="120" w:line="276" w:lineRule="auto"/>
        <w:ind w:left="360"/>
        <w:rPr>
          <w:i/>
          <w:iCs/>
          <w:sz w:val="24"/>
        </w:rPr>
      </w:pPr>
      <w:r w:rsidRPr="00BB7724">
        <w:rPr>
          <w:i/>
          <w:iCs/>
          <w:sz w:val="24"/>
        </w:rPr>
        <w:t>Opening remarks by the Deputy Emergency Relief Coordinator</w:t>
      </w:r>
    </w:p>
    <w:p w:rsidR="0037658B" w:rsidRPr="00BB7724" w:rsidRDefault="0037658B" w:rsidP="00432F0A">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r w:rsidRPr="00BB7724">
        <w:rPr>
          <w:sz w:val="24"/>
          <w:lang w:val="en-GB"/>
        </w:rPr>
        <w:t>The objectives of the meeting were to review progress made in implementing operational priorities,</w:t>
      </w:r>
      <w:r>
        <w:rPr>
          <w:sz w:val="24"/>
          <w:lang w:val="en-GB"/>
        </w:rPr>
        <w:t xml:space="preserve"> scaling up capacity and mobiliz</w:t>
      </w:r>
      <w:r w:rsidRPr="00BB7724">
        <w:rPr>
          <w:sz w:val="24"/>
          <w:lang w:val="en-GB"/>
        </w:rPr>
        <w:t>ing support, ahead of the OCHA-EU High-Level Conference on the humanitarian situation in CAR scheduled on 20 January in Brussels.</w:t>
      </w:r>
    </w:p>
    <w:p w:rsidR="0037658B" w:rsidRPr="00BB7724" w:rsidRDefault="0037658B" w:rsidP="000E7D63">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r>
        <w:rPr>
          <w:sz w:val="24"/>
          <w:lang w:val="en-GB"/>
        </w:rPr>
        <w:t xml:space="preserve">The DERC noted some </w:t>
      </w:r>
      <w:r w:rsidRPr="00BB7724">
        <w:rPr>
          <w:sz w:val="24"/>
          <w:lang w:val="en-GB"/>
        </w:rPr>
        <w:t>major developments since the last IASC meeting</w:t>
      </w:r>
      <w:r>
        <w:rPr>
          <w:sz w:val="24"/>
          <w:lang w:val="en-GB"/>
        </w:rPr>
        <w:t xml:space="preserve">, including the resignations of the transitional president and prime minister; agreement in principle by the European Union </w:t>
      </w:r>
      <w:r w:rsidRPr="00BB7724">
        <w:rPr>
          <w:sz w:val="24"/>
          <w:lang w:val="en-GB"/>
        </w:rPr>
        <w:t>to deploy a military mission in sup</w:t>
      </w:r>
      <w:r>
        <w:rPr>
          <w:sz w:val="24"/>
          <w:lang w:val="en-GB"/>
        </w:rPr>
        <w:t>port of MISCA and French troops; and arrival of more than 300 Moroccan troops to form the BINUCA Guard Unit and</w:t>
      </w:r>
      <w:r w:rsidRPr="00BB7724">
        <w:rPr>
          <w:sz w:val="24"/>
          <w:lang w:val="en-GB"/>
        </w:rPr>
        <w:t xml:space="preserve"> provide security for UN </w:t>
      </w:r>
      <w:r>
        <w:rPr>
          <w:sz w:val="24"/>
          <w:lang w:val="en-GB"/>
        </w:rPr>
        <w:t>staff and assets, as authorized by the Council on 29 October 2013.</w:t>
      </w:r>
    </w:p>
    <w:p w:rsidR="0037658B" w:rsidRPr="00BB7724" w:rsidRDefault="0037658B" w:rsidP="00AF7429">
      <w:pPr>
        <w:pStyle w:val="Heading1"/>
        <w:keepNext w:val="0"/>
        <w:keepLines w:val="0"/>
        <w:widowControl w:val="0"/>
        <w:numPr>
          <w:ilvl w:val="0"/>
          <w:numId w:val="8"/>
        </w:numPr>
        <w:pBdr>
          <w:top w:val="none" w:sz="0" w:space="0" w:color="auto"/>
          <w:left w:val="none" w:sz="0" w:space="0" w:color="auto"/>
          <w:bottom w:val="none" w:sz="0" w:space="0" w:color="auto"/>
          <w:right w:val="none" w:sz="0" w:space="0" w:color="auto"/>
          <w:bar w:val="none" w:sz="0" w:color="auto"/>
        </w:pBdr>
        <w:tabs>
          <w:tab w:val="clear" w:pos="567"/>
          <w:tab w:val="left" w:pos="360"/>
        </w:tabs>
        <w:spacing w:before="0" w:after="120" w:line="276" w:lineRule="auto"/>
        <w:ind w:hanging="720"/>
        <w:rPr>
          <w:i/>
          <w:iCs/>
          <w:sz w:val="24"/>
        </w:rPr>
      </w:pPr>
      <w:r w:rsidRPr="00BB7724">
        <w:rPr>
          <w:i/>
          <w:iCs/>
          <w:sz w:val="24"/>
        </w:rPr>
        <w:t>Update on humanitarian situation and operations</w:t>
      </w:r>
    </w:p>
    <w:p w:rsidR="0037658B" w:rsidRPr="00BB7724" w:rsidRDefault="0037658B" w:rsidP="004A3C03">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r w:rsidRPr="00BB7724">
        <w:rPr>
          <w:sz w:val="24"/>
          <w:lang w:val="en-GB"/>
        </w:rPr>
        <w:t xml:space="preserve">The </w:t>
      </w:r>
      <w:r>
        <w:rPr>
          <w:sz w:val="24"/>
          <w:lang w:val="en-GB"/>
        </w:rPr>
        <w:t xml:space="preserve">Senior Humanitarian Coordinator stressed that the </w:t>
      </w:r>
      <w:r w:rsidRPr="00BB7724">
        <w:rPr>
          <w:sz w:val="24"/>
          <w:lang w:val="en-GB"/>
        </w:rPr>
        <w:t xml:space="preserve">humanitarian situation remained </w:t>
      </w:r>
      <w:r>
        <w:rPr>
          <w:sz w:val="24"/>
          <w:lang w:val="en-GB"/>
        </w:rPr>
        <w:t>dire</w:t>
      </w:r>
      <w:r w:rsidRPr="00BB7724">
        <w:rPr>
          <w:sz w:val="24"/>
          <w:lang w:val="en-GB"/>
        </w:rPr>
        <w:t>. Half of the population of Bangui was displaced and 2.6 million people were in need of humanitarian assistance. The results of the multi</w:t>
      </w:r>
      <w:r>
        <w:rPr>
          <w:sz w:val="24"/>
          <w:lang w:val="en-GB"/>
        </w:rPr>
        <w:t xml:space="preserve">-sector needs assessment (MIRA) </w:t>
      </w:r>
      <w:r w:rsidRPr="00BB7724">
        <w:rPr>
          <w:sz w:val="24"/>
          <w:lang w:val="en-GB"/>
        </w:rPr>
        <w:t>released on 14 January</w:t>
      </w:r>
      <w:r>
        <w:rPr>
          <w:sz w:val="24"/>
          <w:lang w:val="en-GB"/>
        </w:rPr>
        <w:t xml:space="preserve"> revealed that the number of affected persons was significantly higher than originally estimated. Funding</w:t>
      </w:r>
      <w:r w:rsidRPr="00BB7724">
        <w:rPr>
          <w:sz w:val="24"/>
          <w:lang w:val="en-GB"/>
        </w:rPr>
        <w:t xml:space="preserve"> requi</w:t>
      </w:r>
      <w:r>
        <w:rPr>
          <w:sz w:val="24"/>
          <w:lang w:val="en-GB"/>
        </w:rPr>
        <w:t xml:space="preserve">red was </w:t>
      </w:r>
      <w:r w:rsidRPr="00BB7724">
        <w:rPr>
          <w:sz w:val="24"/>
          <w:lang w:val="en-GB"/>
        </w:rPr>
        <w:t xml:space="preserve">expected to increase significantly </w:t>
      </w:r>
      <w:r>
        <w:rPr>
          <w:sz w:val="24"/>
          <w:lang w:val="en-GB"/>
        </w:rPr>
        <w:t>to</w:t>
      </w:r>
      <w:r w:rsidRPr="00BB7724">
        <w:rPr>
          <w:sz w:val="24"/>
          <w:lang w:val="en-GB"/>
        </w:rPr>
        <w:t xml:space="preserve"> possibly USD 500 million </w:t>
      </w:r>
      <w:r>
        <w:rPr>
          <w:sz w:val="24"/>
          <w:lang w:val="en-GB"/>
        </w:rPr>
        <w:t>for the revised SRP for</w:t>
      </w:r>
      <w:r w:rsidRPr="00BB7724">
        <w:rPr>
          <w:sz w:val="24"/>
          <w:lang w:val="en-GB"/>
        </w:rPr>
        <w:t xml:space="preserve"> 2014. The HCT planned to establish eight operational hubs, with one UN agency in the lead for each location.</w:t>
      </w:r>
    </w:p>
    <w:p w:rsidR="0037658B" w:rsidRPr="00BB7724" w:rsidRDefault="0037658B" w:rsidP="004A3C03">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r w:rsidRPr="00BB7724">
        <w:rPr>
          <w:sz w:val="24"/>
          <w:lang w:val="en-GB"/>
        </w:rPr>
        <w:t>Priorities highlighted by the MIRA</w:t>
      </w:r>
      <w:r>
        <w:rPr>
          <w:sz w:val="24"/>
          <w:lang w:val="en-GB"/>
        </w:rPr>
        <w:t>, and commented upon by participants, included</w:t>
      </w:r>
      <w:r w:rsidRPr="00BB7724">
        <w:rPr>
          <w:sz w:val="24"/>
          <w:lang w:val="en-GB"/>
        </w:rPr>
        <w:t xml:space="preserve">: </w:t>
      </w:r>
      <w:r w:rsidRPr="00BB7724">
        <w:rPr>
          <w:b/>
          <w:bCs/>
          <w:sz w:val="24"/>
          <w:lang w:val="en-GB"/>
        </w:rPr>
        <w:t>Health/ WASH</w:t>
      </w:r>
      <w:r w:rsidRPr="00BB7724">
        <w:rPr>
          <w:sz w:val="24"/>
          <w:lang w:val="en-GB"/>
        </w:rPr>
        <w:t xml:space="preserve">: the health system has collapsed and 70% of people interviewed identified access to health services as their top priority. The lack of health and WASH infrastructure in camps </w:t>
      </w:r>
      <w:r>
        <w:rPr>
          <w:sz w:val="24"/>
          <w:lang w:val="en-GB"/>
        </w:rPr>
        <w:t>greatly increases the</w:t>
      </w:r>
      <w:r w:rsidRPr="00BB7724">
        <w:rPr>
          <w:sz w:val="24"/>
          <w:lang w:val="en-GB"/>
        </w:rPr>
        <w:t xml:space="preserve"> risk of </w:t>
      </w:r>
      <w:r>
        <w:rPr>
          <w:sz w:val="24"/>
          <w:lang w:val="en-GB"/>
        </w:rPr>
        <w:t>communicable disease</w:t>
      </w:r>
      <w:r w:rsidRPr="00BB7724">
        <w:rPr>
          <w:sz w:val="24"/>
          <w:lang w:val="en-GB"/>
        </w:rPr>
        <w:t xml:space="preserve"> outbreak</w:t>
      </w:r>
      <w:r>
        <w:rPr>
          <w:sz w:val="24"/>
          <w:lang w:val="en-GB"/>
        </w:rPr>
        <w:t>s</w:t>
      </w:r>
      <w:r w:rsidRPr="00BB7724">
        <w:rPr>
          <w:sz w:val="24"/>
          <w:lang w:val="en-GB"/>
        </w:rPr>
        <w:t>.</w:t>
      </w:r>
      <w:r>
        <w:rPr>
          <w:sz w:val="24"/>
          <w:lang w:val="en-GB"/>
        </w:rPr>
        <w:t xml:space="preserve"> </w:t>
      </w:r>
      <w:r w:rsidRPr="0059202C">
        <w:rPr>
          <w:b/>
          <w:bCs/>
          <w:sz w:val="24"/>
          <w:lang w:val="en-GB"/>
        </w:rPr>
        <w:t>Food Security:</w:t>
      </w:r>
      <w:r>
        <w:rPr>
          <w:sz w:val="24"/>
          <w:lang w:val="en-GB"/>
        </w:rPr>
        <w:t xml:space="preserve"> There was growing food insecurity due to displacement and disruption of market and agricultural activity. WFP was engaged in a large food assistance programme. There were concerns about a fragile food pipeline with virtually no resources for the pre-positioning that needed to begin immediately to avoid costly airlifting during the rainy season.</w:t>
      </w:r>
      <w:r w:rsidRPr="00BB7724">
        <w:rPr>
          <w:sz w:val="24"/>
          <w:lang w:val="en-GB"/>
        </w:rPr>
        <w:t xml:space="preserve"> </w:t>
      </w:r>
      <w:r w:rsidRPr="00BB7724">
        <w:rPr>
          <w:b/>
          <w:bCs/>
          <w:sz w:val="24"/>
          <w:lang w:val="en-GB"/>
        </w:rPr>
        <w:t>Livelihoods:</w:t>
      </w:r>
      <w:r w:rsidRPr="00BB7724">
        <w:rPr>
          <w:sz w:val="24"/>
          <w:lang w:val="en-GB"/>
        </w:rPr>
        <w:t xml:space="preserve"> </w:t>
      </w:r>
      <w:r>
        <w:rPr>
          <w:sz w:val="24"/>
          <w:lang w:val="en-GB"/>
        </w:rPr>
        <w:t>4</w:t>
      </w:r>
      <w:r w:rsidRPr="00BB7724">
        <w:rPr>
          <w:sz w:val="24"/>
          <w:lang w:val="en-GB"/>
        </w:rPr>
        <w:t xml:space="preserve">9% of affected </w:t>
      </w:r>
      <w:r>
        <w:rPr>
          <w:sz w:val="24"/>
          <w:lang w:val="en-GB"/>
        </w:rPr>
        <w:t>communities</w:t>
      </w:r>
      <w:r w:rsidRPr="00BB7724">
        <w:rPr>
          <w:sz w:val="24"/>
          <w:lang w:val="en-GB"/>
        </w:rPr>
        <w:t xml:space="preserve"> stated the need to receive seeds before the March planting season</w:t>
      </w:r>
      <w:r>
        <w:rPr>
          <w:sz w:val="24"/>
          <w:lang w:val="en-GB"/>
        </w:rPr>
        <w:t>;</w:t>
      </w:r>
      <w:r w:rsidRPr="00BB7724">
        <w:rPr>
          <w:sz w:val="24"/>
          <w:lang w:val="en-GB"/>
        </w:rPr>
        <w:t xml:space="preserve"> FAO planned to distribute seeds to 240,000 households </w:t>
      </w:r>
      <w:r>
        <w:rPr>
          <w:sz w:val="24"/>
          <w:lang w:val="en-GB"/>
        </w:rPr>
        <w:t>by then</w:t>
      </w:r>
      <w:r w:rsidRPr="00BB7724">
        <w:rPr>
          <w:sz w:val="24"/>
          <w:lang w:val="en-GB"/>
        </w:rPr>
        <w:t xml:space="preserve">. </w:t>
      </w:r>
      <w:r w:rsidRPr="00BB7724">
        <w:rPr>
          <w:b/>
          <w:bCs/>
          <w:sz w:val="24"/>
          <w:lang w:val="en-GB"/>
        </w:rPr>
        <w:t>P</w:t>
      </w:r>
      <w:r>
        <w:rPr>
          <w:b/>
          <w:bCs/>
          <w:sz w:val="24"/>
          <w:lang w:val="en-GB"/>
        </w:rPr>
        <w:t>rotection</w:t>
      </w:r>
      <w:r w:rsidRPr="00BB7724">
        <w:rPr>
          <w:b/>
          <w:bCs/>
          <w:sz w:val="24"/>
          <w:lang w:val="en-GB"/>
        </w:rPr>
        <w:t xml:space="preserve"> and Sexual and Gender-Based Violence (SGBV): </w:t>
      </w:r>
      <w:r w:rsidRPr="00BB7724">
        <w:rPr>
          <w:bCs/>
          <w:sz w:val="24"/>
          <w:lang w:val="en-GB"/>
        </w:rPr>
        <w:t>most communities reported violence, executions (men) and rape (women). Unaccompanied children were reported in the majority of communities</w:t>
      </w:r>
      <w:r w:rsidRPr="00BB7724">
        <w:rPr>
          <w:sz w:val="24"/>
          <w:lang w:val="en-GB"/>
        </w:rPr>
        <w:t xml:space="preserve">. </w:t>
      </w:r>
      <w:r>
        <w:rPr>
          <w:sz w:val="24"/>
          <w:lang w:val="en-GB"/>
        </w:rPr>
        <w:t xml:space="preserve">UNHCR underlined its intention to focus on protection issues.  </w:t>
      </w:r>
      <w:r w:rsidRPr="00BB7724">
        <w:rPr>
          <w:sz w:val="24"/>
          <w:lang w:val="en-GB"/>
        </w:rPr>
        <w:t>Several participants underlined the n</w:t>
      </w:r>
      <w:r>
        <w:rPr>
          <w:sz w:val="24"/>
          <w:lang w:val="en-GB"/>
        </w:rPr>
        <w:t xml:space="preserve">eed for </w:t>
      </w:r>
      <w:r w:rsidRPr="00BB7724">
        <w:rPr>
          <w:sz w:val="24"/>
          <w:lang w:val="en-GB"/>
        </w:rPr>
        <w:t>an SGBV prevention</w:t>
      </w:r>
      <w:r>
        <w:rPr>
          <w:sz w:val="24"/>
          <w:lang w:val="en-GB"/>
        </w:rPr>
        <w:t xml:space="preserve"> strategy</w:t>
      </w:r>
      <w:r w:rsidRPr="00BB7724">
        <w:rPr>
          <w:sz w:val="24"/>
          <w:lang w:val="en-GB"/>
        </w:rPr>
        <w:t xml:space="preserve">.  </w:t>
      </w:r>
      <w:r w:rsidRPr="00BB7724">
        <w:rPr>
          <w:b/>
          <w:bCs/>
          <w:sz w:val="24"/>
          <w:lang w:val="en-GB"/>
        </w:rPr>
        <w:t>Refugees:</w:t>
      </w:r>
      <w:r w:rsidRPr="00BB7724">
        <w:rPr>
          <w:sz w:val="24"/>
          <w:lang w:val="en-GB"/>
        </w:rPr>
        <w:t xml:space="preserve"> The crisis </w:t>
      </w:r>
      <w:r>
        <w:rPr>
          <w:sz w:val="24"/>
          <w:lang w:val="en-GB"/>
        </w:rPr>
        <w:t>comprised a significant</w:t>
      </w:r>
      <w:r w:rsidRPr="00BB7724">
        <w:rPr>
          <w:sz w:val="24"/>
          <w:lang w:val="en-GB"/>
        </w:rPr>
        <w:t xml:space="preserve"> regional dimension, with 240,000 refugees registered in surrounding countries. </w:t>
      </w:r>
      <w:r w:rsidRPr="00BB7724">
        <w:rPr>
          <w:b/>
          <w:bCs/>
          <w:sz w:val="24"/>
          <w:lang w:val="en-GB"/>
        </w:rPr>
        <w:t>Logistics:</w:t>
      </w:r>
      <w:r w:rsidRPr="00BB7724">
        <w:rPr>
          <w:sz w:val="24"/>
          <w:lang w:val="en-GB"/>
        </w:rPr>
        <w:t xml:space="preserve"> WFP </w:t>
      </w:r>
      <w:r>
        <w:rPr>
          <w:sz w:val="24"/>
          <w:lang w:val="en-GB"/>
        </w:rPr>
        <w:t>stated that it was increasing its air and trucking capacity to provide common services as required matching the operational scale-up</w:t>
      </w:r>
      <w:r w:rsidRPr="00BB7724">
        <w:rPr>
          <w:sz w:val="24"/>
          <w:lang w:val="en-GB"/>
        </w:rPr>
        <w:t xml:space="preserve">. </w:t>
      </w:r>
      <w:r w:rsidRPr="00BB7724">
        <w:rPr>
          <w:b/>
          <w:bCs/>
          <w:sz w:val="24"/>
          <w:lang w:val="en-GB"/>
        </w:rPr>
        <w:t>IDPs:</w:t>
      </w:r>
      <w:r w:rsidRPr="00BB7724">
        <w:rPr>
          <w:sz w:val="24"/>
          <w:lang w:val="en-GB"/>
        </w:rPr>
        <w:t xml:space="preserve"> Participants called for a</w:t>
      </w:r>
      <w:r>
        <w:rPr>
          <w:sz w:val="24"/>
          <w:lang w:val="en-GB"/>
        </w:rPr>
        <w:t xml:space="preserve">n improved system </w:t>
      </w:r>
      <w:r w:rsidRPr="00BB7724">
        <w:rPr>
          <w:sz w:val="24"/>
          <w:lang w:val="en-GB"/>
        </w:rPr>
        <w:t xml:space="preserve">to track </w:t>
      </w:r>
      <w:r>
        <w:rPr>
          <w:sz w:val="24"/>
          <w:lang w:val="en-GB"/>
        </w:rPr>
        <w:t xml:space="preserve">the increasingly dynamic </w:t>
      </w:r>
      <w:r w:rsidRPr="00BB7724">
        <w:rPr>
          <w:sz w:val="24"/>
          <w:lang w:val="en-GB"/>
        </w:rPr>
        <w:t>IDP numbers</w:t>
      </w:r>
      <w:r>
        <w:rPr>
          <w:sz w:val="24"/>
          <w:lang w:val="en-GB"/>
        </w:rPr>
        <w:t>,</w:t>
      </w:r>
      <w:r w:rsidRPr="00BB7724">
        <w:rPr>
          <w:sz w:val="24"/>
          <w:lang w:val="en-GB"/>
        </w:rPr>
        <w:t xml:space="preserve"> movements, </w:t>
      </w:r>
      <w:r>
        <w:rPr>
          <w:sz w:val="24"/>
          <w:lang w:val="en-GB"/>
        </w:rPr>
        <w:t>as well as</w:t>
      </w:r>
      <w:r w:rsidRPr="00BB7724">
        <w:rPr>
          <w:sz w:val="24"/>
          <w:lang w:val="en-GB"/>
        </w:rPr>
        <w:t xml:space="preserve"> host families and returnees. </w:t>
      </w:r>
      <w:r>
        <w:rPr>
          <w:sz w:val="24"/>
          <w:lang w:val="en-GB"/>
        </w:rPr>
        <w:t xml:space="preserve">In respect of the Bangui airport, as re-establishing a safe environment for people to return to was </w:t>
      </w:r>
      <w:r>
        <w:rPr>
          <w:sz w:val="24"/>
          <w:lang w:val="en-GB"/>
        </w:rPr>
        <w:lastRenderedPageBreak/>
        <w:t xml:space="preserve">likely to take time, the HCT needed to double its efforts to meet critical needs, which may involve the installation of some infrastructure, </w:t>
      </w:r>
      <w:r w:rsidRPr="00BB7724">
        <w:rPr>
          <w:sz w:val="24"/>
          <w:lang w:val="en-GB"/>
        </w:rPr>
        <w:t>without institutionali</w:t>
      </w:r>
      <w:r>
        <w:rPr>
          <w:sz w:val="24"/>
          <w:lang w:val="en-GB"/>
        </w:rPr>
        <w:t>z</w:t>
      </w:r>
      <w:r w:rsidRPr="00BB7724">
        <w:rPr>
          <w:sz w:val="24"/>
          <w:lang w:val="en-GB"/>
        </w:rPr>
        <w:t xml:space="preserve">ing camps as permanent solutions. The </w:t>
      </w:r>
      <w:r>
        <w:rPr>
          <w:sz w:val="24"/>
          <w:lang w:val="en-GB"/>
        </w:rPr>
        <w:t>SHC advised that a</w:t>
      </w:r>
      <w:r w:rsidRPr="00BB7724">
        <w:rPr>
          <w:sz w:val="24"/>
          <w:lang w:val="en-GB"/>
        </w:rPr>
        <w:t xml:space="preserve"> contingency plan for the airport would be ready by the end of January.</w:t>
      </w:r>
    </w:p>
    <w:p w:rsidR="0037658B" w:rsidRPr="00BB7724" w:rsidRDefault="0037658B" w:rsidP="006D66E2">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eastAsia="en-GB"/>
        </w:rPr>
      </w:pPr>
      <w:r w:rsidRPr="00BB7724">
        <w:rPr>
          <w:sz w:val="24"/>
          <w:lang w:val="en-GB"/>
        </w:rPr>
        <w:t xml:space="preserve">Priority areas were Bangui, </w:t>
      </w:r>
      <w:r>
        <w:rPr>
          <w:sz w:val="24"/>
          <w:lang w:val="en-GB"/>
        </w:rPr>
        <w:t>and</w:t>
      </w:r>
      <w:r w:rsidRPr="00BB7724">
        <w:rPr>
          <w:sz w:val="24"/>
          <w:lang w:val="en-GB"/>
        </w:rPr>
        <w:t xml:space="preserve"> the North </w:t>
      </w:r>
      <w:r>
        <w:rPr>
          <w:sz w:val="24"/>
          <w:lang w:val="en-GB"/>
        </w:rPr>
        <w:t>E</w:t>
      </w:r>
      <w:r w:rsidRPr="00BB7724">
        <w:rPr>
          <w:sz w:val="24"/>
          <w:lang w:val="en-GB"/>
        </w:rPr>
        <w:t>as</w:t>
      </w:r>
      <w:r>
        <w:rPr>
          <w:sz w:val="24"/>
          <w:lang w:val="en-GB"/>
        </w:rPr>
        <w:t>t and North West Provinces. In the NW</w:t>
      </w:r>
      <w:r w:rsidRPr="00BB7724">
        <w:rPr>
          <w:sz w:val="24"/>
          <w:lang w:val="en-GB"/>
        </w:rPr>
        <w:t xml:space="preserve"> Provinces, additional priority needs for the IDP were in communication, food and NFI, </w:t>
      </w:r>
      <w:r>
        <w:rPr>
          <w:sz w:val="24"/>
          <w:lang w:val="en-GB"/>
        </w:rPr>
        <w:t xml:space="preserve">and </w:t>
      </w:r>
      <w:r w:rsidRPr="00BB7724">
        <w:rPr>
          <w:sz w:val="24"/>
          <w:lang w:val="en-GB"/>
        </w:rPr>
        <w:t xml:space="preserve">assistance for IDP </w:t>
      </w:r>
      <w:r>
        <w:rPr>
          <w:sz w:val="24"/>
          <w:lang w:val="en-GB"/>
        </w:rPr>
        <w:t>returning</w:t>
      </w:r>
      <w:r w:rsidRPr="00BB7724">
        <w:rPr>
          <w:sz w:val="24"/>
          <w:lang w:val="en-GB"/>
        </w:rPr>
        <w:t xml:space="preserve"> home. An additional priority was </w:t>
      </w:r>
      <w:r w:rsidRPr="00BB7724">
        <w:rPr>
          <w:b/>
          <w:bCs/>
          <w:sz w:val="24"/>
          <w:lang w:val="en-GB"/>
        </w:rPr>
        <w:t>Communication with Communities (CwC)</w:t>
      </w:r>
      <w:r>
        <w:rPr>
          <w:b/>
          <w:bCs/>
          <w:sz w:val="24"/>
          <w:lang w:val="en-GB"/>
        </w:rPr>
        <w:t>,</w:t>
      </w:r>
      <w:r w:rsidRPr="00BB7724">
        <w:rPr>
          <w:b/>
          <w:bCs/>
          <w:sz w:val="24"/>
          <w:lang w:val="en-GB"/>
        </w:rPr>
        <w:t xml:space="preserve"> </w:t>
      </w:r>
      <w:r w:rsidRPr="00980DCA">
        <w:rPr>
          <w:bCs/>
          <w:sz w:val="24"/>
          <w:lang w:val="en-GB"/>
        </w:rPr>
        <w:t xml:space="preserve">in the broader context of </w:t>
      </w:r>
      <w:r>
        <w:rPr>
          <w:bCs/>
          <w:sz w:val="24"/>
          <w:lang w:val="en-GB"/>
        </w:rPr>
        <w:t xml:space="preserve">improving </w:t>
      </w:r>
      <w:r w:rsidRPr="00980DCA">
        <w:rPr>
          <w:bCs/>
          <w:sz w:val="24"/>
          <w:lang w:val="en-GB"/>
        </w:rPr>
        <w:t xml:space="preserve">accountability to affected </w:t>
      </w:r>
      <w:r>
        <w:rPr>
          <w:bCs/>
          <w:sz w:val="24"/>
          <w:lang w:val="en-GB"/>
        </w:rPr>
        <w:t>people</w:t>
      </w:r>
      <w:r w:rsidRPr="00BB7724">
        <w:rPr>
          <w:bCs/>
          <w:sz w:val="24"/>
          <w:lang w:val="en-GB"/>
        </w:rPr>
        <w:t xml:space="preserve"> learning from past experiences</w:t>
      </w:r>
      <w:r>
        <w:rPr>
          <w:bCs/>
          <w:sz w:val="24"/>
          <w:lang w:val="en-GB"/>
        </w:rPr>
        <w:t>, especially OCHA’s work in the Philippines</w:t>
      </w:r>
      <w:r w:rsidRPr="00BB7724">
        <w:rPr>
          <w:sz w:val="24"/>
          <w:lang w:val="en-GB"/>
        </w:rPr>
        <w:t xml:space="preserve">. </w:t>
      </w:r>
    </w:p>
    <w:p w:rsidR="0037658B" w:rsidRDefault="0037658B" w:rsidP="004A3C03">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b/>
          <w:bCs/>
          <w:sz w:val="24"/>
          <w:lang w:val="en-GB"/>
        </w:rPr>
      </w:pPr>
      <w:r w:rsidRPr="00BB7724">
        <w:rPr>
          <w:b/>
          <w:bCs/>
          <w:sz w:val="24"/>
          <w:lang w:val="en-GB"/>
        </w:rPr>
        <w:t xml:space="preserve">Human Rights: </w:t>
      </w:r>
      <w:r w:rsidRPr="00BB7724">
        <w:rPr>
          <w:sz w:val="24"/>
          <w:lang w:val="en-GB"/>
        </w:rPr>
        <w:t xml:space="preserve">A press release with preliminary findings of the OHCHR fact-finding mission in December had been released on </w:t>
      </w:r>
      <w:r>
        <w:rPr>
          <w:sz w:val="24"/>
          <w:lang w:val="en-GB"/>
        </w:rPr>
        <w:t xml:space="preserve">14 January, </w:t>
      </w:r>
      <w:r>
        <w:t xml:space="preserve">documenting grave human rights violations since 5 December. </w:t>
      </w:r>
      <w:r>
        <w:rPr>
          <w:sz w:val="24"/>
          <w:lang w:val="en-GB"/>
        </w:rPr>
        <w:t>T</w:t>
      </w:r>
      <w:r w:rsidRPr="00BB7724">
        <w:rPr>
          <w:sz w:val="24"/>
          <w:lang w:val="en-GB"/>
        </w:rPr>
        <w:t>he Human Rights Council</w:t>
      </w:r>
      <w:r>
        <w:rPr>
          <w:sz w:val="24"/>
          <w:lang w:val="en-GB"/>
        </w:rPr>
        <w:t xml:space="preserve"> would have a special session </w:t>
      </w:r>
      <w:r w:rsidRPr="00BB7724">
        <w:rPr>
          <w:sz w:val="24"/>
          <w:lang w:val="en-GB"/>
        </w:rPr>
        <w:t>on 20 January</w:t>
      </w:r>
      <w:r>
        <w:rPr>
          <w:sz w:val="24"/>
          <w:lang w:val="en-GB"/>
        </w:rPr>
        <w:t xml:space="preserve"> and it was expected that an independent expert on the situation of human rights would be established</w:t>
      </w:r>
      <w:r w:rsidRPr="00BB7724">
        <w:rPr>
          <w:sz w:val="24"/>
          <w:lang w:val="en-GB"/>
        </w:rPr>
        <w:t xml:space="preserve">. OHCHR </w:t>
      </w:r>
      <w:r>
        <w:rPr>
          <w:sz w:val="24"/>
          <w:lang w:val="en-GB"/>
        </w:rPr>
        <w:t xml:space="preserve">had sent an advance team </w:t>
      </w:r>
      <w:r>
        <w:t xml:space="preserve">of the Commission of Inquiry and was taking urgent steps to strengthen the BINUCA Human Rights and Justice Section. OHCHR reiterated the </w:t>
      </w:r>
      <w:r>
        <w:rPr>
          <w:sz w:val="24"/>
          <w:lang w:val="en-GB"/>
        </w:rPr>
        <w:t xml:space="preserve">call for </w:t>
      </w:r>
      <w:r w:rsidRPr="00BB7724">
        <w:rPr>
          <w:sz w:val="24"/>
          <w:lang w:val="en-GB"/>
        </w:rPr>
        <w:t xml:space="preserve">IASC </w:t>
      </w:r>
      <w:r>
        <w:rPr>
          <w:sz w:val="24"/>
          <w:lang w:val="en-GB"/>
        </w:rPr>
        <w:t>organiz</w:t>
      </w:r>
      <w:r w:rsidRPr="00BB7724">
        <w:rPr>
          <w:sz w:val="24"/>
          <w:lang w:val="en-GB"/>
        </w:rPr>
        <w:t>ations to support the work of the Commission of Inquiry.</w:t>
      </w:r>
      <w:r w:rsidRPr="00BB7724">
        <w:rPr>
          <w:b/>
          <w:bCs/>
          <w:sz w:val="24"/>
          <w:lang w:val="en-GB"/>
        </w:rPr>
        <w:t xml:space="preserve"> </w:t>
      </w:r>
    </w:p>
    <w:p w:rsidR="0037658B" w:rsidRPr="00BB7724" w:rsidRDefault="0037658B" w:rsidP="009248B2">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b/>
          <w:bCs/>
          <w:sz w:val="24"/>
          <w:lang w:val="en-GB"/>
        </w:rPr>
      </w:pPr>
      <w:r>
        <w:rPr>
          <w:b/>
          <w:bCs/>
          <w:sz w:val="24"/>
          <w:lang w:val="en-GB"/>
        </w:rPr>
        <w:t xml:space="preserve">Political: </w:t>
      </w:r>
      <w:r w:rsidRPr="007E2292">
        <w:rPr>
          <w:bCs/>
          <w:sz w:val="24"/>
          <w:lang w:val="en-GB"/>
        </w:rPr>
        <w:t>The current political situation</w:t>
      </w:r>
      <w:r>
        <w:rPr>
          <w:bCs/>
          <w:sz w:val="24"/>
          <w:lang w:val="en-GB"/>
        </w:rPr>
        <w:t>, particularly progress in the new transitional arrangement,</w:t>
      </w:r>
      <w:r w:rsidRPr="007E2292">
        <w:rPr>
          <w:bCs/>
          <w:sz w:val="24"/>
          <w:lang w:val="en-GB"/>
        </w:rPr>
        <w:t xml:space="preserve"> and its impact on the </w:t>
      </w:r>
      <w:r>
        <w:rPr>
          <w:bCs/>
          <w:sz w:val="24"/>
          <w:lang w:val="en-GB"/>
        </w:rPr>
        <w:t>security and humanita</w:t>
      </w:r>
      <w:r w:rsidRPr="007E2292">
        <w:rPr>
          <w:bCs/>
          <w:sz w:val="24"/>
          <w:lang w:val="en-GB"/>
        </w:rPr>
        <w:t>rian crisis was discussed.</w:t>
      </w:r>
      <w:r>
        <w:rPr>
          <w:bCs/>
          <w:sz w:val="24"/>
          <w:lang w:val="en-GB"/>
        </w:rPr>
        <w:t xml:space="preserve"> In particular, an update was provided on the temporary solution being sought to provide food to the cantoned but not disarmed ex-Séléka.</w:t>
      </w:r>
    </w:p>
    <w:p w:rsidR="0037658B" w:rsidRPr="00BB7724" w:rsidRDefault="0037658B" w:rsidP="00AF7429">
      <w:pPr>
        <w:pStyle w:val="Heading1"/>
        <w:keepNext w:val="0"/>
        <w:keepLines w:val="0"/>
        <w:widowControl w:val="0"/>
        <w:numPr>
          <w:ilvl w:val="0"/>
          <w:numId w:val="8"/>
        </w:numPr>
        <w:pBdr>
          <w:top w:val="none" w:sz="0" w:space="0" w:color="auto"/>
          <w:left w:val="none" w:sz="0" w:space="0" w:color="auto"/>
          <w:bottom w:val="none" w:sz="0" w:space="0" w:color="auto"/>
          <w:right w:val="none" w:sz="0" w:space="0" w:color="auto"/>
          <w:bar w:val="none" w:sz="0" w:color="auto"/>
        </w:pBdr>
        <w:tabs>
          <w:tab w:val="clear" w:pos="567"/>
          <w:tab w:val="left" w:pos="360"/>
        </w:tabs>
        <w:spacing w:before="0" w:after="120" w:line="276" w:lineRule="auto"/>
        <w:ind w:hanging="720"/>
        <w:rPr>
          <w:i/>
          <w:iCs/>
          <w:sz w:val="24"/>
        </w:rPr>
      </w:pPr>
      <w:r w:rsidRPr="00BB7724">
        <w:rPr>
          <w:i/>
          <w:iCs/>
          <w:sz w:val="24"/>
        </w:rPr>
        <w:t>Implementation of L3 system-wide response</w:t>
      </w:r>
    </w:p>
    <w:p w:rsidR="0037658B" w:rsidRPr="00BB7724" w:rsidRDefault="0037658B" w:rsidP="000C072B">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r>
        <w:rPr>
          <w:sz w:val="24"/>
          <w:lang w:eastAsia="en-GB"/>
        </w:rPr>
        <w:t xml:space="preserve">The Chair of the Emergency Directors Group noted that </w:t>
      </w:r>
      <w:r w:rsidRPr="00BB7724">
        <w:rPr>
          <w:sz w:val="24"/>
          <w:lang w:eastAsia="en-GB"/>
        </w:rPr>
        <w:t xml:space="preserve">the L3-activation </w:t>
      </w:r>
      <w:r>
        <w:rPr>
          <w:sz w:val="24"/>
          <w:lang w:eastAsia="en-GB"/>
        </w:rPr>
        <w:t xml:space="preserve">had led to the successful instalment of </w:t>
      </w:r>
      <w:r w:rsidRPr="00BB7724">
        <w:rPr>
          <w:sz w:val="24"/>
          <w:lang w:eastAsia="en-GB"/>
        </w:rPr>
        <w:t>str</w:t>
      </w:r>
      <w:r>
        <w:rPr>
          <w:sz w:val="24"/>
          <w:lang w:eastAsia="en-GB"/>
        </w:rPr>
        <w:t xml:space="preserve">ong leadership; the timely completion of a top quality </w:t>
      </w:r>
      <w:r w:rsidRPr="00BB7724">
        <w:rPr>
          <w:sz w:val="24"/>
          <w:lang w:eastAsia="en-GB"/>
        </w:rPr>
        <w:t>MIRA</w:t>
      </w:r>
      <w:r>
        <w:rPr>
          <w:sz w:val="24"/>
          <w:lang w:eastAsia="en-GB"/>
        </w:rPr>
        <w:t xml:space="preserve">; and the imminent finalization of the revised </w:t>
      </w:r>
      <w:r w:rsidRPr="00BB7724">
        <w:rPr>
          <w:sz w:val="24"/>
          <w:lang w:eastAsia="en-GB"/>
        </w:rPr>
        <w:t>Strategic Response Plan (SRP</w:t>
      </w:r>
      <w:r>
        <w:rPr>
          <w:sz w:val="24"/>
          <w:lang w:eastAsia="en-GB"/>
        </w:rPr>
        <w:t>)</w:t>
      </w:r>
      <w:r w:rsidRPr="00BB7724">
        <w:rPr>
          <w:sz w:val="24"/>
          <w:lang w:eastAsia="en-GB"/>
        </w:rPr>
        <w:t>. The UN presence has expanded. According to DSS, t</w:t>
      </w:r>
      <w:r w:rsidRPr="00BB7724">
        <w:rPr>
          <w:sz w:val="24"/>
          <w:lang w:val="en-GB"/>
        </w:rPr>
        <w:t>here are 680 UN personnel from 15 agencies currently deployed, 75 of them in field locations.</w:t>
      </w:r>
      <w:r w:rsidRPr="00BB7724">
        <w:rPr>
          <w:sz w:val="24"/>
          <w:lang w:eastAsia="en-GB"/>
        </w:rPr>
        <w:t xml:space="preserve"> </w:t>
      </w:r>
    </w:p>
    <w:p w:rsidR="0037658B" w:rsidRPr="00BB7724" w:rsidRDefault="0037658B" w:rsidP="00584D17">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eastAsia="en-GB"/>
        </w:rPr>
      </w:pPr>
      <w:r>
        <w:rPr>
          <w:sz w:val="24"/>
          <w:lang w:eastAsia="en-GB"/>
        </w:rPr>
        <w:t>Lack of implementation capacity was cited as a major hurdle, with NGO presence limited, and UN agencies and IOM filling the gap through direct implementation.  Given the high up-front costs for establishing new NGOs, and uncertain timeframes, NGO consortiums</w:t>
      </w:r>
      <w:r w:rsidRPr="00BB7724">
        <w:rPr>
          <w:sz w:val="24"/>
          <w:lang w:eastAsia="en-GB"/>
        </w:rPr>
        <w:t xml:space="preserve"> advised the UN to work </w:t>
      </w:r>
      <w:r>
        <w:rPr>
          <w:sz w:val="24"/>
          <w:lang w:eastAsia="en-GB"/>
        </w:rPr>
        <w:t>with NGOs already present in CAR</w:t>
      </w:r>
      <w:r w:rsidRPr="00BB7724">
        <w:rPr>
          <w:sz w:val="24"/>
          <w:lang w:eastAsia="en-GB"/>
        </w:rPr>
        <w:t xml:space="preserve">. </w:t>
      </w:r>
      <w:r>
        <w:rPr>
          <w:sz w:val="24"/>
          <w:lang w:eastAsia="en-GB"/>
        </w:rPr>
        <w:t>In view of</w:t>
      </w:r>
      <w:r w:rsidRPr="00BB7724">
        <w:rPr>
          <w:sz w:val="24"/>
          <w:lang w:eastAsia="en-GB"/>
        </w:rPr>
        <w:t xml:space="preserve"> the capacity shortage, an NGO </w:t>
      </w:r>
      <w:r>
        <w:rPr>
          <w:sz w:val="24"/>
          <w:lang w:eastAsia="en-GB"/>
        </w:rPr>
        <w:t>participant urged the UN to focus on priority areas in Bangui and the northwest axis, rather than throughout CAR</w:t>
      </w:r>
      <w:r w:rsidRPr="00BB7724">
        <w:rPr>
          <w:sz w:val="24"/>
          <w:lang w:eastAsia="en-GB"/>
        </w:rPr>
        <w:t xml:space="preserve">. The IFRC is looking </w:t>
      </w:r>
      <w:r>
        <w:rPr>
          <w:sz w:val="24"/>
          <w:lang w:eastAsia="en-GB"/>
        </w:rPr>
        <w:t>to increase</w:t>
      </w:r>
      <w:r w:rsidRPr="00BB7724">
        <w:rPr>
          <w:sz w:val="24"/>
          <w:lang w:eastAsia="en-GB"/>
        </w:rPr>
        <w:t xml:space="preserve"> capacity of the CAR Red Cross. </w:t>
      </w:r>
      <w:r>
        <w:rPr>
          <w:sz w:val="24"/>
          <w:lang w:eastAsia="en-GB"/>
        </w:rPr>
        <w:t>It was also announced that OXFAM-GB intended to scale up its presence.</w:t>
      </w:r>
    </w:p>
    <w:p w:rsidR="0037658B" w:rsidRPr="00BB7724" w:rsidRDefault="0037658B" w:rsidP="00F00A08">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eastAsia="en-GB"/>
        </w:rPr>
      </w:pPr>
      <w:r w:rsidRPr="00BB7724">
        <w:rPr>
          <w:sz w:val="24"/>
          <w:lang w:eastAsia="en-GB"/>
        </w:rPr>
        <w:t xml:space="preserve">To expand capacity, the IASC </w:t>
      </w:r>
      <w:r>
        <w:rPr>
          <w:sz w:val="24"/>
          <w:lang w:eastAsia="en-GB"/>
        </w:rPr>
        <w:t>could</w:t>
      </w:r>
      <w:r w:rsidRPr="00BB7724">
        <w:rPr>
          <w:sz w:val="24"/>
          <w:lang w:eastAsia="en-GB"/>
        </w:rPr>
        <w:t xml:space="preserve">: </w:t>
      </w:r>
      <w:r>
        <w:rPr>
          <w:sz w:val="24"/>
          <w:lang w:eastAsia="en-GB"/>
        </w:rPr>
        <w:t>(</w:t>
      </w:r>
      <w:r w:rsidRPr="00BB7724">
        <w:rPr>
          <w:sz w:val="24"/>
          <w:lang w:eastAsia="en-GB"/>
        </w:rPr>
        <w:t xml:space="preserve">i) provide funding to NGOs already in CAR </w:t>
      </w:r>
      <w:r>
        <w:rPr>
          <w:sz w:val="24"/>
          <w:lang w:eastAsia="en-GB"/>
        </w:rPr>
        <w:t>to</w:t>
      </w:r>
      <w:r w:rsidRPr="00BB7724">
        <w:rPr>
          <w:sz w:val="24"/>
          <w:lang w:eastAsia="en-GB"/>
        </w:rPr>
        <w:t xml:space="preserve"> scale up (including </w:t>
      </w:r>
      <w:r>
        <w:rPr>
          <w:sz w:val="24"/>
          <w:lang w:eastAsia="en-GB"/>
        </w:rPr>
        <w:t>via</w:t>
      </w:r>
      <w:r w:rsidRPr="00BB7724">
        <w:rPr>
          <w:sz w:val="24"/>
          <w:lang w:eastAsia="en-GB"/>
        </w:rPr>
        <w:t xml:space="preserve"> the Common Humanitarian Fund)</w:t>
      </w:r>
      <w:r>
        <w:rPr>
          <w:sz w:val="24"/>
          <w:lang w:eastAsia="en-GB"/>
        </w:rPr>
        <w:t>;</w:t>
      </w:r>
      <w:r w:rsidRPr="00BB7724">
        <w:rPr>
          <w:sz w:val="24"/>
          <w:lang w:eastAsia="en-GB"/>
        </w:rPr>
        <w:t xml:space="preserve"> </w:t>
      </w:r>
      <w:r>
        <w:rPr>
          <w:sz w:val="24"/>
          <w:lang w:eastAsia="en-GB"/>
        </w:rPr>
        <w:t>(</w:t>
      </w:r>
      <w:r w:rsidRPr="00BB7724">
        <w:rPr>
          <w:sz w:val="24"/>
          <w:lang w:eastAsia="en-GB"/>
        </w:rPr>
        <w:t xml:space="preserve">ii) </w:t>
      </w:r>
      <w:r>
        <w:rPr>
          <w:sz w:val="24"/>
          <w:lang w:eastAsia="en-GB"/>
        </w:rPr>
        <w:t xml:space="preserve">scale </w:t>
      </w:r>
      <w:r w:rsidRPr="00BB7724">
        <w:rPr>
          <w:sz w:val="24"/>
          <w:lang w:eastAsia="en-GB"/>
        </w:rPr>
        <w:t>up the capacity of UN organizations to deliver directly</w:t>
      </w:r>
      <w:r>
        <w:rPr>
          <w:sz w:val="24"/>
          <w:lang w:eastAsia="en-GB"/>
        </w:rPr>
        <w:t>;</w:t>
      </w:r>
      <w:r w:rsidRPr="00BB7724">
        <w:rPr>
          <w:sz w:val="24"/>
          <w:lang w:eastAsia="en-GB"/>
        </w:rPr>
        <w:t xml:space="preserve"> and </w:t>
      </w:r>
      <w:r>
        <w:rPr>
          <w:sz w:val="24"/>
          <w:lang w:eastAsia="en-GB"/>
        </w:rPr>
        <w:t>(</w:t>
      </w:r>
      <w:r w:rsidRPr="00BB7724">
        <w:rPr>
          <w:sz w:val="24"/>
          <w:lang w:eastAsia="en-GB"/>
        </w:rPr>
        <w:t xml:space="preserve">iii) invest in local infrastructure. </w:t>
      </w:r>
    </w:p>
    <w:p w:rsidR="0037658B" w:rsidRPr="00BB7724" w:rsidRDefault="0037658B" w:rsidP="008B2B01">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r>
        <w:rPr>
          <w:sz w:val="24"/>
          <w:lang w:eastAsia="en-GB"/>
        </w:rPr>
        <w:t>In terms of L3 scale-</w:t>
      </w:r>
      <w:r w:rsidRPr="00BB7724">
        <w:rPr>
          <w:sz w:val="24"/>
          <w:lang w:eastAsia="en-GB"/>
        </w:rPr>
        <w:t xml:space="preserve">up, the process needed to be streamlined in future emergencies. </w:t>
      </w:r>
      <w:r>
        <w:rPr>
          <w:sz w:val="24"/>
          <w:lang w:eastAsia="en-GB"/>
        </w:rPr>
        <w:t>An</w:t>
      </w:r>
      <w:r w:rsidRPr="00BB7724">
        <w:rPr>
          <w:sz w:val="24"/>
          <w:lang w:eastAsia="en-GB"/>
        </w:rPr>
        <w:t xml:space="preserve"> Operational Peer Review </w:t>
      </w:r>
      <w:r>
        <w:rPr>
          <w:sz w:val="24"/>
          <w:lang w:eastAsia="en-GB"/>
        </w:rPr>
        <w:t>was being planned</w:t>
      </w:r>
      <w:r w:rsidRPr="00BB7724">
        <w:rPr>
          <w:sz w:val="24"/>
          <w:lang w:eastAsia="en-GB"/>
        </w:rPr>
        <w:t>.</w:t>
      </w:r>
      <w:r>
        <w:rPr>
          <w:sz w:val="24"/>
          <w:lang w:eastAsia="en-GB"/>
        </w:rPr>
        <w:t xml:space="preserve"> T</w:t>
      </w:r>
      <w:r w:rsidRPr="00BB7724">
        <w:rPr>
          <w:sz w:val="24"/>
          <w:lang w:val="en-GB"/>
        </w:rPr>
        <w:t xml:space="preserve">he ERC would confirm the cluster arrangement in near future, based on IASC comments. IOM </w:t>
      </w:r>
      <w:r>
        <w:rPr>
          <w:sz w:val="24"/>
          <w:lang w:val="en-GB"/>
        </w:rPr>
        <w:t xml:space="preserve">proposed a multi-sector approach to dealing with </w:t>
      </w:r>
      <w:r w:rsidRPr="00BB7724">
        <w:rPr>
          <w:sz w:val="24"/>
          <w:lang w:val="en-GB"/>
        </w:rPr>
        <w:t>migrants and refugees in the region.</w:t>
      </w:r>
    </w:p>
    <w:p w:rsidR="0037658B" w:rsidRPr="00BB7724" w:rsidRDefault="0037658B" w:rsidP="00E34E46">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eastAsia="en-GB"/>
        </w:rPr>
      </w:pPr>
      <w:r w:rsidRPr="00BB7724">
        <w:rPr>
          <w:b/>
          <w:bCs/>
          <w:sz w:val="24"/>
          <w:lang w:eastAsia="en-GB"/>
        </w:rPr>
        <w:t xml:space="preserve">Security: </w:t>
      </w:r>
      <w:r w:rsidRPr="00BB7724">
        <w:rPr>
          <w:sz w:val="24"/>
          <w:lang w:eastAsia="en-GB"/>
        </w:rPr>
        <w:t xml:space="preserve">participants </w:t>
      </w:r>
      <w:r>
        <w:rPr>
          <w:sz w:val="24"/>
          <w:lang w:eastAsia="en-GB"/>
        </w:rPr>
        <w:t>appreciated</w:t>
      </w:r>
      <w:r w:rsidRPr="00BB7724">
        <w:rPr>
          <w:sz w:val="24"/>
          <w:lang w:eastAsia="en-GB"/>
        </w:rPr>
        <w:t xml:space="preserve"> the good leadership on security and stressed the importance of closely linking security and operational planning. </w:t>
      </w:r>
      <w:r>
        <w:rPr>
          <w:sz w:val="24"/>
          <w:lang w:eastAsia="en-GB"/>
        </w:rPr>
        <w:t>The first group of the United Nations Guard Unit comprising over 300 soldiers</w:t>
      </w:r>
      <w:r w:rsidRPr="00BB7724">
        <w:rPr>
          <w:sz w:val="24"/>
          <w:lang w:eastAsia="en-GB"/>
        </w:rPr>
        <w:t xml:space="preserve"> had been deployed </w:t>
      </w:r>
      <w:r>
        <w:rPr>
          <w:sz w:val="24"/>
          <w:lang w:eastAsia="en-GB"/>
        </w:rPr>
        <w:t>to Bangui to provide static and mobile protection to</w:t>
      </w:r>
      <w:r w:rsidRPr="00BB7724">
        <w:rPr>
          <w:sz w:val="24"/>
          <w:lang w:eastAsia="en-GB"/>
        </w:rPr>
        <w:t xml:space="preserve"> UN </w:t>
      </w:r>
      <w:r>
        <w:rPr>
          <w:sz w:val="24"/>
          <w:lang w:eastAsia="en-GB"/>
        </w:rPr>
        <w:t>facilities,</w:t>
      </w:r>
      <w:r w:rsidRPr="00BB7724">
        <w:rPr>
          <w:sz w:val="24"/>
          <w:lang w:eastAsia="en-GB"/>
        </w:rPr>
        <w:t xml:space="preserve"> personnel and operations</w:t>
      </w:r>
      <w:r>
        <w:rPr>
          <w:sz w:val="24"/>
          <w:lang w:eastAsia="en-GB"/>
        </w:rPr>
        <w:t>.</w:t>
      </w:r>
      <w:r w:rsidRPr="00BB7724">
        <w:rPr>
          <w:sz w:val="24"/>
          <w:lang w:eastAsia="en-GB"/>
        </w:rPr>
        <w:t xml:space="preserve"> </w:t>
      </w:r>
      <w:r>
        <w:rPr>
          <w:sz w:val="24"/>
          <w:lang w:eastAsia="en-GB"/>
        </w:rPr>
        <w:t xml:space="preserve">An additional 200 or more </w:t>
      </w:r>
      <w:r w:rsidRPr="00BB7724">
        <w:rPr>
          <w:sz w:val="24"/>
          <w:lang w:eastAsia="en-GB"/>
        </w:rPr>
        <w:t>soon</w:t>
      </w:r>
      <w:r>
        <w:rPr>
          <w:sz w:val="24"/>
          <w:lang w:eastAsia="en-GB"/>
        </w:rPr>
        <w:t xml:space="preserve"> </w:t>
      </w:r>
      <w:r>
        <w:rPr>
          <w:sz w:val="24"/>
          <w:lang w:eastAsia="en-GB"/>
        </w:rPr>
        <w:lastRenderedPageBreak/>
        <w:t>to arrive would be deployed to field locations outside the capital as UN internal security reinforcement</w:t>
      </w:r>
      <w:r w:rsidRPr="00BB7724">
        <w:rPr>
          <w:sz w:val="24"/>
          <w:lang w:eastAsia="en-GB"/>
        </w:rPr>
        <w:t xml:space="preserve">. While recognizing the risk of armed protection and integration to the perceived neutrality of humanitarian actors, these measures were necessary to </w:t>
      </w:r>
      <w:r>
        <w:rPr>
          <w:sz w:val="24"/>
          <w:lang w:eastAsia="en-GB"/>
        </w:rPr>
        <w:t xml:space="preserve">take some distance from other </w:t>
      </w:r>
      <w:r w:rsidRPr="00BB7724">
        <w:rPr>
          <w:sz w:val="24"/>
          <w:lang w:eastAsia="en-GB"/>
        </w:rPr>
        <w:t xml:space="preserve">military forces deployed directly in the conflict. DSS invited all IASC organizations to contact them if they would like to add NGOs to the list of humanitarian organizations that receive the daily </w:t>
      </w:r>
      <w:r w:rsidRPr="00BB7724">
        <w:rPr>
          <w:sz w:val="24"/>
          <w:lang w:val="en-GB"/>
        </w:rPr>
        <w:t xml:space="preserve">security updates produced under the Saving Lives Together policy. Participants highlighted that it would be helpful to have a common immediate </w:t>
      </w:r>
      <w:r>
        <w:rPr>
          <w:sz w:val="24"/>
          <w:lang w:val="en-GB"/>
        </w:rPr>
        <w:t>risk analysis and security advic</w:t>
      </w:r>
      <w:r w:rsidRPr="00BB7724">
        <w:rPr>
          <w:sz w:val="24"/>
          <w:lang w:val="en-GB"/>
        </w:rPr>
        <w:t>e from DSS in case of major political events or developments.</w:t>
      </w:r>
    </w:p>
    <w:p w:rsidR="0037658B" w:rsidRPr="00BB7724" w:rsidRDefault="0037658B" w:rsidP="00AF7429">
      <w:pPr>
        <w:pStyle w:val="Heading1"/>
        <w:keepNext w:val="0"/>
        <w:keepLines w:val="0"/>
        <w:widowControl w:val="0"/>
        <w:numPr>
          <w:ilvl w:val="0"/>
          <w:numId w:val="8"/>
        </w:numPr>
        <w:pBdr>
          <w:top w:val="none" w:sz="0" w:space="0" w:color="auto"/>
          <w:left w:val="none" w:sz="0" w:space="0" w:color="auto"/>
          <w:bottom w:val="none" w:sz="0" w:space="0" w:color="auto"/>
          <w:right w:val="none" w:sz="0" w:space="0" w:color="auto"/>
          <w:bar w:val="none" w:sz="0" w:color="auto"/>
        </w:pBdr>
        <w:tabs>
          <w:tab w:val="clear" w:pos="567"/>
          <w:tab w:val="left" w:pos="360"/>
        </w:tabs>
        <w:spacing w:before="0" w:after="120" w:line="276" w:lineRule="auto"/>
        <w:ind w:hanging="720"/>
        <w:rPr>
          <w:i/>
          <w:iCs/>
          <w:sz w:val="24"/>
        </w:rPr>
      </w:pPr>
      <w:r w:rsidRPr="00BB7724">
        <w:rPr>
          <w:i/>
          <w:iCs/>
          <w:sz w:val="24"/>
        </w:rPr>
        <w:t>Mobilizing financial and political support</w:t>
      </w:r>
    </w:p>
    <w:p w:rsidR="0037658B" w:rsidRDefault="0037658B" w:rsidP="00E34E46">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r w:rsidRPr="00BB7724">
        <w:rPr>
          <w:sz w:val="24"/>
          <w:lang w:val="en-GB"/>
        </w:rPr>
        <w:t>The two major challenges to humanitarian response were identified as the significant underfunding and the lack of implementing capacity on the ground</w:t>
      </w:r>
      <w:r>
        <w:rPr>
          <w:sz w:val="24"/>
          <w:lang w:val="en-GB"/>
        </w:rPr>
        <w:t>, with the former exacerbating the latter</w:t>
      </w:r>
      <w:r w:rsidRPr="00BB7724">
        <w:rPr>
          <w:sz w:val="24"/>
          <w:lang w:val="en-GB"/>
        </w:rPr>
        <w:t xml:space="preserve">. </w:t>
      </w:r>
      <w:r>
        <w:rPr>
          <w:sz w:val="24"/>
          <w:lang w:val="en-GB"/>
        </w:rPr>
        <w:t>Funding</w:t>
      </w:r>
      <w:r w:rsidRPr="00BB7724">
        <w:rPr>
          <w:sz w:val="24"/>
          <w:lang w:val="en-GB"/>
        </w:rPr>
        <w:t xml:space="preserve"> was significantly lower than in other humanitarian emergencies of similar or even lower scale. The high-level conference in Brussels, although not a pledging conference, was crucial to communicate the urgent humanitarian needs in CAR and to increase funding. The messaging should convey to development actors and donors that the establishment of local networks was crucial for the humanitarian operational capacity, the prevention of SGBV, and the provision of health services including maternal health</w:t>
      </w:r>
      <w:r>
        <w:rPr>
          <w:sz w:val="24"/>
          <w:lang w:val="en-GB"/>
        </w:rPr>
        <w:t>.</w:t>
      </w:r>
      <w:r w:rsidRPr="00BB7724">
        <w:rPr>
          <w:sz w:val="24"/>
          <w:lang w:val="en-GB"/>
        </w:rPr>
        <w:t xml:space="preserve"> </w:t>
      </w:r>
      <w:r>
        <w:rPr>
          <w:sz w:val="24"/>
          <w:lang w:val="en-GB"/>
        </w:rPr>
        <w:t>While addressing the critical humanitarian situation, it would also be important to</w:t>
      </w:r>
      <w:r w:rsidRPr="00185375">
        <w:rPr>
          <w:sz w:val="24"/>
          <w:lang w:val="en-GB"/>
        </w:rPr>
        <w:t xml:space="preserve"> emphasize </w:t>
      </w:r>
      <w:r>
        <w:rPr>
          <w:sz w:val="24"/>
          <w:lang w:val="en-GB"/>
        </w:rPr>
        <w:t xml:space="preserve">the need to engage simultaneously in </w:t>
      </w:r>
      <w:r w:rsidRPr="007E2292">
        <w:rPr>
          <w:sz w:val="24"/>
        </w:rPr>
        <w:t>early recovery efforts, community security and social cohesion as critical to stabilizing the situation and</w:t>
      </w:r>
      <w:r>
        <w:rPr>
          <w:sz w:val="24"/>
        </w:rPr>
        <w:t xml:space="preserve"> supporting humanitarian efforts.</w:t>
      </w:r>
      <w:r w:rsidRPr="007E2292">
        <w:rPr>
          <w:sz w:val="24"/>
        </w:rPr>
        <w:t xml:space="preserve"> Key messages on this w</w:t>
      </w:r>
      <w:r>
        <w:rPr>
          <w:sz w:val="24"/>
        </w:rPr>
        <w:t>ould</w:t>
      </w:r>
      <w:r w:rsidRPr="007E2292">
        <w:rPr>
          <w:sz w:val="24"/>
        </w:rPr>
        <w:t xml:space="preserve"> be sent to the Emergency Relief Coordinato</w:t>
      </w:r>
      <w:r>
        <w:rPr>
          <w:sz w:val="24"/>
        </w:rPr>
        <w:t>r ahead of the Brussels meeting</w:t>
      </w:r>
    </w:p>
    <w:p w:rsidR="0037658B" w:rsidRDefault="0037658B" w:rsidP="00E34E46">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r w:rsidRPr="00BB7724">
        <w:rPr>
          <w:sz w:val="24"/>
          <w:lang w:val="en-GB"/>
        </w:rPr>
        <w:t xml:space="preserve">Several participants called for an additional CERF allocation of USD </w:t>
      </w:r>
      <w:r>
        <w:rPr>
          <w:sz w:val="24"/>
          <w:lang w:val="en-GB"/>
        </w:rPr>
        <w:t>1</w:t>
      </w:r>
      <w:r w:rsidRPr="00BB7724">
        <w:rPr>
          <w:sz w:val="24"/>
          <w:lang w:val="en-GB"/>
        </w:rPr>
        <w:t>5 million</w:t>
      </w:r>
      <w:r>
        <w:rPr>
          <w:sz w:val="24"/>
          <w:lang w:val="en-GB"/>
        </w:rPr>
        <w:t xml:space="preserve"> increasing the total CERF contribution to USD 25 million</w:t>
      </w:r>
      <w:r w:rsidRPr="00BB7724">
        <w:rPr>
          <w:sz w:val="24"/>
          <w:lang w:val="en-GB"/>
        </w:rPr>
        <w:t xml:space="preserve">. </w:t>
      </w:r>
      <w:r>
        <w:rPr>
          <w:sz w:val="24"/>
          <w:lang w:val="en-GB"/>
        </w:rPr>
        <w:t>Other</w:t>
      </w:r>
      <w:r w:rsidRPr="00BB7724">
        <w:rPr>
          <w:sz w:val="24"/>
          <w:lang w:val="en-GB"/>
        </w:rPr>
        <w:t xml:space="preserve"> participants called for an additional CERF allocation </w:t>
      </w:r>
      <w:r w:rsidRPr="00E34E46">
        <w:rPr>
          <w:sz w:val="24"/>
          <w:lang w:val="en-GB"/>
        </w:rPr>
        <w:t>of USD 25 million to accompany the launch of the SRP</w:t>
      </w:r>
      <w:r>
        <w:rPr>
          <w:sz w:val="24"/>
          <w:lang w:val="en-GB"/>
        </w:rPr>
        <w:t xml:space="preserve">. </w:t>
      </w:r>
      <w:r w:rsidRPr="00BB7724">
        <w:rPr>
          <w:sz w:val="24"/>
          <w:lang w:val="en-GB"/>
        </w:rPr>
        <w:t xml:space="preserve">The </w:t>
      </w:r>
      <w:r>
        <w:rPr>
          <w:sz w:val="24"/>
          <w:lang w:val="en-GB"/>
        </w:rPr>
        <w:t xml:space="preserve">Chair said </w:t>
      </w:r>
      <w:r w:rsidRPr="00BB7724">
        <w:rPr>
          <w:sz w:val="24"/>
          <w:lang w:val="en-GB"/>
        </w:rPr>
        <w:t xml:space="preserve">that the ERC was </w:t>
      </w:r>
      <w:r>
        <w:rPr>
          <w:sz w:val="24"/>
          <w:lang w:val="en-GB"/>
        </w:rPr>
        <w:t>not opposed</w:t>
      </w:r>
      <w:r w:rsidRPr="00BB7724">
        <w:rPr>
          <w:sz w:val="24"/>
          <w:lang w:val="en-GB"/>
        </w:rPr>
        <w:t xml:space="preserve"> to </w:t>
      </w:r>
      <w:r>
        <w:rPr>
          <w:sz w:val="24"/>
          <w:lang w:val="en-GB"/>
        </w:rPr>
        <w:t>additional funding</w:t>
      </w:r>
      <w:r w:rsidRPr="00BB7724">
        <w:rPr>
          <w:sz w:val="24"/>
          <w:lang w:val="en-GB"/>
        </w:rPr>
        <w:t xml:space="preserve">, if </w:t>
      </w:r>
      <w:r>
        <w:rPr>
          <w:sz w:val="24"/>
          <w:lang w:val="en-GB"/>
        </w:rPr>
        <w:t>the new request was</w:t>
      </w:r>
      <w:r w:rsidRPr="00BB7724">
        <w:rPr>
          <w:sz w:val="24"/>
          <w:lang w:val="en-GB"/>
        </w:rPr>
        <w:t xml:space="preserve"> in line with the MIRA and complementary to allocations planned under th</w:t>
      </w:r>
      <w:r>
        <w:rPr>
          <w:sz w:val="24"/>
          <w:lang w:val="en-GB"/>
        </w:rPr>
        <w:t>e Common Humanitarian Fund (CHF)</w:t>
      </w:r>
      <w:r w:rsidRPr="00BB7724">
        <w:rPr>
          <w:sz w:val="24"/>
          <w:lang w:val="en-GB"/>
        </w:rPr>
        <w:t>.</w:t>
      </w:r>
    </w:p>
    <w:p w:rsidR="0037658B" w:rsidRPr="00BB7724" w:rsidRDefault="0037658B" w:rsidP="009937E1">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lang w:val="en-GB"/>
        </w:rPr>
      </w:pPr>
    </w:p>
    <w:p w:rsidR="0037658B" w:rsidRPr="00BB7724" w:rsidRDefault="0037658B" w:rsidP="00843A39">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after="120" w:line="276" w:lineRule="auto"/>
        <w:rPr>
          <w:sz w:val="24"/>
          <w:u w:val="single"/>
          <w:lang w:val="en-GB"/>
        </w:rPr>
      </w:pPr>
      <w:r w:rsidRPr="00BB7724">
        <w:rPr>
          <w:sz w:val="24"/>
          <w:u w:val="single"/>
          <w:lang w:val="en-GB"/>
        </w:rPr>
        <w:t>The IASC Principals</w:t>
      </w:r>
      <w:r>
        <w:rPr>
          <w:sz w:val="24"/>
          <w:u w:val="single"/>
          <w:lang w:val="en-GB"/>
        </w:rPr>
        <w:t>:</w:t>
      </w:r>
    </w:p>
    <w:p w:rsidR="0037658B" w:rsidRPr="0080784B" w:rsidRDefault="0037658B" w:rsidP="0080784B">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r>
        <w:rPr>
          <w:i/>
          <w:iCs/>
          <w:sz w:val="24"/>
          <w:lang w:val="en-GB"/>
        </w:rPr>
        <w:t>D</w:t>
      </w:r>
      <w:r w:rsidRPr="00BB7724">
        <w:rPr>
          <w:i/>
          <w:iCs/>
          <w:sz w:val="24"/>
          <w:lang w:val="en-GB"/>
        </w:rPr>
        <w:t>ecided</w:t>
      </w:r>
      <w:r w:rsidRPr="0080784B">
        <w:rPr>
          <w:i/>
          <w:iCs/>
          <w:sz w:val="24"/>
          <w:lang w:val="en-GB"/>
        </w:rPr>
        <w:t xml:space="preserve"> to </w:t>
      </w:r>
      <w:r>
        <w:rPr>
          <w:i/>
          <w:iCs/>
          <w:sz w:val="24"/>
          <w:lang w:val="en-GB"/>
        </w:rPr>
        <w:t>scale up</w:t>
      </w:r>
      <w:r w:rsidRPr="0080784B">
        <w:rPr>
          <w:i/>
          <w:iCs/>
          <w:sz w:val="24"/>
          <w:lang w:val="en-GB"/>
        </w:rPr>
        <w:t xml:space="preserve"> the capacity to deliver </w:t>
      </w:r>
      <w:r>
        <w:rPr>
          <w:i/>
          <w:iCs/>
          <w:sz w:val="24"/>
          <w:lang w:val="en-GB"/>
        </w:rPr>
        <w:t>by (i</w:t>
      </w:r>
      <w:r w:rsidRPr="0080784B">
        <w:rPr>
          <w:i/>
          <w:iCs/>
          <w:sz w:val="24"/>
          <w:lang w:val="en-GB"/>
        </w:rPr>
        <w:t xml:space="preserve">) </w:t>
      </w:r>
      <w:r>
        <w:rPr>
          <w:i/>
          <w:iCs/>
          <w:sz w:val="24"/>
          <w:lang w:val="en-GB"/>
        </w:rPr>
        <w:t xml:space="preserve">mobilizing </w:t>
      </w:r>
      <w:r w:rsidRPr="0080784B">
        <w:rPr>
          <w:i/>
          <w:iCs/>
          <w:sz w:val="24"/>
          <w:lang w:val="en-GB"/>
        </w:rPr>
        <w:t xml:space="preserve">funding </w:t>
      </w:r>
      <w:r>
        <w:rPr>
          <w:i/>
          <w:iCs/>
          <w:sz w:val="24"/>
          <w:lang w:val="en-GB"/>
        </w:rPr>
        <w:t xml:space="preserve">for </w:t>
      </w:r>
      <w:r w:rsidRPr="0080784B">
        <w:rPr>
          <w:i/>
          <w:iCs/>
          <w:sz w:val="24"/>
          <w:lang w:val="en-GB"/>
        </w:rPr>
        <w:t>NGO</w:t>
      </w:r>
      <w:r>
        <w:rPr>
          <w:i/>
          <w:iCs/>
          <w:sz w:val="24"/>
          <w:lang w:val="en-GB"/>
        </w:rPr>
        <w:t>s</w:t>
      </w:r>
      <w:r w:rsidRPr="0080784B">
        <w:rPr>
          <w:i/>
          <w:iCs/>
          <w:sz w:val="24"/>
          <w:lang w:val="en-GB"/>
        </w:rPr>
        <w:t xml:space="preserve"> </w:t>
      </w:r>
      <w:r>
        <w:rPr>
          <w:i/>
          <w:iCs/>
          <w:sz w:val="24"/>
          <w:lang w:val="en-GB"/>
        </w:rPr>
        <w:t>active in CAR;</w:t>
      </w:r>
      <w:r w:rsidRPr="0080784B">
        <w:rPr>
          <w:i/>
          <w:iCs/>
          <w:sz w:val="24"/>
          <w:lang w:val="en-GB"/>
        </w:rPr>
        <w:t xml:space="preserve"> </w:t>
      </w:r>
      <w:r>
        <w:rPr>
          <w:i/>
          <w:iCs/>
          <w:sz w:val="24"/>
          <w:lang w:val="en-GB"/>
        </w:rPr>
        <w:t>(</w:t>
      </w:r>
      <w:r w:rsidRPr="0080784B">
        <w:rPr>
          <w:i/>
          <w:iCs/>
          <w:sz w:val="24"/>
          <w:lang w:val="en-GB"/>
        </w:rPr>
        <w:t xml:space="preserve">ii) </w:t>
      </w:r>
      <w:r>
        <w:rPr>
          <w:i/>
          <w:iCs/>
          <w:sz w:val="24"/>
          <w:lang w:val="en-GB"/>
        </w:rPr>
        <w:t>increasing</w:t>
      </w:r>
      <w:r w:rsidRPr="0080784B">
        <w:rPr>
          <w:i/>
          <w:iCs/>
          <w:sz w:val="24"/>
          <w:lang w:eastAsia="en-GB"/>
        </w:rPr>
        <w:t xml:space="preserve"> </w:t>
      </w:r>
      <w:r>
        <w:rPr>
          <w:i/>
          <w:iCs/>
          <w:sz w:val="24"/>
          <w:lang w:eastAsia="en-GB"/>
        </w:rPr>
        <w:t xml:space="preserve">UN </w:t>
      </w:r>
      <w:r w:rsidRPr="0080784B">
        <w:rPr>
          <w:i/>
          <w:iCs/>
          <w:sz w:val="24"/>
          <w:lang w:eastAsia="en-GB"/>
        </w:rPr>
        <w:t>implementation capacity</w:t>
      </w:r>
      <w:r>
        <w:rPr>
          <w:i/>
          <w:iCs/>
          <w:sz w:val="24"/>
          <w:lang w:eastAsia="en-GB"/>
        </w:rPr>
        <w:t>; and (</w:t>
      </w:r>
      <w:r>
        <w:rPr>
          <w:i/>
          <w:iCs/>
          <w:sz w:val="24"/>
          <w:lang w:val="en-GB"/>
        </w:rPr>
        <w:t>i</w:t>
      </w:r>
      <w:r w:rsidRPr="0080784B">
        <w:rPr>
          <w:i/>
          <w:iCs/>
          <w:sz w:val="24"/>
          <w:lang w:val="en-GB"/>
        </w:rPr>
        <w:t>ii) assess</w:t>
      </w:r>
      <w:r>
        <w:rPr>
          <w:i/>
          <w:iCs/>
          <w:sz w:val="24"/>
          <w:lang w:val="en-GB"/>
        </w:rPr>
        <w:t>ing</w:t>
      </w:r>
      <w:r w:rsidRPr="0080784B">
        <w:rPr>
          <w:i/>
          <w:iCs/>
          <w:sz w:val="24"/>
          <w:lang w:val="en-GB"/>
        </w:rPr>
        <w:t xml:space="preserve"> local organizations and </w:t>
      </w:r>
      <w:r>
        <w:rPr>
          <w:i/>
          <w:iCs/>
          <w:sz w:val="24"/>
          <w:lang w:val="en-GB"/>
        </w:rPr>
        <w:t xml:space="preserve">investing in </w:t>
      </w:r>
      <w:r w:rsidRPr="0080784B">
        <w:rPr>
          <w:i/>
          <w:iCs/>
          <w:sz w:val="24"/>
          <w:lang w:val="en-GB"/>
        </w:rPr>
        <w:t>local infrastructure</w:t>
      </w:r>
      <w:r>
        <w:rPr>
          <w:i/>
          <w:iCs/>
          <w:sz w:val="24"/>
          <w:lang w:val="en-GB"/>
        </w:rPr>
        <w:t>.</w:t>
      </w:r>
      <w:r w:rsidRPr="0080784B">
        <w:rPr>
          <w:i/>
          <w:iCs/>
          <w:sz w:val="24"/>
          <w:lang w:val="en-GB"/>
        </w:rPr>
        <w:t xml:space="preserve"> </w:t>
      </w:r>
      <w:r w:rsidRPr="0080784B">
        <w:rPr>
          <w:i/>
          <w:iCs/>
          <w:sz w:val="24"/>
          <w:lang w:eastAsia="en-GB"/>
        </w:rPr>
        <w:t xml:space="preserve"> </w:t>
      </w:r>
      <w:r w:rsidRPr="0080784B">
        <w:rPr>
          <w:b/>
          <w:bCs/>
          <w:i/>
          <w:iCs/>
          <w:sz w:val="24"/>
          <w:lang w:eastAsia="en-GB"/>
        </w:rPr>
        <w:t>Action by: All IASC organizations and the HCT.</w:t>
      </w:r>
    </w:p>
    <w:p w:rsidR="0037658B" w:rsidRPr="00BB7724" w:rsidRDefault="0037658B" w:rsidP="00E34E46">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r w:rsidRPr="00BB7724">
        <w:rPr>
          <w:i/>
          <w:iCs/>
          <w:sz w:val="24"/>
          <w:lang w:val="en-GB"/>
        </w:rPr>
        <w:t xml:space="preserve">Requested the ERC to consider </w:t>
      </w:r>
      <w:r>
        <w:rPr>
          <w:i/>
          <w:iCs/>
          <w:sz w:val="24"/>
          <w:lang w:val="en-GB"/>
        </w:rPr>
        <w:t>additional CERF funding, in order</w:t>
      </w:r>
      <w:r w:rsidRPr="00BB7724">
        <w:rPr>
          <w:i/>
          <w:iCs/>
          <w:sz w:val="24"/>
          <w:lang w:val="en-GB"/>
        </w:rPr>
        <w:t xml:space="preserve"> to </w:t>
      </w:r>
      <w:r>
        <w:rPr>
          <w:i/>
          <w:iCs/>
          <w:sz w:val="24"/>
          <w:lang w:val="en-GB"/>
        </w:rPr>
        <w:t>address</w:t>
      </w:r>
      <w:r w:rsidRPr="00BB7724">
        <w:rPr>
          <w:i/>
          <w:iCs/>
          <w:sz w:val="24"/>
          <w:lang w:val="en-GB"/>
        </w:rPr>
        <w:t xml:space="preserve"> the priority needs identified by the multi-sector rapid assessment (MIRA). </w:t>
      </w:r>
      <w:r w:rsidRPr="00BB7724">
        <w:rPr>
          <w:b/>
          <w:bCs/>
          <w:i/>
          <w:iCs/>
          <w:sz w:val="24"/>
          <w:lang w:val="en-GB"/>
        </w:rPr>
        <w:t xml:space="preserve">Action by: The </w:t>
      </w:r>
      <w:r>
        <w:rPr>
          <w:b/>
          <w:bCs/>
          <w:i/>
          <w:iCs/>
          <w:sz w:val="24"/>
          <w:lang w:val="en-GB"/>
        </w:rPr>
        <w:t>S</w:t>
      </w:r>
      <w:r w:rsidRPr="00BB7724">
        <w:rPr>
          <w:b/>
          <w:bCs/>
          <w:i/>
          <w:iCs/>
          <w:sz w:val="24"/>
          <w:lang w:val="en-GB"/>
        </w:rPr>
        <w:t>HC</w:t>
      </w:r>
      <w:r>
        <w:rPr>
          <w:b/>
          <w:bCs/>
          <w:i/>
          <w:iCs/>
          <w:sz w:val="24"/>
          <w:lang w:val="en-GB"/>
        </w:rPr>
        <w:t xml:space="preserve"> to present to the ERC for consideration priority gaps for potential CERF Rapid Response funding, in line with the revised Strategic Response Plan,</w:t>
      </w:r>
      <w:r w:rsidRPr="00BB7724">
        <w:rPr>
          <w:b/>
          <w:bCs/>
          <w:i/>
          <w:iCs/>
          <w:sz w:val="24"/>
          <w:lang w:val="en-GB"/>
        </w:rPr>
        <w:t xml:space="preserve"> the MIRA </w:t>
      </w:r>
      <w:r>
        <w:rPr>
          <w:b/>
          <w:bCs/>
          <w:i/>
          <w:iCs/>
          <w:sz w:val="24"/>
          <w:lang w:val="en-GB"/>
        </w:rPr>
        <w:t xml:space="preserve">results, </w:t>
      </w:r>
      <w:r w:rsidRPr="00BB7724">
        <w:rPr>
          <w:b/>
          <w:bCs/>
          <w:i/>
          <w:iCs/>
          <w:sz w:val="24"/>
          <w:lang w:val="en-GB"/>
        </w:rPr>
        <w:t xml:space="preserve">and </w:t>
      </w:r>
      <w:r>
        <w:rPr>
          <w:b/>
          <w:bCs/>
          <w:i/>
          <w:iCs/>
          <w:sz w:val="24"/>
          <w:lang w:val="en-GB"/>
        </w:rPr>
        <w:t>upcoming</w:t>
      </w:r>
      <w:r w:rsidRPr="00BB7724">
        <w:rPr>
          <w:b/>
          <w:bCs/>
          <w:i/>
          <w:iCs/>
          <w:sz w:val="24"/>
          <w:lang w:val="en-GB"/>
        </w:rPr>
        <w:t xml:space="preserve"> CHF </w:t>
      </w:r>
      <w:r>
        <w:rPr>
          <w:b/>
          <w:bCs/>
          <w:i/>
          <w:iCs/>
          <w:sz w:val="24"/>
          <w:lang w:val="en-GB"/>
        </w:rPr>
        <w:t>allocation</w:t>
      </w:r>
      <w:r w:rsidRPr="00BB7724">
        <w:rPr>
          <w:b/>
          <w:bCs/>
          <w:i/>
          <w:iCs/>
          <w:sz w:val="24"/>
          <w:lang w:val="en-GB"/>
        </w:rPr>
        <w:t>.</w:t>
      </w:r>
      <w:r w:rsidRPr="00BB7724">
        <w:rPr>
          <w:i/>
          <w:iCs/>
          <w:sz w:val="24"/>
          <w:lang w:val="en-GB"/>
        </w:rPr>
        <w:t xml:space="preserve"> </w:t>
      </w:r>
    </w:p>
    <w:p w:rsidR="0037658B" w:rsidRPr="00BB7724" w:rsidRDefault="0037658B" w:rsidP="00601D4C">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b/>
          <w:bCs/>
          <w:i/>
          <w:iCs/>
          <w:sz w:val="24"/>
          <w:lang w:val="en-GB"/>
        </w:rPr>
      </w:pPr>
      <w:r w:rsidRPr="00BB7724">
        <w:rPr>
          <w:i/>
          <w:iCs/>
          <w:sz w:val="24"/>
          <w:lang w:val="en-GB"/>
        </w:rPr>
        <w:t xml:space="preserve">Requested the ERC to include the </w:t>
      </w:r>
      <w:r>
        <w:rPr>
          <w:i/>
          <w:iCs/>
          <w:sz w:val="24"/>
          <w:lang w:val="en-GB"/>
        </w:rPr>
        <w:t>conclusions</w:t>
      </w:r>
      <w:r w:rsidRPr="00BB7724">
        <w:rPr>
          <w:i/>
          <w:iCs/>
          <w:sz w:val="24"/>
          <w:lang w:val="en-GB"/>
        </w:rPr>
        <w:t xml:space="preserve"> of th</w:t>
      </w:r>
      <w:r>
        <w:rPr>
          <w:i/>
          <w:iCs/>
          <w:sz w:val="24"/>
          <w:lang w:val="en-GB"/>
        </w:rPr>
        <w:t>is</w:t>
      </w:r>
      <w:r w:rsidRPr="00BB7724">
        <w:rPr>
          <w:i/>
          <w:iCs/>
          <w:sz w:val="24"/>
          <w:lang w:val="en-GB"/>
        </w:rPr>
        <w:t xml:space="preserve"> </w:t>
      </w:r>
      <w:r>
        <w:rPr>
          <w:i/>
          <w:iCs/>
          <w:sz w:val="24"/>
          <w:lang w:val="en-GB"/>
        </w:rPr>
        <w:t>meeting</w:t>
      </w:r>
      <w:r w:rsidRPr="00BB7724">
        <w:rPr>
          <w:i/>
          <w:iCs/>
          <w:sz w:val="24"/>
          <w:lang w:val="en-GB"/>
        </w:rPr>
        <w:t xml:space="preserve"> in her messaging on the high-level conference on 20 January in Brussels. This includes the issue of early recovery and need to tap into development funding</w:t>
      </w:r>
      <w:r>
        <w:rPr>
          <w:i/>
          <w:iCs/>
          <w:sz w:val="24"/>
          <w:lang w:val="en-GB"/>
        </w:rPr>
        <w:t xml:space="preserve"> streams for CAR;</w:t>
      </w:r>
      <w:r w:rsidRPr="00BB7724">
        <w:rPr>
          <w:sz w:val="24"/>
          <w:lang w:val="en-GB"/>
        </w:rPr>
        <w:t xml:space="preserve"> </w:t>
      </w:r>
      <w:r w:rsidRPr="00BB7724">
        <w:rPr>
          <w:i/>
          <w:iCs/>
          <w:sz w:val="24"/>
          <w:lang w:val="en-GB"/>
        </w:rPr>
        <w:t>the establishment of local networks to enhance hu</w:t>
      </w:r>
      <w:r>
        <w:rPr>
          <w:i/>
          <w:iCs/>
          <w:sz w:val="24"/>
          <w:lang w:val="en-GB"/>
        </w:rPr>
        <w:t>manitarian operational capacity; the prevention of SGBV;</w:t>
      </w:r>
      <w:r w:rsidRPr="00BB7724">
        <w:rPr>
          <w:i/>
          <w:iCs/>
          <w:sz w:val="24"/>
          <w:lang w:val="en-GB"/>
        </w:rPr>
        <w:t xml:space="preserve"> the provision of health services including maternal health</w:t>
      </w:r>
      <w:r>
        <w:rPr>
          <w:i/>
          <w:iCs/>
          <w:sz w:val="24"/>
          <w:lang w:val="en-GB"/>
        </w:rPr>
        <w:t xml:space="preserve">; and the need to assist migrants </w:t>
      </w:r>
      <w:r>
        <w:rPr>
          <w:i/>
          <w:iCs/>
          <w:sz w:val="24"/>
          <w:lang w:val="en-GB"/>
        </w:rPr>
        <w:lastRenderedPageBreak/>
        <w:t>and refugees in the region.</w:t>
      </w:r>
      <w:r w:rsidRPr="00BB7724">
        <w:rPr>
          <w:i/>
          <w:iCs/>
          <w:sz w:val="24"/>
          <w:lang w:val="en-GB"/>
        </w:rPr>
        <w:t xml:space="preserve">  </w:t>
      </w:r>
      <w:r w:rsidRPr="00BB7724">
        <w:rPr>
          <w:b/>
          <w:bCs/>
          <w:i/>
          <w:iCs/>
          <w:sz w:val="24"/>
          <w:lang w:val="en-GB"/>
        </w:rPr>
        <w:t xml:space="preserve">Action by: The IASC Secretariat to </w:t>
      </w:r>
      <w:r>
        <w:rPr>
          <w:b/>
          <w:bCs/>
          <w:i/>
          <w:iCs/>
          <w:sz w:val="24"/>
          <w:lang w:val="en-GB"/>
        </w:rPr>
        <w:t>provide</w:t>
      </w:r>
      <w:r w:rsidRPr="00BB7724">
        <w:rPr>
          <w:b/>
          <w:bCs/>
          <w:i/>
          <w:iCs/>
          <w:sz w:val="24"/>
          <w:lang w:val="en-GB"/>
        </w:rPr>
        <w:t xml:space="preserve"> a summary </w:t>
      </w:r>
      <w:r>
        <w:rPr>
          <w:b/>
          <w:bCs/>
          <w:i/>
          <w:iCs/>
          <w:sz w:val="24"/>
          <w:lang w:val="en-GB"/>
        </w:rPr>
        <w:t>to the ERC</w:t>
      </w:r>
      <w:r w:rsidRPr="00BB7724">
        <w:rPr>
          <w:b/>
          <w:bCs/>
          <w:i/>
          <w:iCs/>
          <w:sz w:val="24"/>
          <w:lang w:val="en-GB"/>
        </w:rPr>
        <w:t xml:space="preserve"> </w:t>
      </w:r>
      <w:r>
        <w:rPr>
          <w:b/>
          <w:bCs/>
          <w:i/>
          <w:iCs/>
          <w:sz w:val="24"/>
          <w:lang w:val="en-GB"/>
        </w:rPr>
        <w:t xml:space="preserve">and OCHA to include these points in </w:t>
      </w:r>
      <w:r w:rsidRPr="00BB7724">
        <w:rPr>
          <w:b/>
          <w:bCs/>
          <w:i/>
          <w:iCs/>
          <w:sz w:val="24"/>
          <w:lang w:val="en-GB"/>
        </w:rPr>
        <w:t xml:space="preserve">the ERC </w:t>
      </w:r>
      <w:r>
        <w:rPr>
          <w:b/>
          <w:bCs/>
          <w:i/>
          <w:iCs/>
          <w:sz w:val="24"/>
          <w:lang w:val="en-GB"/>
        </w:rPr>
        <w:t>statements by 19 January</w:t>
      </w:r>
      <w:r w:rsidRPr="00BB7724">
        <w:rPr>
          <w:b/>
          <w:bCs/>
          <w:i/>
          <w:iCs/>
          <w:sz w:val="24"/>
          <w:lang w:val="en-GB"/>
        </w:rPr>
        <w:t>.</w:t>
      </w:r>
    </w:p>
    <w:p w:rsidR="0037658B" w:rsidRPr="00BB7724" w:rsidRDefault="0037658B" w:rsidP="009937E1">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r>
        <w:rPr>
          <w:i/>
          <w:iCs/>
          <w:sz w:val="24"/>
          <w:lang w:val="en-GB"/>
        </w:rPr>
        <w:t>Requested</w:t>
      </w:r>
      <w:r w:rsidRPr="00BB7724">
        <w:rPr>
          <w:i/>
          <w:iCs/>
          <w:sz w:val="24"/>
          <w:lang w:val="en-GB"/>
        </w:rPr>
        <w:t xml:space="preserve"> DSS to send immediate risk analysis and security advisory to the HCT when the political situation changes rapidly; and asked</w:t>
      </w:r>
      <w:r>
        <w:rPr>
          <w:i/>
          <w:iCs/>
          <w:sz w:val="24"/>
          <w:lang w:val="en-GB"/>
        </w:rPr>
        <w:t xml:space="preserve"> IASC organiz</w:t>
      </w:r>
      <w:r w:rsidRPr="00BB7724">
        <w:rPr>
          <w:i/>
          <w:iCs/>
          <w:sz w:val="24"/>
          <w:lang w:val="en-GB"/>
        </w:rPr>
        <w:t xml:space="preserve">ations and NGO networks to contact DSS if they wish to be added to the </w:t>
      </w:r>
      <w:r>
        <w:rPr>
          <w:i/>
          <w:iCs/>
          <w:sz w:val="24"/>
          <w:lang w:val="en-GB"/>
        </w:rPr>
        <w:t xml:space="preserve">distribution </w:t>
      </w:r>
      <w:r w:rsidRPr="00BB7724">
        <w:rPr>
          <w:i/>
          <w:iCs/>
          <w:sz w:val="24"/>
          <w:lang w:val="en-GB"/>
        </w:rPr>
        <w:t xml:space="preserve">list of daily security updates. </w:t>
      </w:r>
      <w:r w:rsidRPr="00BB7724">
        <w:rPr>
          <w:b/>
          <w:bCs/>
          <w:i/>
          <w:iCs/>
          <w:sz w:val="24"/>
          <w:lang w:val="en-GB"/>
        </w:rPr>
        <w:t>Action by: DSS and IASC organisations/NGO immediately.</w:t>
      </w:r>
    </w:p>
    <w:p w:rsidR="0037658B" w:rsidRPr="00BB7724" w:rsidRDefault="0037658B" w:rsidP="00E34E46">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b/>
          <w:bCs/>
          <w:i/>
          <w:iCs/>
          <w:sz w:val="24"/>
          <w:lang w:val="en-GB"/>
        </w:rPr>
      </w:pPr>
      <w:r w:rsidRPr="00BB7724">
        <w:rPr>
          <w:i/>
          <w:iCs/>
          <w:sz w:val="24"/>
          <w:lang w:val="en-GB"/>
        </w:rPr>
        <w:t xml:space="preserve">Considered </w:t>
      </w:r>
      <w:r>
        <w:rPr>
          <w:i/>
          <w:iCs/>
          <w:sz w:val="24"/>
          <w:lang w:val="en-GB"/>
        </w:rPr>
        <w:t xml:space="preserve">a multi-sector arrangement </w:t>
      </w:r>
      <w:r w:rsidRPr="00BB7724">
        <w:rPr>
          <w:i/>
          <w:iCs/>
          <w:sz w:val="24"/>
          <w:lang w:val="en-GB"/>
        </w:rPr>
        <w:t xml:space="preserve">to </w:t>
      </w:r>
      <w:r>
        <w:rPr>
          <w:i/>
          <w:iCs/>
          <w:sz w:val="24"/>
          <w:lang w:val="en-GB"/>
        </w:rPr>
        <w:t>address refugee/migrant issues;</w:t>
      </w:r>
      <w:r w:rsidRPr="00BB7724">
        <w:rPr>
          <w:i/>
          <w:iCs/>
          <w:sz w:val="24"/>
          <w:lang w:val="en-GB"/>
        </w:rPr>
        <w:t xml:space="preserve"> asked the HC to include them in the SRP </w:t>
      </w:r>
      <w:r>
        <w:rPr>
          <w:i/>
          <w:iCs/>
          <w:sz w:val="24"/>
          <w:lang w:val="en-GB"/>
        </w:rPr>
        <w:t xml:space="preserve">under multi-sector assistance; </w:t>
      </w:r>
      <w:r w:rsidRPr="00BB7724">
        <w:rPr>
          <w:i/>
          <w:iCs/>
          <w:sz w:val="24"/>
          <w:lang w:val="en-GB"/>
        </w:rPr>
        <w:t xml:space="preserve">and asked the ERC to raise the issue at the Brussels </w:t>
      </w:r>
      <w:r>
        <w:rPr>
          <w:i/>
          <w:iCs/>
          <w:sz w:val="24"/>
          <w:lang w:val="en-GB"/>
        </w:rPr>
        <w:t>CAR conference</w:t>
      </w:r>
      <w:r w:rsidRPr="00BB7724">
        <w:rPr>
          <w:i/>
          <w:iCs/>
          <w:sz w:val="24"/>
          <w:lang w:val="en-GB"/>
        </w:rPr>
        <w:t xml:space="preserve">. </w:t>
      </w:r>
      <w:r w:rsidRPr="00BB7724">
        <w:rPr>
          <w:b/>
          <w:bCs/>
          <w:i/>
          <w:iCs/>
          <w:sz w:val="24"/>
          <w:lang w:val="en-GB"/>
        </w:rPr>
        <w:t xml:space="preserve">Action by: UNHCR, IOM, Senior HC and ERC </w:t>
      </w:r>
      <w:r>
        <w:rPr>
          <w:b/>
          <w:bCs/>
          <w:i/>
          <w:iCs/>
          <w:sz w:val="24"/>
          <w:lang w:val="en-GB"/>
        </w:rPr>
        <w:t>by end-</w:t>
      </w:r>
      <w:r w:rsidRPr="00BB7724">
        <w:rPr>
          <w:b/>
          <w:bCs/>
          <w:i/>
          <w:iCs/>
          <w:sz w:val="24"/>
          <w:lang w:val="en-GB"/>
        </w:rPr>
        <w:t xml:space="preserve">January. </w:t>
      </w:r>
    </w:p>
    <w:p w:rsidR="0037658B" w:rsidRPr="00BB7724" w:rsidRDefault="0037658B" w:rsidP="00601D4C">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r w:rsidRPr="00BB7724">
        <w:rPr>
          <w:i/>
          <w:iCs/>
          <w:sz w:val="24"/>
          <w:lang w:val="en-GB"/>
        </w:rPr>
        <w:t xml:space="preserve">Requested OCHA to </w:t>
      </w:r>
      <w:r>
        <w:rPr>
          <w:i/>
          <w:iCs/>
          <w:sz w:val="24"/>
          <w:lang w:val="en-GB"/>
        </w:rPr>
        <w:t xml:space="preserve">better </w:t>
      </w:r>
      <w:r w:rsidRPr="00BB7724">
        <w:rPr>
          <w:i/>
          <w:iCs/>
          <w:sz w:val="24"/>
          <w:lang w:val="en-GB"/>
        </w:rPr>
        <w:t xml:space="preserve">track IDPs (numbers and locations, host families) to </w:t>
      </w:r>
      <w:r>
        <w:rPr>
          <w:i/>
          <w:iCs/>
          <w:sz w:val="24"/>
          <w:lang w:val="en-GB"/>
        </w:rPr>
        <w:t>enable</w:t>
      </w:r>
      <w:r w:rsidRPr="00BB7724">
        <w:rPr>
          <w:i/>
          <w:iCs/>
          <w:sz w:val="24"/>
          <w:lang w:val="en-GB"/>
        </w:rPr>
        <w:t xml:space="preserve"> an adequate response to the dynamic IDP situation. </w:t>
      </w:r>
      <w:r w:rsidRPr="00BB7724">
        <w:rPr>
          <w:b/>
          <w:bCs/>
          <w:i/>
          <w:iCs/>
          <w:sz w:val="24"/>
          <w:lang w:val="en-GB"/>
        </w:rPr>
        <w:t>Action by: OCHA immediately.</w:t>
      </w:r>
    </w:p>
    <w:p w:rsidR="0037658B" w:rsidRPr="00BB7724" w:rsidRDefault="0037658B" w:rsidP="00601D4C">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r>
        <w:rPr>
          <w:i/>
          <w:iCs/>
          <w:sz w:val="24"/>
          <w:lang w:val="en-GB"/>
        </w:rPr>
        <w:t>Proposed to inc</w:t>
      </w:r>
      <w:r w:rsidRPr="00BB7724">
        <w:rPr>
          <w:i/>
          <w:iCs/>
          <w:sz w:val="24"/>
          <w:lang w:val="en-GB"/>
        </w:rPr>
        <w:t xml:space="preserve">rease civil-military coordination capacity to support liaison with different military groups that are deploying. </w:t>
      </w:r>
      <w:r w:rsidRPr="00BB7724">
        <w:rPr>
          <w:b/>
          <w:bCs/>
          <w:i/>
          <w:iCs/>
          <w:sz w:val="24"/>
          <w:lang w:val="en-GB"/>
        </w:rPr>
        <w:t xml:space="preserve">Action by: </w:t>
      </w:r>
      <w:r>
        <w:rPr>
          <w:b/>
          <w:bCs/>
          <w:i/>
          <w:iCs/>
          <w:sz w:val="24"/>
          <w:lang w:val="en-GB"/>
        </w:rPr>
        <w:t xml:space="preserve">HCT, </w:t>
      </w:r>
      <w:r w:rsidRPr="00BB7724">
        <w:rPr>
          <w:b/>
          <w:bCs/>
          <w:i/>
          <w:iCs/>
          <w:sz w:val="24"/>
          <w:lang w:val="en-GB"/>
        </w:rPr>
        <w:t>OCHA and WFP by 31 January.</w:t>
      </w:r>
    </w:p>
    <w:p w:rsidR="0037658B" w:rsidRPr="00BB7724" w:rsidRDefault="0037658B" w:rsidP="00E34E46">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r w:rsidRPr="00BB7724">
        <w:rPr>
          <w:i/>
          <w:iCs/>
          <w:sz w:val="24"/>
          <w:lang w:val="en-GB"/>
        </w:rPr>
        <w:t xml:space="preserve">Reiterated the need to promote </w:t>
      </w:r>
      <w:r>
        <w:rPr>
          <w:i/>
          <w:iCs/>
          <w:sz w:val="24"/>
          <w:lang w:val="en-GB"/>
        </w:rPr>
        <w:t>A</w:t>
      </w:r>
      <w:r w:rsidRPr="00BB7724">
        <w:rPr>
          <w:i/>
          <w:iCs/>
          <w:sz w:val="24"/>
          <w:lang w:val="en-GB"/>
        </w:rPr>
        <w:t xml:space="preserve">ccountability to </w:t>
      </w:r>
      <w:r>
        <w:rPr>
          <w:i/>
          <w:iCs/>
          <w:sz w:val="24"/>
          <w:lang w:val="en-GB"/>
        </w:rPr>
        <w:t>A</w:t>
      </w:r>
      <w:r w:rsidRPr="00BB7724">
        <w:rPr>
          <w:i/>
          <w:iCs/>
          <w:sz w:val="24"/>
          <w:lang w:val="en-GB"/>
        </w:rPr>
        <w:t xml:space="preserve">ffected </w:t>
      </w:r>
      <w:r>
        <w:rPr>
          <w:i/>
          <w:iCs/>
          <w:sz w:val="24"/>
          <w:lang w:val="en-GB"/>
        </w:rPr>
        <w:t>P</w:t>
      </w:r>
      <w:r w:rsidRPr="00BB7724">
        <w:rPr>
          <w:i/>
          <w:iCs/>
          <w:sz w:val="24"/>
          <w:lang w:val="en-GB"/>
        </w:rPr>
        <w:t>eople and Communication with Communities</w:t>
      </w:r>
      <w:r>
        <w:rPr>
          <w:i/>
          <w:iCs/>
          <w:sz w:val="24"/>
          <w:lang w:val="en-GB"/>
        </w:rPr>
        <w:t>,</w:t>
      </w:r>
      <w:r w:rsidRPr="00BB7724">
        <w:rPr>
          <w:i/>
          <w:iCs/>
          <w:sz w:val="24"/>
          <w:lang w:val="en-GB"/>
        </w:rPr>
        <w:t xml:space="preserve"> build</w:t>
      </w:r>
      <w:r>
        <w:rPr>
          <w:i/>
          <w:iCs/>
          <w:sz w:val="24"/>
          <w:lang w:val="en-GB"/>
        </w:rPr>
        <w:t>ing</w:t>
      </w:r>
      <w:r w:rsidRPr="00BB7724">
        <w:rPr>
          <w:i/>
          <w:iCs/>
          <w:sz w:val="24"/>
          <w:lang w:val="en-GB"/>
        </w:rPr>
        <w:t xml:space="preserve"> on lessons learnt in the Philippines, especially </w:t>
      </w:r>
      <w:r>
        <w:rPr>
          <w:i/>
          <w:iCs/>
          <w:sz w:val="24"/>
          <w:lang w:val="en-GB"/>
        </w:rPr>
        <w:t xml:space="preserve">regarding </w:t>
      </w:r>
      <w:r w:rsidRPr="00BB7724">
        <w:rPr>
          <w:i/>
          <w:iCs/>
          <w:sz w:val="24"/>
          <w:lang w:val="en-GB"/>
        </w:rPr>
        <w:t xml:space="preserve">humanitarian principles. </w:t>
      </w:r>
      <w:r w:rsidRPr="00BB7724">
        <w:rPr>
          <w:b/>
          <w:bCs/>
          <w:i/>
          <w:iCs/>
          <w:sz w:val="24"/>
          <w:lang w:val="en-GB"/>
        </w:rPr>
        <w:t>Action by: All</w:t>
      </w:r>
      <w:r>
        <w:rPr>
          <w:b/>
          <w:bCs/>
          <w:i/>
          <w:iCs/>
          <w:sz w:val="24"/>
          <w:lang w:val="en-GB"/>
        </w:rPr>
        <w:t xml:space="preserve"> IASC organiz</w:t>
      </w:r>
      <w:r w:rsidRPr="00BB7724">
        <w:rPr>
          <w:b/>
          <w:bCs/>
          <w:i/>
          <w:iCs/>
          <w:sz w:val="24"/>
          <w:lang w:val="en-GB"/>
        </w:rPr>
        <w:t>ations</w:t>
      </w:r>
      <w:r>
        <w:rPr>
          <w:b/>
          <w:bCs/>
          <w:i/>
          <w:iCs/>
          <w:sz w:val="24"/>
          <w:lang w:val="en-GB"/>
        </w:rPr>
        <w:t>, led by OCHA,</w:t>
      </w:r>
      <w:r w:rsidRPr="00BB7724">
        <w:rPr>
          <w:b/>
          <w:bCs/>
          <w:i/>
          <w:iCs/>
          <w:sz w:val="24"/>
          <w:lang w:val="en-GB"/>
        </w:rPr>
        <w:t xml:space="preserve"> in cooperation with the IASC Task Team for AAP.</w:t>
      </w:r>
    </w:p>
    <w:p w:rsidR="0037658B" w:rsidRDefault="0037658B" w:rsidP="00662391">
      <w:pPr>
        <w:pStyle w:val="ListParagraph"/>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p>
    <w:p w:rsidR="0037658B" w:rsidRDefault="0037658B" w:rsidP="00662391">
      <w:pPr>
        <w:pStyle w:val="ListParagraph"/>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r>
        <w:rPr>
          <w:i/>
          <w:iCs/>
          <w:sz w:val="24"/>
          <w:lang w:val="en-GB"/>
        </w:rPr>
        <w:t>Prepared by: the IASC secretariat</w:t>
      </w:r>
    </w:p>
    <w:p w:rsidR="0037658B" w:rsidRPr="00BB7724" w:rsidRDefault="0037658B" w:rsidP="00662391">
      <w:pPr>
        <w:pStyle w:val="ListParagraph"/>
        <w:pBdr>
          <w:top w:val="none" w:sz="0" w:space="0" w:color="auto"/>
          <w:left w:val="none" w:sz="0" w:space="0" w:color="auto"/>
          <w:bottom w:val="none" w:sz="0" w:space="0" w:color="auto"/>
          <w:right w:val="none" w:sz="0" w:space="0" w:color="auto"/>
          <w:bar w:val="none" w:sz="0" w:color="auto"/>
        </w:pBdr>
        <w:tabs>
          <w:tab w:val="clear" w:pos="567"/>
          <w:tab w:val="clear" w:pos="992"/>
          <w:tab w:val="left" w:pos="360"/>
        </w:tabs>
        <w:spacing w:before="0" w:after="120" w:line="276" w:lineRule="auto"/>
        <w:ind w:left="360"/>
        <w:contextualSpacing w:val="0"/>
        <w:rPr>
          <w:i/>
          <w:iCs/>
          <w:sz w:val="24"/>
          <w:lang w:val="en-GB"/>
        </w:rPr>
      </w:pPr>
      <w:r>
        <w:rPr>
          <w:i/>
          <w:iCs/>
          <w:sz w:val="24"/>
          <w:lang w:val="en-GB"/>
        </w:rPr>
        <w:t>Circulated 18 January 2014</w:t>
      </w:r>
    </w:p>
    <w:sectPr w:rsidR="0037658B" w:rsidRPr="00BB7724" w:rsidSect="009937E1">
      <w:pgSz w:w="11900" w:h="16840"/>
      <w:pgMar w:top="924" w:right="1418" w:bottom="900" w:left="1418" w:header="567" w:footer="567"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8B" w:rsidRDefault="0037658B">
      <w:pPr>
        <w:pBdr>
          <w:top w:val="none" w:sz="0" w:space="0" w:color="auto"/>
          <w:left w:val="none" w:sz="0" w:space="0" w:color="auto"/>
          <w:bottom w:val="none" w:sz="0" w:space="0" w:color="auto"/>
          <w:right w:val="none" w:sz="0" w:space="0" w:color="auto"/>
          <w:bar w:val="none" w:sz="0" w:color="auto"/>
        </w:pBdr>
        <w:spacing w:before="0" w:line="240" w:lineRule="auto"/>
      </w:pPr>
      <w:r>
        <w:separator/>
      </w:r>
    </w:p>
  </w:endnote>
  <w:endnote w:type="continuationSeparator" w:id="0">
    <w:p w:rsidR="0037658B" w:rsidRDefault="0037658B">
      <w:pPr>
        <w:pBdr>
          <w:top w:val="none" w:sz="0" w:space="0" w:color="auto"/>
          <w:left w:val="none" w:sz="0" w:space="0" w:color="auto"/>
          <w:bottom w:val="none" w:sz="0" w:space="0" w:color="auto"/>
          <w:right w:val="none" w:sz="0" w:space="0" w:color="auto"/>
          <w:bar w:val="none" w:sz="0" w:color="auto"/>
        </w:pBd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8B" w:rsidRDefault="0037658B">
      <w:pPr>
        <w:pBdr>
          <w:top w:val="none" w:sz="0" w:space="0" w:color="auto"/>
          <w:left w:val="none" w:sz="0" w:space="0" w:color="auto"/>
          <w:bottom w:val="none" w:sz="0" w:space="0" w:color="auto"/>
          <w:right w:val="none" w:sz="0" w:space="0" w:color="auto"/>
          <w:bar w:val="none" w:sz="0" w:color="auto"/>
        </w:pBdr>
        <w:spacing w:before="0" w:line="240" w:lineRule="auto"/>
      </w:pPr>
      <w:r>
        <w:separator/>
      </w:r>
    </w:p>
  </w:footnote>
  <w:footnote w:type="continuationSeparator" w:id="0">
    <w:p w:rsidR="0037658B" w:rsidRDefault="0037658B">
      <w:pPr>
        <w:pBdr>
          <w:top w:val="none" w:sz="0" w:space="0" w:color="auto"/>
          <w:left w:val="none" w:sz="0" w:space="0" w:color="auto"/>
          <w:bottom w:val="none" w:sz="0" w:space="0" w:color="auto"/>
          <w:right w:val="none" w:sz="0" w:space="0" w:color="auto"/>
          <w:bar w:val="none" w:sz="0" w:color="auto"/>
        </w:pBd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C8"/>
    <w:multiLevelType w:val="multilevel"/>
    <w:tmpl w:val="E9EEF6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77832"/>
    <w:multiLevelType w:val="hybridMultilevel"/>
    <w:tmpl w:val="C6D8F12C"/>
    <w:lvl w:ilvl="0" w:tplc="C478C3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E021B"/>
    <w:multiLevelType w:val="multilevel"/>
    <w:tmpl w:val="F66E8484"/>
    <w:lvl w:ilvl="0">
      <w:start w:val="1"/>
      <w:numFmt w:val="decimal"/>
      <w:lvlText w:val="%1."/>
      <w:lvlJc w:val="left"/>
      <w:rPr>
        <w:b/>
        <w:i/>
        <w:position w:val="0"/>
      </w:rPr>
    </w:lvl>
    <w:lvl w:ilvl="1">
      <w:start w:val="1"/>
      <w:numFmt w:val="decimal"/>
      <w:lvlText w:val="%1.%2."/>
      <w:lvlJc w:val="left"/>
      <w:rPr>
        <w:b/>
        <w:i/>
        <w:position w:val="0"/>
      </w:rPr>
    </w:lvl>
    <w:lvl w:ilvl="2">
      <w:start w:val="1"/>
      <w:numFmt w:val="decimal"/>
      <w:lvlText w:val="%1.%2.%3."/>
      <w:lvlJc w:val="left"/>
      <w:rPr>
        <w:b/>
        <w:i/>
        <w:position w:val="0"/>
      </w:rPr>
    </w:lvl>
    <w:lvl w:ilvl="3">
      <w:start w:val="1"/>
      <w:numFmt w:val="decimal"/>
      <w:lvlText w:val="%1.%2.%3.%4."/>
      <w:lvlJc w:val="left"/>
      <w:rPr>
        <w:b/>
        <w:i/>
        <w:position w:val="0"/>
      </w:rPr>
    </w:lvl>
    <w:lvl w:ilvl="4">
      <w:start w:val="1"/>
      <w:numFmt w:val="decimal"/>
      <w:lvlText w:val="%1.%2.%3.%4.%5."/>
      <w:lvlJc w:val="left"/>
      <w:rPr>
        <w:b/>
        <w:i/>
        <w:position w:val="0"/>
      </w:rPr>
    </w:lvl>
    <w:lvl w:ilvl="5">
      <w:start w:val="1"/>
      <w:numFmt w:val="decimal"/>
      <w:lvlText w:val="%1.%2.%3.%4.%5.%6."/>
      <w:lvlJc w:val="left"/>
      <w:rPr>
        <w:b/>
        <w:i/>
        <w:position w:val="0"/>
      </w:rPr>
    </w:lvl>
    <w:lvl w:ilvl="6">
      <w:start w:val="1"/>
      <w:numFmt w:val="decimal"/>
      <w:lvlText w:val="%1.%2.%3.%4.%5.%6.%7."/>
      <w:lvlJc w:val="left"/>
      <w:rPr>
        <w:b/>
        <w:i/>
        <w:position w:val="0"/>
      </w:rPr>
    </w:lvl>
    <w:lvl w:ilvl="7">
      <w:start w:val="1"/>
      <w:numFmt w:val="decimal"/>
      <w:lvlText w:val="%1.%2.%3.%4.%5.%6.%7.%8."/>
      <w:lvlJc w:val="left"/>
      <w:rPr>
        <w:b/>
        <w:i/>
        <w:position w:val="0"/>
      </w:rPr>
    </w:lvl>
    <w:lvl w:ilvl="8">
      <w:start w:val="1"/>
      <w:numFmt w:val="decimal"/>
      <w:lvlText w:val="%1.%2.%3.%4.%5.%6.%7.%8.%9."/>
      <w:lvlJc w:val="left"/>
      <w:rPr>
        <w:b/>
        <w:i/>
        <w:position w:val="0"/>
      </w:rPr>
    </w:lvl>
  </w:abstractNum>
  <w:abstractNum w:abstractNumId="3" w15:restartNumberingAfterBreak="0">
    <w:nsid w:val="2AA67061"/>
    <w:multiLevelType w:val="multilevel"/>
    <w:tmpl w:val="F51491B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 w15:restartNumberingAfterBreak="0">
    <w:nsid w:val="30C072BC"/>
    <w:multiLevelType w:val="multilevel"/>
    <w:tmpl w:val="E9EEF6A8"/>
    <w:lvl w:ilvl="0">
      <w:start w:val="3"/>
      <w:numFmt w:val="decimal"/>
      <w:lvlText w:val="%1."/>
      <w:lvlJc w:val="left"/>
      <w:rPr>
        <w:b/>
        <w:i/>
        <w:position w:val="0"/>
      </w:rPr>
    </w:lvl>
    <w:lvl w:ilvl="1">
      <w:start w:val="1"/>
      <w:numFmt w:val="decimal"/>
      <w:lvlText w:val="%1.%2."/>
      <w:lvlJc w:val="left"/>
      <w:rPr>
        <w:b/>
        <w:i/>
        <w:position w:val="0"/>
      </w:rPr>
    </w:lvl>
    <w:lvl w:ilvl="2">
      <w:start w:val="1"/>
      <w:numFmt w:val="decimal"/>
      <w:lvlText w:val="%1.%2.%3."/>
      <w:lvlJc w:val="left"/>
      <w:rPr>
        <w:b/>
        <w:i/>
        <w:position w:val="0"/>
      </w:rPr>
    </w:lvl>
    <w:lvl w:ilvl="3">
      <w:start w:val="1"/>
      <w:numFmt w:val="decimal"/>
      <w:lvlText w:val="%1.%2.%3.%4."/>
      <w:lvlJc w:val="left"/>
      <w:rPr>
        <w:b/>
        <w:i/>
        <w:position w:val="0"/>
      </w:rPr>
    </w:lvl>
    <w:lvl w:ilvl="4">
      <w:start w:val="1"/>
      <w:numFmt w:val="decimal"/>
      <w:lvlText w:val="%1.%2.%3.%4.%5."/>
      <w:lvlJc w:val="left"/>
      <w:rPr>
        <w:b/>
        <w:i/>
        <w:position w:val="0"/>
      </w:rPr>
    </w:lvl>
    <w:lvl w:ilvl="5">
      <w:start w:val="1"/>
      <w:numFmt w:val="decimal"/>
      <w:lvlText w:val="%1.%2.%3.%4.%5.%6."/>
      <w:lvlJc w:val="left"/>
      <w:rPr>
        <w:b/>
        <w:i/>
        <w:position w:val="0"/>
      </w:rPr>
    </w:lvl>
    <w:lvl w:ilvl="6">
      <w:start w:val="1"/>
      <w:numFmt w:val="decimal"/>
      <w:lvlText w:val="%1.%2.%3.%4.%5.%6.%7."/>
      <w:lvlJc w:val="left"/>
      <w:rPr>
        <w:b/>
        <w:i/>
        <w:position w:val="0"/>
      </w:rPr>
    </w:lvl>
    <w:lvl w:ilvl="7">
      <w:start w:val="1"/>
      <w:numFmt w:val="decimal"/>
      <w:lvlText w:val="%1.%2.%3.%4.%5.%6.%7.%8."/>
      <w:lvlJc w:val="left"/>
      <w:rPr>
        <w:b/>
        <w:i/>
        <w:position w:val="0"/>
      </w:rPr>
    </w:lvl>
    <w:lvl w:ilvl="8">
      <w:start w:val="1"/>
      <w:numFmt w:val="decimal"/>
      <w:lvlText w:val="%1.%2.%3.%4.%5.%6.%7.%8.%9."/>
      <w:lvlJc w:val="left"/>
      <w:rPr>
        <w:b/>
        <w:i/>
        <w:position w:val="0"/>
      </w:rPr>
    </w:lvl>
  </w:abstractNum>
  <w:abstractNum w:abstractNumId="5" w15:restartNumberingAfterBreak="0">
    <w:nsid w:val="30FD100E"/>
    <w:multiLevelType w:val="hybridMultilevel"/>
    <w:tmpl w:val="5B869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5467"/>
    <w:multiLevelType w:val="hybridMultilevel"/>
    <w:tmpl w:val="768E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B6359B"/>
    <w:multiLevelType w:val="multilevel"/>
    <w:tmpl w:val="8FCE5C6C"/>
    <w:lvl w:ilvl="0">
      <w:start w:val="1"/>
      <w:numFmt w:val="decimal"/>
      <w:lvlText w:val="%1."/>
      <w:lvlJc w:val="left"/>
      <w:rPr>
        <w:b/>
        <w:i/>
        <w:position w:val="0"/>
      </w:rPr>
    </w:lvl>
    <w:lvl w:ilvl="1">
      <w:start w:val="1"/>
      <w:numFmt w:val="decimal"/>
      <w:lvlText w:val="%1.%2."/>
      <w:lvlJc w:val="left"/>
      <w:rPr>
        <w:b/>
        <w:i/>
        <w:position w:val="0"/>
      </w:rPr>
    </w:lvl>
    <w:lvl w:ilvl="2">
      <w:start w:val="1"/>
      <w:numFmt w:val="decimal"/>
      <w:lvlText w:val="%1.%2.%3."/>
      <w:lvlJc w:val="left"/>
      <w:rPr>
        <w:b/>
        <w:i/>
        <w:position w:val="0"/>
      </w:rPr>
    </w:lvl>
    <w:lvl w:ilvl="3">
      <w:start w:val="1"/>
      <w:numFmt w:val="decimal"/>
      <w:lvlText w:val="%1.%2.%3.%4."/>
      <w:lvlJc w:val="left"/>
      <w:rPr>
        <w:b/>
        <w:i/>
        <w:position w:val="0"/>
      </w:rPr>
    </w:lvl>
    <w:lvl w:ilvl="4">
      <w:start w:val="1"/>
      <w:numFmt w:val="decimal"/>
      <w:lvlText w:val="%1.%2.%3.%4.%5."/>
      <w:lvlJc w:val="left"/>
      <w:rPr>
        <w:b/>
        <w:i/>
        <w:position w:val="0"/>
      </w:rPr>
    </w:lvl>
    <w:lvl w:ilvl="5">
      <w:start w:val="1"/>
      <w:numFmt w:val="decimal"/>
      <w:lvlText w:val="%1.%2.%3.%4.%5.%6."/>
      <w:lvlJc w:val="left"/>
      <w:rPr>
        <w:b/>
        <w:i/>
        <w:position w:val="0"/>
      </w:rPr>
    </w:lvl>
    <w:lvl w:ilvl="6">
      <w:start w:val="1"/>
      <w:numFmt w:val="decimal"/>
      <w:lvlText w:val="%1.%2.%3.%4.%5.%6.%7."/>
      <w:lvlJc w:val="left"/>
      <w:rPr>
        <w:b/>
        <w:i/>
        <w:position w:val="0"/>
      </w:rPr>
    </w:lvl>
    <w:lvl w:ilvl="7">
      <w:start w:val="1"/>
      <w:numFmt w:val="decimal"/>
      <w:lvlText w:val="%1.%2.%3.%4.%5.%6.%7.%8."/>
      <w:lvlJc w:val="left"/>
      <w:rPr>
        <w:b/>
        <w:i/>
        <w:position w:val="0"/>
      </w:rPr>
    </w:lvl>
    <w:lvl w:ilvl="8">
      <w:start w:val="1"/>
      <w:numFmt w:val="decimal"/>
      <w:lvlText w:val="%1.%2.%3.%4.%5.%6.%7.%8.%9."/>
      <w:lvlJc w:val="left"/>
      <w:rPr>
        <w:b/>
        <w:i/>
        <w:position w:val="0"/>
      </w:rPr>
    </w:lvl>
  </w:abstractNum>
  <w:abstractNum w:abstractNumId="8" w15:restartNumberingAfterBreak="0">
    <w:nsid w:val="43863116"/>
    <w:multiLevelType w:val="multilevel"/>
    <w:tmpl w:val="BCA6DE8C"/>
    <w:lvl w:ilvl="0">
      <w:start w:val="1"/>
      <w:numFmt w:val="decimal"/>
      <w:lvlText w:val="%1."/>
      <w:lvlJc w:val="left"/>
      <w:rPr>
        <w:b/>
        <w:i/>
        <w:position w:val="0"/>
      </w:rPr>
    </w:lvl>
    <w:lvl w:ilvl="1">
      <w:start w:val="1"/>
      <w:numFmt w:val="decimal"/>
      <w:lvlText w:val="%1.%2."/>
      <w:lvlJc w:val="left"/>
      <w:rPr>
        <w:b/>
        <w:i/>
        <w:position w:val="0"/>
      </w:rPr>
    </w:lvl>
    <w:lvl w:ilvl="2">
      <w:start w:val="1"/>
      <w:numFmt w:val="decimal"/>
      <w:lvlText w:val="%1.%2.%3."/>
      <w:lvlJc w:val="left"/>
      <w:rPr>
        <w:b/>
        <w:i/>
        <w:position w:val="0"/>
      </w:rPr>
    </w:lvl>
    <w:lvl w:ilvl="3">
      <w:start w:val="1"/>
      <w:numFmt w:val="decimal"/>
      <w:lvlText w:val="%1.%2.%3.%4."/>
      <w:lvlJc w:val="left"/>
      <w:rPr>
        <w:b/>
        <w:i/>
        <w:position w:val="0"/>
      </w:rPr>
    </w:lvl>
    <w:lvl w:ilvl="4">
      <w:start w:val="1"/>
      <w:numFmt w:val="decimal"/>
      <w:lvlText w:val="%1.%2.%3.%4.%5."/>
      <w:lvlJc w:val="left"/>
      <w:rPr>
        <w:b/>
        <w:i/>
        <w:position w:val="0"/>
      </w:rPr>
    </w:lvl>
    <w:lvl w:ilvl="5">
      <w:start w:val="1"/>
      <w:numFmt w:val="decimal"/>
      <w:lvlText w:val="%1.%2.%3.%4.%5.%6."/>
      <w:lvlJc w:val="left"/>
      <w:rPr>
        <w:b/>
        <w:i/>
        <w:position w:val="0"/>
      </w:rPr>
    </w:lvl>
    <w:lvl w:ilvl="6">
      <w:start w:val="1"/>
      <w:numFmt w:val="decimal"/>
      <w:lvlText w:val="%1.%2.%3.%4.%5.%6.%7."/>
      <w:lvlJc w:val="left"/>
      <w:rPr>
        <w:b/>
        <w:i/>
        <w:position w:val="0"/>
      </w:rPr>
    </w:lvl>
    <w:lvl w:ilvl="7">
      <w:start w:val="1"/>
      <w:numFmt w:val="decimal"/>
      <w:lvlText w:val="%1.%2.%3.%4.%5.%6.%7.%8."/>
      <w:lvlJc w:val="left"/>
      <w:rPr>
        <w:b/>
        <w:i/>
        <w:position w:val="0"/>
      </w:rPr>
    </w:lvl>
    <w:lvl w:ilvl="8">
      <w:start w:val="1"/>
      <w:numFmt w:val="decimal"/>
      <w:lvlText w:val="%1.%2.%3.%4.%5.%6.%7.%8.%9."/>
      <w:lvlJc w:val="left"/>
      <w:rPr>
        <w:b/>
        <w:i/>
        <w:position w:val="0"/>
      </w:rPr>
    </w:lvl>
  </w:abstractNum>
  <w:abstractNum w:abstractNumId="9" w15:restartNumberingAfterBreak="0">
    <w:nsid w:val="6BBD761C"/>
    <w:multiLevelType w:val="hybridMultilevel"/>
    <w:tmpl w:val="B92AF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5E1223"/>
    <w:multiLevelType w:val="multilevel"/>
    <w:tmpl w:val="E9EEF6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734A5D"/>
    <w:multiLevelType w:val="hybridMultilevel"/>
    <w:tmpl w:val="F15CFC40"/>
    <w:lvl w:ilvl="0" w:tplc="0809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4"/>
  </w:num>
  <w:num w:numId="6">
    <w:abstractNumId w:val="0"/>
  </w:num>
  <w:num w:numId="7">
    <w:abstractNumId w:val="10"/>
  </w:num>
  <w:num w:numId="8">
    <w:abstractNumId w:val="1"/>
  </w:num>
  <w:num w:numId="9">
    <w:abstractNumId w:val="11"/>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BC"/>
    <w:rsid w:val="000015BB"/>
    <w:rsid w:val="000A6397"/>
    <w:rsid w:val="000C072B"/>
    <w:rsid w:val="000E7D63"/>
    <w:rsid w:val="000F435B"/>
    <w:rsid w:val="00106926"/>
    <w:rsid w:val="0012228D"/>
    <w:rsid w:val="00153341"/>
    <w:rsid w:val="00161B58"/>
    <w:rsid w:val="00184503"/>
    <w:rsid w:val="00185375"/>
    <w:rsid w:val="0020046F"/>
    <w:rsid w:val="00257EBC"/>
    <w:rsid w:val="002A2E0D"/>
    <w:rsid w:val="002E4D77"/>
    <w:rsid w:val="00307E6C"/>
    <w:rsid w:val="00312128"/>
    <w:rsid w:val="0037658B"/>
    <w:rsid w:val="003C78EC"/>
    <w:rsid w:val="003E18CB"/>
    <w:rsid w:val="00412203"/>
    <w:rsid w:val="00432F0A"/>
    <w:rsid w:val="00440FCD"/>
    <w:rsid w:val="004449D8"/>
    <w:rsid w:val="00461E39"/>
    <w:rsid w:val="00491B3C"/>
    <w:rsid w:val="00492A6A"/>
    <w:rsid w:val="004A3C03"/>
    <w:rsid w:val="004A522E"/>
    <w:rsid w:val="004D0CE7"/>
    <w:rsid w:val="004D32A0"/>
    <w:rsid w:val="005308D9"/>
    <w:rsid w:val="00584D17"/>
    <w:rsid w:val="005918BB"/>
    <w:rsid w:val="0059202C"/>
    <w:rsid w:val="00596D51"/>
    <w:rsid w:val="005B23A8"/>
    <w:rsid w:val="005D61DC"/>
    <w:rsid w:val="00601D4C"/>
    <w:rsid w:val="00605F59"/>
    <w:rsid w:val="00632423"/>
    <w:rsid w:val="00651BD7"/>
    <w:rsid w:val="00662391"/>
    <w:rsid w:val="006A133B"/>
    <w:rsid w:val="006D66E2"/>
    <w:rsid w:val="00705B7D"/>
    <w:rsid w:val="00750C2C"/>
    <w:rsid w:val="007D7668"/>
    <w:rsid w:val="007E2292"/>
    <w:rsid w:val="0080784B"/>
    <w:rsid w:val="00833C12"/>
    <w:rsid w:val="00843A39"/>
    <w:rsid w:val="00856BEE"/>
    <w:rsid w:val="00893572"/>
    <w:rsid w:val="008B2B01"/>
    <w:rsid w:val="008E4117"/>
    <w:rsid w:val="009114B8"/>
    <w:rsid w:val="009248B2"/>
    <w:rsid w:val="009272DC"/>
    <w:rsid w:val="0095380E"/>
    <w:rsid w:val="00973577"/>
    <w:rsid w:val="00980DCA"/>
    <w:rsid w:val="009937E1"/>
    <w:rsid w:val="009A7F01"/>
    <w:rsid w:val="009F5CEF"/>
    <w:rsid w:val="00A147F1"/>
    <w:rsid w:val="00A25BE1"/>
    <w:rsid w:val="00A33520"/>
    <w:rsid w:val="00A43395"/>
    <w:rsid w:val="00A4364E"/>
    <w:rsid w:val="00A439B5"/>
    <w:rsid w:val="00A5407F"/>
    <w:rsid w:val="00A74B5B"/>
    <w:rsid w:val="00A77858"/>
    <w:rsid w:val="00A85C8C"/>
    <w:rsid w:val="00AB04B4"/>
    <w:rsid w:val="00AB4F4B"/>
    <w:rsid w:val="00AF7429"/>
    <w:rsid w:val="00B23E42"/>
    <w:rsid w:val="00B31085"/>
    <w:rsid w:val="00B327C1"/>
    <w:rsid w:val="00B579A7"/>
    <w:rsid w:val="00BB20FC"/>
    <w:rsid w:val="00BB7724"/>
    <w:rsid w:val="00BF34BD"/>
    <w:rsid w:val="00C5479C"/>
    <w:rsid w:val="00C64C7D"/>
    <w:rsid w:val="00C70096"/>
    <w:rsid w:val="00CD4C93"/>
    <w:rsid w:val="00D021B5"/>
    <w:rsid w:val="00D404BF"/>
    <w:rsid w:val="00D55B73"/>
    <w:rsid w:val="00D83A4F"/>
    <w:rsid w:val="00D922A2"/>
    <w:rsid w:val="00E10351"/>
    <w:rsid w:val="00E34E46"/>
    <w:rsid w:val="00E66703"/>
    <w:rsid w:val="00E81F98"/>
    <w:rsid w:val="00EC4F03"/>
    <w:rsid w:val="00F00A08"/>
    <w:rsid w:val="00F8664A"/>
    <w:rsid w:val="00FC2969"/>
    <w:rsid w:val="00FD77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46E2E0-8BC3-4491-ABDD-56A2FBE5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0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992"/>
      </w:tabs>
      <w:spacing w:before="180" w:line="280" w:lineRule="exact"/>
      <w:jc w:val="both"/>
    </w:pPr>
    <w:rPr>
      <w:color w:val="000000"/>
      <w:sz w:val="22"/>
      <w:szCs w:val="22"/>
      <w:u w:color="000000"/>
    </w:rPr>
  </w:style>
  <w:style w:type="paragraph" w:styleId="Heading1">
    <w:name w:val="heading 1"/>
    <w:basedOn w:val="Normal"/>
    <w:next w:val="Normal"/>
    <w:link w:val="Heading1Char"/>
    <w:uiPriority w:val="99"/>
    <w:qFormat/>
    <w:rsid w:val="00EC4F03"/>
    <w:pPr>
      <w:keepNext/>
      <w:keepLines/>
      <w:spacing w:before="360" w:line="360" w:lineRule="exact"/>
      <w:ind w:left="567" w:hanging="567"/>
      <w:jc w:val="left"/>
      <w:outlineLvl w:val="0"/>
    </w:pPr>
    <w:rPr>
      <w:b/>
      <w:bCs/>
      <w:sz w:val="28"/>
      <w:szCs w:val="28"/>
      <w:lang w:eastAsia="en-GB"/>
    </w:rPr>
  </w:style>
  <w:style w:type="paragraph" w:styleId="Heading2">
    <w:name w:val="heading 2"/>
    <w:basedOn w:val="Normal"/>
    <w:next w:val="Normal"/>
    <w:link w:val="Heading2Char"/>
    <w:uiPriority w:val="99"/>
    <w:qFormat/>
    <w:rsid w:val="00EC4F03"/>
    <w:pPr>
      <w:keepNext/>
      <w:tabs>
        <w:tab w:val="clear" w:pos="567"/>
      </w:tabs>
      <w:spacing w:before="300" w:after="120"/>
      <w:ind w:left="720" w:hanging="360"/>
      <w:jc w:val="left"/>
      <w:outlineLvl w:val="1"/>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B58"/>
    <w:rPr>
      <w:rFonts w:ascii="Cambria" w:hAnsi="Cambria" w:cs="Times New Roman"/>
      <w:b/>
      <w:bCs/>
      <w:color w:val="000000"/>
      <w:kern w:val="32"/>
      <w:sz w:val="32"/>
      <w:u w:color="000000"/>
      <w:lang w:val="en-US" w:eastAsia="en-US"/>
    </w:rPr>
  </w:style>
  <w:style w:type="character" w:customStyle="1" w:styleId="Heading2Char">
    <w:name w:val="Heading 2 Char"/>
    <w:basedOn w:val="DefaultParagraphFont"/>
    <w:link w:val="Heading2"/>
    <w:uiPriority w:val="99"/>
    <w:semiHidden/>
    <w:rsid w:val="00161B58"/>
    <w:rPr>
      <w:rFonts w:ascii="Cambria" w:hAnsi="Cambria" w:cs="Times New Roman"/>
      <w:b/>
      <w:bCs/>
      <w:i/>
      <w:iCs/>
      <w:color w:val="000000"/>
      <w:sz w:val="28"/>
      <w:u w:color="000000"/>
      <w:lang w:val="en-US" w:eastAsia="en-US"/>
    </w:rPr>
  </w:style>
  <w:style w:type="character" w:styleId="Hyperlink">
    <w:name w:val="Hyperlink"/>
    <w:basedOn w:val="DefaultParagraphFont"/>
    <w:uiPriority w:val="99"/>
    <w:rsid w:val="00EC4F03"/>
    <w:rPr>
      <w:rFonts w:cs="Times New Roman"/>
      <w:u w:val="single"/>
    </w:rPr>
  </w:style>
  <w:style w:type="paragraph" w:styleId="Header">
    <w:name w:val="header"/>
    <w:basedOn w:val="Normal"/>
    <w:link w:val="HeaderChar"/>
    <w:uiPriority w:val="99"/>
    <w:rsid w:val="00EC4F03"/>
    <w:pPr>
      <w:tabs>
        <w:tab w:val="clear" w:pos="567"/>
        <w:tab w:val="clear" w:pos="992"/>
        <w:tab w:val="center" w:pos="4153"/>
        <w:tab w:val="right" w:pos="8505"/>
      </w:tabs>
      <w:jc w:val="left"/>
    </w:pPr>
    <w:rPr>
      <w:sz w:val="19"/>
      <w:szCs w:val="19"/>
      <w:lang w:eastAsia="en-GB"/>
    </w:rPr>
  </w:style>
  <w:style w:type="character" w:customStyle="1" w:styleId="HeaderChar">
    <w:name w:val="Header Char"/>
    <w:basedOn w:val="DefaultParagraphFont"/>
    <w:link w:val="Header"/>
    <w:uiPriority w:val="99"/>
    <w:semiHidden/>
    <w:rsid w:val="00161B58"/>
    <w:rPr>
      <w:rFonts w:cs="Times New Roman"/>
      <w:color w:val="000000"/>
      <w:u w:color="000000"/>
      <w:lang w:val="en-US" w:eastAsia="en-US"/>
    </w:rPr>
  </w:style>
  <w:style w:type="paragraph" w:styleId="Footer">
    <w:name w:val="footer"/>
    <w:basedOn w:val="Normal"/>
    <w:link w:val="FooterChar"/>
    <w:uiPriority w:val="99"/>
    <w:semiHidden/>
    <w:rsid w:val="00EC4F03"/>
    <w:pPr>
      <w:tabs>
        <w:tab w:val="clear" w:pos="567"/>
        <w:tab w:val="clear" w:pos="992"/>
        <w:tab w:val="center" w:pos="4253"/>
        <w:tab w:val="right" w:pos="8505"/>
      </w:tabs>
      <w:jc w:val="left"/>
    </w:pPr>
    <w:rPr>
      <w:sz w:val="19"/>
      <w:szCs w:val="19"/>
      <w:lang w:eastAsia="en-GB"/>
    </w:rPr>
  </w:style>
  <w:style w:type="character" w:customStyle="1" w:styleId="FooterChar">
    <w:name w:val="Footer Char"/>
    <w:basedOn w:val="DefaultParagraphFont"/>
    <w:link w:val="Footer"/>
    <w:uiPriority w:val="99"/>
    <w:rsid w:val="00161B58"/>
    <w:rPr>
      <w:rFonts w:cs="Times New Roman"/>
      <w:color w:val="000000"/>
      <w:u w:color="000000"/>
      <w:lang w:val="en-US" w:eastAsia="en-US"/>
    </w:rPr>
  </w:style>
  <w:style w:type="paragraph" w:customStyle="1" w:styleId="BoxTitle">
    <w:name w:val="Box Title"/>
    <w:uiPriority w:val="99"/>
    <w:rsid w:val="00EC4F03"/>
    <w:pPr>
      <w:pBdr>
        <w:top w:val="single" w:sz="4" w:space="0" w:color="000000"/>
        <w:left w:val="single" w:sz="4" w:space="0" w:color="000000"/>
        <w:bottom w:val="single" w:sz="4" w:space="0" w:color="000000"/>
        <w:right w:val="single" w:sz="4" w:space="0" w:color="000000"/>
      </w:pBdr>
      <w:spacing w:before="320" w:after="320" w:line="400" w:lineRule="exact"/>
      <w:jc w:val="center"/>
    </w:pPr>
    <w:rPr>
      <w:b/>
      <w:bCs/>
      <w:color w:val="000000"/>
      <w:sz w:val="32"/>
      <w:szCs w:val="32"/>
      <w:u w:color="000000"/>
      <w:lang w:eastAsia="en-GB"/>
    </w:rPr>
  </w:style>
  <w:style w:type="paragraph" w:customStyle="1" w:styleId="BoxSub">
    <w:name w:val="Box Sub"/>
    <w:uiPriority w:val="99"/>
    <w:rsid w:val="00EC4F03"/>
    <w:pPr>
      <w:pBdr>
        <w:top w:val="single" w:sz="4" w:space="0" w:color="000000"/>
        <w:left w:val="single" w:sz="4" w:space="0" w:color="000000"/>
        <w:bottom w:val="single" w:sz="4" w:space="0" w:color="000000"/>
        <w:right w:val="single" w:sz="4" w:space="0" w:color="000000"/>
      </w:pBdr>
      <w:spacing w:line="280" w:lineRule="exact"/>
      <w:jc w:val="center"/>
    </w:pPr>
    <w:rPr>
      <w:color w:val="000000"/>
      <w:sz w:val="22"/>
      <w:szCs w:val="22"/>
      <w:u w:color="000000"/>
      <w:lang w:eastAsia="en-GB"/>
    </w:rPr>
  </w:style>
  <w:style w:type="table" w:styleId="TableGrid">
    <w:name w:val="Table Grid"/>
    <w:basedOn w:val="TableNormal"/>
    <w:uiPriority w:val="99"/>
    <w:rsid w:val="0053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55B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73"/>
    <w:rPr>
      <w:rFonts w:ascii="Tahoma" w:hAnsi="Tahoma" w:cs="Tahoma"/>
      <w:color w:val="000000"/>
      <w:sz w:val="16"/>
      <w:u w:color="000000"/>
      <w:lang w:val="en-US" w:eastAsia="en-US"/>
    </w:rPr>
  </w:style>
  <w:style w:type="paragraph" w:styleId="ListParagraph">
    <w:name w:val="List Paragraph"/>
    <w:basedOn w:val="Normal"/>
    <w:uiPriority w:val="99"/>
    <w:qFormat/>
    <w:rsid w:val="008E4117"/>
    <w:pPr>
      <w:ind w:left="720"/>
      <w:contextualSpacing/>
    </w:pPr>
  </w:style>
  <w:style w:type="character" w:styleId="CommentReference">
    <w:name w:val="annotation reference"/>
    <w:basedOn w:val="DefaultParagraphFont"/>
    <w:uiPriority w:val="99"/>
    <w:semiHidden/>
    <w:rsid w:val="008E4117"/>
    <w:rPr>
      <w:rFonts w:cs="Times New Roman"/>
      <w:sz w:val="16"/>
    </w:rPr>
  </w:style>
  <w:style w:type="paragraph" w:styleId="CommentText">
    <w:name w:val="annotation text"/>
    <w:basedOn w:val="Normal"/>
    <w:link w:val="CommentTextChar"/>
    <w:uiPriority w:val="99"/>
    <w:semiHidden/>
    <w:rsid w:val="008E4117"/>
    <w:pPr>
      <w:spacing w:line="240" w:lineRule="auto"/>
    </w:pPr>
    <w:rPr>
      <w:sz w:val="20"/>
      <w:szCs w:val="20"/>
    </w:rPr>
  </w:style>
  <w:style w:type="character" w:customStyle="1" w:styleId="CommentTextChar">
    <w:name w:val="Comment Text Char"/>
    <w:basedOn w:val="DefaultParagraphFont"/>
    <w:link w:val="CommentText"/>
    <w:uiPriority w:val="99"/>
    <w:semiHidden/>
    <w:rsid w:val="008E4117"/>
    <w:rPr>
      <w:rFonts w:cs="Times New Roman"/>
      <w:color w:val="000000"/>
      <w:sz w:val="20"/>
      <w:u w:color="000000"/>
      <w:lang w:val="en-US" w:eastAsia="en-US"/>
    </w:rPr>
  </w:style>
  <w:style w:type="paragraph" w:styleId="CommentSubject">
    <w:name w:val="annotation subject"/>
    <w:basedOn w:val="CommentText"/>
    <w:next w:val="CommentText"/>
    <w:link w:val="CommentSubjectChar"/>
    <w:uiPriority w:val="99"/>
    <w:semiHidden/>
    <w:rsid w:val="008E4117"/>
    <w:rPr>
      <w:b/>
      <w:bCs/>
    </w:rPr>
  </w:style>
  <w:style w:type="character" w:customStyle="1" w:styleId="CommentSubjectChar">
    <w:name w:val="Comment Subject Char"/>
    <w:basedOn w:val="CommentTextChar"/>
    <w:link w:val="CommentSubject"/>
    <w:uiPriority w:val="99"/>
    <w:semiHidden/>
    <w:rsid w:val="008E4117"/>
    <w:rPr>
      <w:rFonts w:cs="Times New Roman"/>
      <w:b/>
      <w:bCs/>
      <w:color w:val="000000"/>
      <w:sz w:val="2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IASC PRINCIPALS AD HOC MEETING</vt:lpstr>
    </vt:vector>
  </TitlesOfParts>
  <Company>United Nations</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IASC PRINCIPALS AD HOC MEETING</dc:title>
  <dc:subject/>
  <dc:creator>Birgit Velte</dc:creator>
  <cp:keywords/>
  <cp:lastModifiedBy>ESCODA BRUNED</cp:lastModifiedBy>
  <cp:revision>2</cp:revision>
  <dcterms:created xsi:type="dcterms:W3CDTF">2016-10-31T15:46:00Z</dcterms:created>
  <dcterms:modified xsi:type="dcterms:W3CDTF">2016-10-31T15:46:00Z</dcterms:modified>
</cp:coreProperties>
</file>