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1016" w:tblpY="65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70"/>
        <w:gridCol w:w="5455"/>
        <w:gridCol w:w="2520"/>
        <w:gridCol w:w="1798"/>
      </w:tblGrid>
      <w:tr w:rsidR="00176995" w:rsidRPr="005E4381" w14:paraId="37D20266" w14:textId="77777777" w:rsidTr="003034DB">
        <w:trPr>
          <w:trHeight w:val="527"/>
          <w:tblHeader/>
        </w:trPr>
        <w:tc>
          <w:tcPr>
            <w:tcW w:w="10343" w:type="dxa"/>
            <w:gridSpan w:val="4"/>
            <w:shd w:val="clear" w:color="auto" w:fill="auto"/>
          </w:tcPr>
          <w:p w14:paraId="348D4720" w14:textId="645B49F1" w:rsidR="00311064" w:rsidRPr="00826BB4" w:rsidRDefault="001A52AF" w:rsidP="001A52AF">
            <w:pPr>
              <w:spacing w:after="0"/>
              <w:rPr>
                <w:rFonts w:ascii="Trebuchet MS" w:hAnsi="Trebuchet MS" w:cstheme="minorHAnsi"/>
                <w:b/>
                <w:color w:val="1F4E79" w:themeColor="accent1" w:themeShade="80"/>
                <w:sz w:val="26"/>
                <w:szCs w:val="26"/>
              </w:rPr>
            </w:pPr>
            <w:r w:rsidRPr="00826BB4">
              <w:rPr>
                <w:rFonts w:ascii="Trebuchet MS" w:hAnsi="Trebuchet MS"/>
                <w:noProof/>
                <w:color w:val="1F4E79" w:themeColor="accent1" w:themeShade="80"/>
                <w:lang w:val="en-GB" w:eastAsia="en-GB"/>
              </w:rPr>
              <w:drawing>
                <wp:anchor distT="0" distB="0" distL="114300" distR="114300" simplePos="0" relativeHeight="251658240" behindDoc="1" locked="0" layoutInCell="1" allowOverlap="1" wp14:anchorId="406CEE5D" wp14:editId="1D12A033">
                  <wp:simplePos x="0" y="0"/>
                  <wp:positionH relativeFrom="column">
                    <wp:posOffset>4530725</wp:posOffset>
                  </wp:positionH>
                  <wp:positionV relativeFrom="paragraph">
                    <wp:posOffset>0</wp:posOffset>
                  </wp:positionV>
                  <wp:extent cx="2181860" cy="485775"/>
                  <wp:effectExtent l="0" t="0" r="8890" b="9525"/>
                  <wp:wrapTight wrapText="bothSides">
                    <wp:wrapPolygon edited="0">
                      <wp:start x="0" y="0"/>
                      <wp:lineTo x="0" y="21176"/>
                      <wp:lineTo x="21499" y="21176"/>
                      <wp:lineTo x="214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0910" t="10352" r="42314" b="77343"/>
                          <a:stretch/>
                        </pic:blipFill>
                        <pic:spPr bwMode="auto">
                          <a:xfrm>
                            <a:off x="0" y="0"/>
                            <a:ext cx="2181860" cy="485775"/>
                          </a:xfrm>
                          <a:prstGeom prst="rect">
                            <a:avLst/>
                          </a:prstGeom>
                          <a:ln>
                            <a:noFill/>
                          </a:ln>
                          <a:extLst>
                            <a:ext uri="{53640926-AAD7-44D8-BBD7-CCE9431645EC}">
                              <a14:shadowObscured xmlns:a14="http://schemas.microsoft.com/office/drawing/2010/main"/>
                            </a:ext>
                          </a:extLst>
                        </pic:spPr>
                      </pic:pic>
                    </a:graphicData>
                  </a:graphic>
                </wp:anchor>
              </w:drawing>
            </w:r>
            <w:r w:rsidR="000F06C1" w:rsidRPr="00826BB4">
              <w:rPr>
                <w:rFonts w:ascii="Trebuchet MS" w:hAnsi="Trebuchet MS" w:cstheme="minorHAnsi"/>
                <w:b/>
                <w:color w:val="1F4E79" w:themeColor="accent1" w:themeShade="80"/>
                <w:sz w:val="26"/>
                <w:szCs w:val="26"/>
              </w:rPr>
              <w:t xml:space="preserve">Meeting </w:t>
            </w:r>
            <w:r w:rsidR="00276406" w:rsidRPr="00826BB4">
              <w:rPr>
                <w:rFonts w:ascii="Trebuchet MS" w:hAnsi="Trebuchet MS" w:cstheme="minorHAnsi"/>
                <w:b/>
                <w:color w:val="1F4E79" w:themeColor="accent1" w:themeShade="80"/>
                <w:sz w:val="26"/>
                <w:szCs w:val="26"/>
              </w:rPr>
              <w:t>Summary</w:t>
            </w:r>
            <w:r w:rsidR="00DE03E6" w:rsidRPr="00826BB4">
              <w:rPr>
                <w:rFonts w:ascii="Trebuchet MS" w:hAnsi="Trebuchet MS" w:cstheme="minorHAnsi"/>
                <w:b/>
                <w:color w:val="1F4E79" w:themeColor="accent1" w:themeShade="80"/>
                <w:sz w:val="26"/>
                <w:szCs w:val="26"/>
              </w:rPr>
              <w:t xml:space="preserve"> </w:t>
            </w:r>
          </w:p>
          <w:p w14:paraId="31D58D47" w14:textId="77777777" w:rsidR="00120FCD" w:rsidRPr="005E4381" w:rsidRDefault="00120FCD" w:rsidP="001A52AF">
            <w:pPr>
              <w:spacing w:after="0"/>
              <w:rPr>
                <w:rFonts w:ascii="Trebuchet MS" w:hAnsi="Trebuchet MS" w:cstheme="minorHAnsi"/>
                <w:b/>
                <w:sz w:val="26"/>
                <w:szCs w:val="26"/>
              </w:rPr>
            </w:pPr>
          </w:p>
          <w:p w14:paraId="705E390A" w14:textId="77777777" w:rsidR="00276406" w:rsidRPr="005E4381" w:rsidRDefault="00276406" w:rsidP="001A52AF">
            <w:pPr>
              <w:spacing w:after="0"/>
              <w:rPr>
                <w:rFonts w:ascii="Trebuchet MS" w:hAnsi="Trebuchet MS" w:cstheme="minorHAnsi"/>
                <w:b/>
                <w:sz w:val="26"/>
                <w:szCs w:val="26"/>
              </w:rPr>
            </w:pPr>
          </w:p>
          <w:p w14:paraId="565C5020" w14:textId="2AEE77E2" w:rsidR="009D1AD1" w:rsidRPr="00826BB4" w:rsidRDefault="00311064" w:rsidP="001A52AF">
            <w:pPr>
              <w:spacing w:after="0"/>
              <w:rPr>
                <w:rFonts w:ascii="Trebuchet MS" w:hAnsi="Trebuchet MS" w:cstheme="minorHAnsi"/>
                <w:b/>
                <w:color w:val="1F4E79" w:themeColor="accent1" w:themeShade="80"/>
                <w:sz w:val="26"/>
                <w:szCs w:val="26"/>
              </w:rPr>
            </w:pPr>
            <w:r w:rsidRPr="00826BB4">
              <w:rPr>
                <w:rFonts w:ascii="Trebuchet MS" w:hAnsi="Trebuchet MS" w:cstheme="minorHAnsi"/>
                <w:b/>
                <w:color w:val="1F4E79" w:themeColor="accent1" w:themeShade="80"/>
                <w:sz w:val="26"/>
                <w:szCs w:val="26"/>
              </w:rPr>
              <w:t>Reference Group on Risk, Early Warning and Preparedness</w:t>
            </w:r>
          </w:p>
          <w:p w14:paraId="12F78A3D" w14:textId="220840BC" w:rsidR="00255E7E" w:rsidRPr="00826BB4" w:rsidRDefault="007F2873" w:rsidP="005C3E36">
            <w:pPr>
              <w:spacing w:after="0"/>
              <w:rPr>
                <w:rFonts w:ascii="Trebuchet MS" w:hAnsi="Trebuchet MS" w:cstheme="minorHAnsi"/>
                <w:sz w:val="20"/>
              </w:rPr>
            </w:pPr>
            <w:hyperlink r:id="rId9" w:history="1">
              <w:r w:rsidR="00826BB4" w:rsidRPr="00826BB4">
                <w:rPr>
                  <w:rStyle w:val="Hyperlink"/>
                  <w:rFonts w:ascii="Trebuchet MS" w:hAnsi="Trebuchet MS" w:cstheme="minorHAnsi"/>
                  <w:sz w:val="20"/>
                </w:rPr>
                <w:t>https://interagencystandingcommittee.org/reference-group-risk-early-warning-and-preparedness</w:t>
              </w:r>
            </w:hyperlink>
            <w:r w:rsidR="00826BB4" w:rsidRPr="00826BB4">
              <w:rPr>
                <w:rFonts w:ascii="Trebuchet MS" w:hAnsi="Trebuchet MS" w:cstheme="minorHAnsi"/>
                <w:sz w:val="20"/>
              </w:rPr>
              <w:t xml:space="preserve"> </w:t>
            </w:r>
          </w:p>
          <w:p w14:paraId="22CCB353" w14:textId="77777777" w:rsidR="00826BB4" w:rsidRPr="00826BB4" w:rsidRDefault="00826BB4" w:rsidP="005C3E36">
            <w:pPr>
              <w:spacing w:after="0"/>
              <w:rPr>
                <w:rFonts w:ascii="Trebuchet MS" w:hAnsi="Trebuchet MS" w:cstheme="minorHAnsi"/>
              </w:rPr>
            </w:pPr>
          </w:p>
          <w:p w14:paraId="6937B228" w14:textId="7686AC37" w:rsidR="003761F3" w:rsidRPr="005E4381" w:rsidRDefault="009D1AD1" w:rsidP="005C3E36">
            <w:pPr>
              <w:spacing w:after="0"/>
              <w:rPr>
                <w:rFonts w:ascii="Trebuchet MS" w:hAnsi="Trebuchet MS" w:cstheme="minorHAnsi"/>
              </w:rPr>
            </w:pPr>
            <w:r w:rsidRPr="005E4381">
              <w:rPr>
                <w:rFonts w:ascii="Trebuchet MS" w:hAnsi="Trebuchet MS" w:cstheme="minorHAnsi"/>
                <w:b/>
              </w:rPr>
              <w:t xml:space="preserve">Date:  </w:t>
            </w:r>
            <w:r w:rsidR="005C3E36" w:rsidRPr="005E4381">
              <w:rPr>
                <w:rFonts w:ascii="Trebuchet MS" w:hAnsi="Trebuchet MS" w:cstheme="minorHAnsi"/>
                <w:b/>
              </w:rPr>
              <w:tab/>
            </w:r>
            <w:r w:rsidR="005C3E36" w:rsidRPr="005E4381">
              <w:rPr>
                <w:rFonts w:ascii="Trebuchet MS" w:hAnsi="Trebuchet MS" w:cstheme="minorHAnsi"/>
                <w:b/>
              </w:rPr>
              <w:tab/>
            </w:r>
            <w:r w:rsidR="003761F3" w:rsidRPr="005E4381">
              <w:rPr>
                <w:rFonts w:ascii="Trebuchet MS" w:hAnsi="Trebuchet MS" w:cstheme="minorHAnsi"/>
              </w:rPr>
              <w:t>13</w:t>
            </w:r>
            <w:r w:rsidR="00A817E3" w:rsidRPr="005E4381">
              <w:rPr>
                <w:rFonts w:ascii="Trebuchet MS" w:hAnsi="Trebuchet MS" w:cstheme="minorHAnsi"/>
              </w:rPr>
              <w:t xml:space="preserve"> </w:t>
            </w:r>
            <w:r w:rsidR="00BE7E3A" w:rsidRPr="005E4381">
              <w:rPr>
                <w:rFonts w:ascii="Trebuchet MS" w:hAnsi="Trebuchet MS" w:cstheme="minorHAnsi"/>
              </w:rPr>
              <w:t>October 2</w:t>
            </w:r>
            <w:r w:rsidR="00595166" w:rsidRPr="005E4381">
              <w:rPr>
                <w:rFonts w:ascii="Trebuchet MS" w:hAnsi="Trebuchet MS" w:cstheme="minorHAnsi"/>
              </w:rPr>
              <w:t>016 (</w:t>
            </w:r>
            <w:r w:rsidR="00CB7864" w:rsidRPr="005E4381">
              <w:rPr>
                <w:rFonts w:ascii="Trebuchet MS" w:hAnsi="Trebuchet MS" w:cstheme="minorHAnsi"/>
              </w:rPr>
              <w:t>15:00-17</w:t>
            </w:r>
            <w:r w:rsidR="00A817E3" w:rsidRPr="005E4381">
              <w:rPr>
                <w:rFonts w:ascii="Trebuchet MS" w:hAnsi="Trebuchet MS" w:cstheme="minorHAnsi"/>
              </w:rPr>
              <w:t>:</w:t>
            </w:r>
            <w:r w:rsidR="00CB7864" w:rsidRPr="005E4381">
              <w:rPr>
                <w:rFonts w:ascii="Trebuchet MS" w:hAnsi="Trebuchet MS" w:cstheme="minorHAnsi"/>
              </w:rPr>
              <w:t>0</w:t>
            </w:r>
            <w:r w:rsidR="00595166" w:rsidRPr="005E4381">
              <w:rPr>
                <w:rFonts w:ascii="Trebuchet MS" w:hAnsi="Trebuchet MS" w:cstheme="minorHAnsi"/>
              </w:rPr>
              <w:t>0am</w:t>
            </w:r>
            <w:r w:rsidR="00176995" w:rsidRPr="005E4381">
              <w:rPr>
                <w:rFonts w:ascii="Trebuchet MS" w:hAnsi="Trebuchet MS" w:cstheme="minorHAnsi"/>
              </w:rPr>
              <w:t>)</w:t>
            </w:r>
          </w:p>
          <w:p w14:paraId="44ED33E9" w14:textId="35B744FA" w:rsidR="00FA45D6" w:rsidRDefault="009D1AD1" w:rsidP="001A52AF">
            <w:pPr>
              <w:spacing w:after="0"/>
              <w:rPr>
                <w:rFonts w:ascii="Trebuchet MS" w:hAnsi="Trebuchet MS" w:cstheme="minorHAnsi"/>
              </w:rPr>
            </w:pPr>
            <w:r w:rsidRPr="005E4381">
              <w:rPr>
                <w:rFonts w:ascii="Trebuchet MS" w:hAnsi="Trebuchet MS" w:cstheme="minorHAnsi"/>
                <w:b/>
              </w:rPr>
              <w:t xml:space="preserve">Venue: </w:t>
            </w:r>
            <w:r w:rsidR="00311064" w:rsidRPr="005E4381">
              <w:rPr>
                <w:rFonts w:ascii="Trebuchet MS" w:hAnsi="Trebuchet MS"/>
              </w:rPr>
              <w:t xml:space="preserve"> </w:t>
            </w:r>
            <w:r w:rsidR="005C3E36" w:rsidRPr="005E4381">
              <w:rPr>
                <w:rFonts w:ascii="Trebuchet MS" w:hAnsi="Trebuchet MS"/>
              </w:rPr>
              <w:tab/>
            </w:r>
            <w:r w:rsidR="00CB7864" w:rsidRPr="005E4381">
              <w:rPr>
                <w:rFonts w:ascii="Trebuchet MS" w:hAnsi="Trebuchet MS" w:cstheme="minorHAnsi"/>
              </w:rPr>
              <w:t xml:space="preserve">UNDP, </w:t>
            </w:r>
            <w:r w:rsidR="005C3E36" w:rsidRPr="005E4381">
              <w:rPr>
                <w:rFonts w:ascii="Trebuchet MS" w:hAnsi="Trebuchet MS" w:cstheme="minorHAnsi"/>
              </w:rPr>
              <w:t xml:space="preserve">MIE1, </w:t>
            </w:r>
            <w:r w:rsidR="00CB7864" w:rsidRPr="005E4381">
              <w:rPr>
                <w:rFonts w:ascii="Trebuchet MS" w:hAnsi="Trebuchet MS" w:cstheme="minorHAnsi"/>
              </w:rPr>
              <w:t>Geneva</w:t>
            </w:r>
            <w:r w:rsidR="005C3E36" w:rsidRPr="005E4381">
              <w:rPr>
                <w:rFonts w:ascii="Trebuchet MS" w:hAnsi="Trebuchet MS" w:cstheme="minorHAnsi"/>
              </w:rPr>
              <w:t>, Room A214 + Bridge</w:t>
            </w:r>
          </w:p>
          <w:p w14:paraId="15BA9401" w14:textId="65B1FDBB" w:rsidR="003034DB" w:rsidRPr="005E4381" w:rsidRDefault="003034DB" w:rsidP="003034DB">
            <w:pPr>
              <w:spacing w:after="0"/>
              <w:rPr>
                <w:rFonts w:ascii="Trebuchet MS" w:hAnsi="Trebuchet MS" w:cstheme="minorHAnsi"/>
              </w:rPr>
            </w:pPr>
            <w:r w:rsidRPr="003034DB">
              <w:rPr>
                <w:rFonts w:ascii="Trebuchet MS" w:hAnsi="Trebuchet MS" w:cstheme="minorHAnsi"/>
                <w:b/>
              </w:rPr>
              <w:t>Co-Chairs:</w:t>
            </w:r>
            <w:r>
              <w:rPr>
                <w:rFonts w:ascii="Trebuchet MS" w:hAnsi="Trebuchet MS" w:cstheme="minorHAnsi"/>
              </w:rPr>
              <w:tab/>
              <w:t>UNDP (Patrick Grémillet) – WFP (Anthony Craig)</w:t>
            </w:r>
          </w:p>
          <w:p w14:paraId="3D2D0E9E" w14:textId="77777777" w:rsidR="00DA07B2" w:rsidRPr="005E4381" w:rsidRDefault="00DA07B2" w:rsidP="001A52AF">
            <w:pPr>
              <w:spacing w:after="0"/>
              <w:rPr>
                <w:rFonts w:ascii="Trebuchet MS" w:hAnsi="Trebuchet MS" w:cstheme="minorHAnsi"/>
              </w:rPr>
            </w:pPr>
          </w:p>
          <w:p w14:paraId="722009CA" w14:textId="4A65C46B" w:rsidR="00DA07B2" w:rsidRPr="005E4381" w:rsidRDefault="007F2873" w:rsidP="00DA07B2">
            <w:pPr>
              <w:pStyle w:val="NoSpacing"/>
              <w:rPr>
                <w:rFonts w:ascii="Trebuchet MS" w:hAnsi="Trebuchet MS"/>
              </w:rPr>
            </w:pPr>
            <w:hyperlink r:id="rId10" w:history="1">
              <w:r w:rsidR="00DA07B2" w:rsidRPr="005E4381">
                <w:rPr>
                  <w:rStyle w:val="Hyperlink"/>
                  <w:rFonts w:ascii="Trebuchet MS" w:hAnsi="Trebuchet MS"/>
                </w:rPr>
                <w:t>Click here to access the webpage for the meeting</w:t>
              </w:r>
            </w:hyperlink>
          </w:p>
          <w:p w14:paraId="2E7ACB32" w14:textId="1B9FAFEF" w:rsidR="003761F3" w:rsidRPr="005E4381" w:rsidRDefault="003761F3" w:rsidP="00DA07B2">
            <w:pPr>
              <w:spacing w:after="0"/>
              <w:rPr>
                <w:rFonts w:ascii="Trebuchet MS" w:hAnsi="Trebuchet MS" w:cstheme="minorHAnsi"/>
              </w:rPr>
            </w:pPr>
          </w:p>
        </w:tc>
      </w:tr>
      <w:tr w:rsidR="00437701" w:rsidRPr="005E4381" w14:paraId="1280579B" w14:textId="77777777" w:rsidTr="003034DB">
        <w:trPr>
          <w:tblHeader/>
        </w:trPr>
        <w:tc>
          <w:tcPr>
            <w:tcW w:w="10343" w:type="dxa"/>
            <w:gridSpan w:val="4"/>
            <w:shd w:val="clear" w:color="auto" w:fill="auto"/>
          </w:tcPr>
          <w:p w14:paraId="09F1A185" w14:textId="3007D209" w:rsidR="00437701" w:rsidRPr="005E4381" w:rsidRDefault="00437701" w:rsidP="00B21805">
            <w:pPr>
              <w:rPr>
                <w:rFonts w:ascii="Trebuchet MS" w:eastAsiaTheme="minorEastAsia" w:hAnsi="Trebuchet MS" w:cstheme="minorHAnsi"/>
                <w:color w:val="000000" w:themeColor="text1"/>
                <w:u w:val="single"/>
                <w:lang w:eastAsia="ja-JP"/>
              </w:rPr>
            </w:pPr>
            <w:r w:rsidRPr="005E4381">
              <w:rPr>
                <w:rFonts w:ascii="Trebuchet MS" w:eastAsiaTheme="minorEastAsia" w:hAnsi="Trebuchet MS" w:cstheme="minorHAnsi"/>
                <w:b/>
                <w:color w:val="000000" w:themeColor="text1"/>
                <w:lang w:eastAsia="ja-JP"/>
              </w:rPr>
              <w:t>Agenda</w:t>
            </w:r>
            <w:r w:rsidR="00CA2D43" w:rsidRPr="005E4381">
              <w:rPr>
                <w:rFonts w:ascii="Trebuchet MS" w:eastAsiaTheme="minorEastAsia" w:hAnsi="Trebuchet MS" w:cstheme="minorHAnsi"/>
                <w:b/>
                <w:color w:val="000000" w:themeColor="text1"/>
                <w:lang w:eastAsia="ja-JP"/>
              </w:rPr>
              <w:t>:</w:t>
            </w:r>
          </w:p>
          <w:p w14:paraId="1106DF62" w14:textId="644525E7" w:rsidR="00CB7864" w:rsidRPr="005E4381" w:rsidRDefault="00CB7864" w:rsidP="007D1F06">
            <w:pPr>
              <w:pStyle w:val="ListParagraph"/>
              <w:numPr>
                <w:ilvl w:val="0"/>
                <w:numId w:val="20"/>
              </w:numPr>
              <w:spacing w:before="100" w:beforeAutospacing="1" w:after="100" w:afterAutospacing="1"/>
              <w:rPr>
                <w:rFonts w:ascii="Trebuchet MS" w:hAnsi="Trebuchet MS"/>
              </w:rPr>
            </w:pPr>
            <w:r w:rsidRPr="005E4381">
              <w:rPr>
                <w:rFonts w:ascii="Trebuchet MS" w:hAnsi="Trebuchet MS"/>
              </w:rPr>
              <w:t>Review and endorsement of the draft work plan</w:t>
            </w:r>
            <w:r w:rsidR="00A80898" w:rsidRPr="005E4381">
              <w:rPr>
                <w:rFonts w:ascii="Trebuchet MS" w:hAnsi="Trebuchet MS"/>
              </w:rPr>
              <w:t xml:space="preserve"> 2016-17 for the group</w:t>
            </w:r>
            <w:r w:rsidRPr="005E4381">
              <w:rPr>
                <w:rFonts w:ascii="Trebuchet MS" w:hAnsi="Trebuchet MS"/>
              </w:rPr>
              <w:t>, and validation of the proposed lead entities for activities.</w:t>
            </w:r>
          </w:p>
          <w:p w14:paraId="4FB4712B" w14:textId="0CA4C2F6" w:rsidR="00CB7864" w:rsidRPr="005E4381" w:rsidRDefault="00CB7864" w:rsidP="00826BB4">
            <w:pPr>
              <w:numPr>
                <w:ilvl w:val="0"/>
                <w:numId w:val="20"/>
              </w:numPr>
              <w:spacing w:before="100" w:beforeAutospacing="1" w:after="0" w:line="240" w:lineRule="auto"/>
              <w:rPr>
                <w:rFonts w:ascii="Trebuchet MS" w:hAnsi="Trebuchet MS"/>
              </w:rPr>
            </w:pPr>
            <w:r w:rsidRPr="005E4381">
              <w:rPr>
                <w:rFonts w:ascii="Trebuchet MS" w:hAnsi="Trebuchet MS"/>
              </w:rPr>
              <w:t>Status update on individual work streams</w:t>
            </w:r>
          </w:p>
          <w:p w14:paraId="64811380" w14:textId="5794FC8B" w:rsidR="004D18F4" w:rsidRPr="005E4381" w:rsidRDefault="004D18F4" w:rsidP="00826BB4">
            <w:pPr>
              <w:numPr>
                <w:ilvl w:val="1"/>
                <w:numId w:val="9"/>
              </w:numPr>
              <w:spacing w:after="0" w:line="240" w:lineRule="auto"/>
              <w:rPr>
                <w:rFonts w:ascii="Trebuchet MS" w:hAnsi="Trebuchet MS"/>
              </w:rPr>
            </w:pPr>
            <w:r w:rsidRPr="005E4381">
              <w:rPr>
                <w:rFonts w:ascii="Trebuchet MS" w:hAnsi="Trebuchet MS"/>
              </w:rPr>
              <w:t>Risk Analys</w:t>
            </w:r>
            <w:r w:rsidR="005006A7" w:rsidRPr="005E4381">
              <w:rPr>
                <w:rFonts w:ascii="Trebuchet MS" w:hAnsi="Trebuchet MS"/>
              </w:rPr>
              <w:t>is, Early Warning, Early Action</w:t>
            </w:r>
            <w:r w:rsidRPr="005E4381">
              <w:rPr>
                <w:rFonts w:ascii="Trebuchet MS" w:hAnsi="Trebuchet MS"/>
              </w:rPr>
              <w:t xml:space="preserve">  </w:t>
            </w:r>
          </w:p>
          <w:p w14:paraId="1DB961DF" w14:textId="59550FD5" w:rsidR="004D18F4" w:rsidRPr="005E4381" w:rsidRDefault="0015799C" w:rsidP="004D18F4">
            <w:pPr>
              <w:numPr>
                <w:ilvl w:val="2"/>
                <w:numId w:val="9"/>
              </w:numPr>
              <w:spacing w:before="100" w:beforeAutospacing="1" w:after="100" w:afterAutospacing="1" w:line="240" w:lineRule="auto"/>
              <w:rPr>
                <w:rFonts w:ascii="Trebuchet MS" w:hAnsi="Trebuchet MS"/>
              </w:rPr>
            </w:pPr>
            <w:r>
              <w:rPr>
                <w:rFonts w:ascii="Trebuchet MS" w:hAnsi="Trebuchet MS"/>
              </w:rPr>
              <w:t xml:space="preserve">EWEAR Report, </w:t>
            </w:r>
            <w:r w:rsidR="004D18F4" w:rsidRPr="005E4381">
              <w:rPr>
                <w:rFonts w:ascii="Trebuchet MS" w:hAnsi="Trebuchet MS"/>
              </w:rPr>
              <w:t>InfoRM</w:t>
            </w:r>
            <w:r w:rsidR="008315BB" w:rsidRPr="005E4381">
              <w:rPr>
                <w:rFonts w:ascii="Trebuchet MS" w:hAnsi="Trebuchet MS"/>
              </w:rPr>
              <w:t>,</w:t>
            </w:r>
            <w:r w:rsidR="004D18F4" w:rsidRPr="005E4381">
              <w:rPr>
                <w:rFonts w:ascii="Trebuchet MS" w:hAnsi="Trebuchet MS"/>
              </w:rPr>
              <w:t xml:space="preserve"> and slow onset SOP </w:t>
            </w:r>
          </w:p>
          <w:p w14:paraId="6BEC6154" w14:textId="04F085CC" w:rsidR="004D18F4" w:rsidRPr="005E4381" w:rsidRDefault="004D18F4" w:rsidP="004D18F4">
            <w:pPr>
              <w:numPr>
                <w:ilvl w:val="1"/>
                <w:numId w:val="9"/>
              </w:numPr>
              <w:spacing w:before="100" w:beforeAutospacing="1" w:after="100" w:afterAutospacing="1" w:line="240" w:lineRule="auto"/>
              <w:rPr>
                <w:rFonts w:ascii="Trebuchet MS" w:hAnsi="Trebuchet MS"/>
              </w:rPr>
            </w:pPr>
            <w:r w:rsidRPr="005E4381">
              <w:rPr>
                <w:rFonts w:ascii="Trebuchet MS" w:hAnsi="Trebuchet MS"/>
              </w:rPr>
              <w:t>Preparedness Approaches, in particular the ERP</w:t>
            </w:r>
          </w:p>
          <w:p w14:paraId="665ED1FE" w14:textId="15B286A6" w:rsidR="004D18F4" w:rsidRPr="005E4381" w:rsidRDefault="004D18F4" w:rsidP="004D18F4">
            <w:pPr>
              <w:numPr>
                <w:ilvl w:val="1"/>
                <w:numId w:val="9"/>
              </w:numPr>
              <w:spacing w:before="100" w:beforeAutospacing="1" w:after="100" w:afterAutospacing="1" w:line="240" w:lineRule="auto"/>
              <w:rPr>
                <w:rFonts w:ascii="Trebuchet MS" w:hAnsi="Trebuchet MS"/>
              </w:rPr>
            </w:pPr>
            <w:r w:rsidRPr="005E4381">
              <w:rPr>
                <w:rFonts w:ascii="Trebuchet MS" w:hAnsi="Trebuchet MS"/>
              </w:rPr>
              <w:t>Simulation</w:t>
            </w:r>
          </w:p>
          <w:p w14:paraId="5DE8F202" w14:textId="35EF100B" w:rsidR="0015799C" w:rsidRDefault="004D18F4" w:rsidP="004D18F4">
            <w:pPr>
              <w:numPr>
                <w:ilvl w:val="1"/>
                <w:numId w:val="9"/>
              </w:numPr>
              <w:spacing w:before="100" w:beforeAutospacing="1" w:after="100" w:afterAutospacing="1" w:line="240" w:lineRule="auto"/>
              <w:rPr>
                <w:rFonts w:ascii="Trebuchet MS" w:hAnsi="Trebuchet MS"/>
              </w:rPr>
            </w:pPr>
            <w:r w:rsidRPr="005E4381">
              <w:rPr>
                <w:rFonts w:ascii="Trebuchet MS" w:hAnsi="Trebuchet MS"/>
              </w:rPr>
              <w:t>The Case for Preparedness</w:t>
            </w:r>
            <w:r w:rsidR="0015799C">
              <w:rPr>
                <w:rFonts w:ascii="Trebuchet MS" w:hAnsi="Trebuchet MS"/>
              </w:rPr>
              <w:t xml:space="preserve"> </w:t>
            </w:r>
          </w:p>
          <w:p w14:paraId="5EAAEE7D" w14:textId="2AAFD267" w:rsidR="004D18F4" w:rsidRPr="005E4381" w:rsidRDefault="0015799C" w:rsidP="0015799C">
            <w:pPr>
              <w:numPr>
                <w:ilvl w:val="2"/>
                <w:numId w:val="9"/>
              </w:numPr>
              <w:spacing w:before="100" w:beforeAutospacing="1" w:after="100" w:afterAutospacing="1" w:line="240" w:lineRule="auto"/>
              <w:rPr>
                <w:rFonts w:ascii="Trebuchet MS" w:hAnsi="Trebuchet MS"/>
              </w:rPr>
            </w:pPr>
            <w:r>
              <w:rPr>
                <w:rFonts w:ascii="Trebuchet MS" w:hAnsi="Trebuchet MS"/>
              </w:rPr>
              <w:t>Return on Investment (RoI) Study</w:t>
            </w:r>
          </w:p>
          <w:p w14:paraId="5E8C1CDB" w14:textId="14D358F7" w:rsidR="004D18F4" w:rsidRPr="005E4381" w:rsidRDefault="004D18F4" w:rsidP="004D18F4">
            <w:pPr>
              <w:numPr>
                <w:ilvl w:val="1"/>
                <w:numId w:val="9"/>
              </w:numPr>
              <w:spacing w:before="100" w:beforeAutospacing="1" w:after="100" w:afterAutospacing="1" w:line="240" w:lineRule="auto"/>
              <w:rPr>
                <w:rFonts w:ascii="Trebuchet MS" w:hAnsi="Trebuchet MS"/>
              </w:rPr>
            </w:pPr>
            <w:r w:rsidRPr="005E4381">
              <w:rPr>
                <w:rFonts w:ascii="Trebuchet MS" w:hAnsi="Trebuchet MS"/>
              </w:rPr>
              <w:t xml:space="preserve">Technology </w:t>
            </w:r>
          </w:p>
          <w:p w14:paraId="0B08C34A" w14:textId="153E8C63" w:rsidR="004D18F4" w:rsidRPr="005E4381" w:rsidRDefault="004D18F4" w:rsidP="004D18F4">
            <w:pPr>
              <w:numPr>
                <w:ilvl w:val="2"/>
                <w:numId w:val="9"/>
              </w:numPr>
              <w:spacing w:before="100" w:beforeAutospacing="1" w:after="100" w:afterAutospacing="1" w:line="240" w:lineRule="auto"/>
              <w:rPr>
                <w:rFonts w:ascii="Trebuchet MS" w:hAnsi="Trebuchet MS"/>
              </w:rPr>
            </w:pPr>
            <w:r w:rsidRPr="005E4381">
              <w:rPr>
                <w:rFonts w:ascii="Trebuchet MS" w:hAnsi="Trebuchet MS"/>
              </w:rPr>
              <w:t>ALERT</w:t>
            </w:r>
            <w:r w:rsidR="0015799C">
              <w:rPr>
                <w:rFonts w:ascii="Trebuchet MS" w:hAnsi="Trebuchet MS"/>
              </w:rPr>
              <w:t xml:space="preserve"> project</w:t>
            </w:r>
            <w:r w:rsidR="004648D9">
              <w:rPr>
                <w:rFonts w:ascii="Trebuchet MS" w:hAnsi="Trebuchet MS"/>
              </w:rPr>
              <w:t xml:space="preserve"> and proposed workshop</w:t>
            </w:r>
          </w:p>
          <w:p w14:paraId="0A6B22DD" w14:textId="77777777" w:rsidR="00213D47" w:rsidRPr="005E4381" w:rsidRDefault="004D18F4" w:rsidP="004D18F4">
            <w:pPr>
              <w:numPr>
                <w:ilvl w:val="1"/>
                <w:numId w:val="9"/>
              </w:numPr>
              <w:spacing w:before="100" w:beforeAutospacing="1" w:after="100" w:afterAutospacing="1" w:line="240" w:lineRule="auto"/>
              <w:rPr>
                <w:rFonts w:ascii="Trebuchet MS" w:hAnsi="Trebuchet MS"/>
              </w:rPr>
            </w:pPr>
            <w:r w:rsidRPr="005E4381">
              <w:rPr>
                <w:rFonts w:ascii="Trebuchet MS" w:hAnsi="Trebuchet MS"/>
              </w:rPr>
              <w:t>Operational Lessons</w:t>
            </w:r>
          </w:p>
          <w:p w14:paraId="723C6875" w14:textId="6A495DD0" w:rsidR="004D18F4" w:rsidRPr="005E4381" w:rsidRDefault="004D18F4" w:rsidP="004D18F4">
            <w:pPr>
              <w:numPr>
                <w:ilvl w:val="1"/>
                <w:numId w:val="9"/>
              </w:numPr>
              <w:spacing w:before="100" w:beforeAutospacing="1" w:after="100" w:afterAutospacing="1" w:line="240" w:lineRule="auto"/>
              <w:rPr>
                <w:rFonts w:ascii="Trebuchet MS" w:hAnsi="Trebuchet MS"/>
              </w:rPr>
            </w:pPr>
            <w:r w:rsidRPr="005E4381">
              <w:rPr>
                <w:rFonts w:ascii="Trebuchet MS" w:hAnsi="Trebuchet MS"/>
              </w:rPr>
              <w:t>AOB</w:t>
            </w:r>
          </w:p>
        </w:tc>
      </w:tr>
      <w:tr w:rsidR="00DF4B27" w:rsidRPr="005E4381" w14:paraId="4D2ABEC8" w14:textId="64A624E2" w:rsidTr="003034DB">
        <w:trPr>
          <w:tblHeader/>
        </w:trPr>
        <w:tc>
          <w:tcPr>
            <w:tcW w:w="10343" w:type="dxa"/>
            <w:gridSpan w:val="4"/>
            <w:shd w:val="clear" w:color="auto" w:fill="auto"/>
          </w:tcPr>
          <w:p w14:paraId="172244AA" w14:textId="4DF70FAA" w:rsidR="00DF4B27" w:rsidRPr="005E4381" w:rsidRDefault="005C3E36" w:rsidP="00387033">
            <w:pPr>
              <w:rPr>
                <w:rFonts w:ascii="Trebuchet MS" w:eastAsiaTheme="minorEastAsia" w:hAnsi="Trebuchet MS" w:cstheme="minorHAnsi"/>
                <w:color w:val="000000" w:themeColor="text1"/>
                <w:lang w:val="fr-CH" w:eastAsia="ja-JP"/>
              </w:rPr>
            </w:pPr>
            <w:r w:rsidRPr="005E4381">
              <w:rPr>
                <w:rFonts w:ascii="Trebuchet MS" w:eastAsiaTheme="minorEastAsia" w:hAnsi="Trebuchet MS" w:cstheme="minorHAnsi"/>
                <w:b/>
                <w:color w:val="000000" w:themeColor="text1"/>
                <w:lang w:eastAsia="ja-JP"/>
              </w:rPr>
              <w:t>Participating Agencies / Organizations</w:t>
            </w:r>
            <w:r w:rsidR="00DF4B27" w:rsidRPr="005E4381">
              <w:rPr>
                <w:rFonts w:ascii="Trebuchet MS" w:eastAsiaTheme="minorEastAsia" w:hAnsi="Trebuchet MS" w:cstheme="minorHAnsi"/>
                <w:b/>
                <w:color w:val="000000" w:themeColor="text1"/>
                <w:lang w:val="fr-CH" w:eastAsia="ja-JP"/>
              </w:rPr>
              <w:t>:</w:t>
            </w:r>
          </w:p>
          <w:p w14:paraId="3C817DF2" w14:textId="4A028678" w:rsidR="00DF4B27" w:rsidRPr="005E4381" w:rsidRDefault="003034DB" w:rsidP="00D9795B">
            <w:pPr>
              <w:pStyle w:val="NoSpacing"/>
              <w:rPr>
                <w:rFonts w:ascii="Trebuchet MS" w:hAnsi="Trebuchet MS"/>
              </w:rPr>
            </w:pPr>
            <w:r w:rsidRPr="005E4381">
              <w:rPr>
                <w:rFonts w:ascii="Trebuchet MS" w:hAnsi="Trebuchet MS"/>
              </w:rPr>
              <w:t>CARE International</w:t>
            </w:r>
            <w:r>
              <w:rPr>
                <w:rFonts w:ascii="Trebuchet MS" w:hAnsi="Trebuchet MS"/>
              </w:rPr>
              <w:t>,</w:t>
            </w:r>
            <w:r w:rsidRPr="005E4381">
              <w:rPr>
                <w:rFonts w:ascii="Trebuchet MS" w:hAnsi="Trebuchet MS"/>
              </w:rPr>
              <w:t xml:space="preserve"> Christian Aid</w:t>
            </w:r>
            <w:r>
              <w:rPr>
                <w:rFonts w:ascii="Trebuchet MS" w:hAnsi="Trebuchet MS"/>
              </w:rPr>
              <w:t>,</w:t>
            </w:r>
            <w:r w:rsidRPr="005E4381">
              <w:rPr>
                <w:rFonts w:ascii="Trebuchet MS" w:hAnsi="Trebuchet MS"/>
              </w:rPr>
              <w:t xml:space="preserve"> FAO</w:t>
            </w:r>
            <w:r>
              <w:rPr>
                <w:rFonts w:ascii="Trebuchet MS" w:hAnsi="Trebuchet MS"/>
              </w:rPr>
              <w:t>,</w:t>
            </w:r>
            <w:r w:rsidRPr="005E4381">
              <w:rPr>
                <w:rFonts w:ascii="Trebuchet MS" w:hAnsi="Trebuchet MS"/>
              </w:rPr>
              <w:t xml:space="preserve"> HelpAge</w:t>
            </w:r>
            <w:r w:rsidR="005C3E36" w:rsidRPr="005E4381">
              <w:rPr>
                <w:rFonts w:ascii="Trebuchet MS" w:hAnsi="Trebuchet MS"/>
              </w:rPr>
              <w:t xml:space="preserve">, </w:t>
            </w:r>
            <w:r w:rsidRPr="005E4381">
              <w:rPr>
                <w:rFonts w:ascii="Trebuchet MS" w:hAnsi="Trebuchet MS"/>
              </w:rPr>
              <w:t>UNDP</w:t>
            </w:r>
            <w:r>
              <w:rPr>
                <w:rFonts w:ascii="Trebuchet MS" w:hAnsi="Trebuchet MS"/>
              </w:rPr>
              <w:t>,</w:t>
            </w:r>
            <w:r w:rsidRPr="005E4381">
              <w:rPr>
                <w:rFonts w:ascii="Trebuchet MS" w:hAnsi="Trebuchet MS"/>
              </w:rPr>
              <w:t xml:space="preserve"> UNHCR</w:t>
            </w:r>
            <w:r w:rsidR="00255E7E">
              <w:rPr>
                <w:rFonts w:ascii="Trebuchet MS" w:hAnsi="Trebuchet MS"/>
              </w:rPr>
              <w:t>,</w:t>
            </w:r>
            <w:r w:rsidRPr="005E4381">
              <w:rPr>
                <w:rFonts w:ascii="Trebuchet MS" w:hAnsi="Trebuchet MS"/>
              </w:rPr>
              <w:t xml:space="preserve"> </w:t>
            </w:r>
            <w:r w:rsidR="00DF4B27" w:rsidRPr="005E4381">
              <w:rPr>
                <w:rFonts w:ascii="Trebuchet MS" w:hAnsi="Trebuchet MS"/>
              </w:rPr>
              <w:t>UNOCHA</w:t>
            </w:r>
            <w:r w:rsidR="005C3E36" w:rsidRPr="005E4381">
              <w:rPr>
                <w:rFonts w:ascii="Trebuchet MS" w:hAnsi="Trebuchet MS"/>
              </w:rPr>
              <w:t xml:space="preserve">, </w:t>
            </w:r>
            <w:r w:rsidR="00DF4B27" w:rsidRPr="005E4381">
              <w:rPr>
                <w:rFonts w:ascii="Trebuchet MS" w:hAnsi="Trebuchet MS"/>
              </w:rPr>
              <w:t>UNICEF</w:t>
            </w:r>
            <w:r w:rsidR="005C3E36" w:rsidRPr="005E4381">
              <w:rPr>
                <w:rFonts w:ascii="Trebuchet MS" w:hAnsi="Trebuchet MS"/>
              </w:rPr>
              <w:t xml:space="preserve">, </w:t>
            </w:r>
            <w:r w:rsidR="00DF4B27" w:rsidRPr="005E4381">
              <w:rPr>
                <w:rFonts w:ascii="Trebuchet MS" w:hAnsi="Trebuchet MS"/>
              </w:rPr>
              <w:t>UNISDR</w:t>
            </w:r>
            <w:r w:rsidR="005C3E36" w:rsidRPr="005E4381">
              <w:rPr>
                <w:rFonts w:ascii="Trebuchet MS" w:hAnsi="Trebuchet MS"/>
              </w:rPr>
              <w:t xml:space="preserve">, </w:t>
            </w:r>
            <w:r w:rsidRPr="005E4381">
              <w:rPr>
                <w:rFonts w:ascii="Trebuchet MS" w:hAnsi="Trebuchet MS"/>
              </w:rPr>
              <w:t>UNITAR</w:t>
            </w:r>
            <w:r w:rsidR="005C3E36" w:rsidRPr="005E4381">
              <w:rPr>
                <w:rFonts w:ascii="Trebuchet MS" w:hAnsi="Trebuchet MS"/>
              </w:rPr>
              <w:t xml:space="preserve">, </w:t>
            </w:r>
            <w:r w:rsidR="00DF4B27" w:rsidRPr="005E4381">
              <w:rPr>
                <w:rFonts w:ascii="Trebuchet MS" w:hAnsi="Trebuchet MS"/>
              </w:rPr>
              <w:t>UNWomen</w:t>
            </w:r>
            <w:r w:rsidR="005C3E36" w:rsidRPr="005E4381">
              <w:rPr>
                <w:rFonts w:ascii="Trebuchet MS" w:hAnsi="Trebuchet MS"/>
              </w:rPr>
              <w:t xml:space="preserve">, </w:t>
            </w:r>
            <w:r w:rsidRPr="005E4381">
              <w:rPr>
                <w:rFonts w:ascii="Trebuchet MS" w:hAnsi="Trebuchet MS"/>
              </w:rPr>
              <w:t>WFP</w:t>
            </w:r>
            <w:r>
              <w:rPr>
                <w:rFonts w:ascii="Trebuchet MS" w:hAnsi="Trebuchet MS"/>
              </w:rPr>
              <w:t>,</w:t>
            </w:r>
            <w:r w:rsidRPr="005E4381">
              <w:rPr>
                <w:rFonts w:ascii="Trebuchet MS" w:hAnsi="Trebuchet MS"/>
              </w:rPr>
              <w:t xml:space="preserve"> WHO</w:t>
            </w:r>
          </w:p>
          <w:p w14:paraId="54E1CC8A" w14:textId="2BE89C22" w:rsidR="00DF4B27" w:rsidRPr="005E4381" w:rsidRDefault="003034DB" w:rsidP="003034DB">
            <w:pPr>
              <w:pStyle w:val="NoSpacing"/>
              <w:rPr>
                <w:rFonts w:ascii="Trebuchet MS" w:eastAsiaTheme="minorEastAsia" w:hAnsi="Trebuchet MS" w:cstheme="minorHAnsi"/>
                <w:color w:val="000000" w:themeColor="text1"/>
                <w:lang w:val="es-ES" w:eastAsia="ja-JP"/>
              </w:rPr>
            </w:pPr>
            <w:r w:rsidRPr="005E4381">
              <w:rPr>
                <w:rFonts w:ascii="Trebuchet MS" w:hAnsi="Trebuchet MS"/>
              </w:rPr>
              <w:t xml:space="preserve"> </w:t>
            </w:r>
          </w:p>
        </w:tc>
      </w:tr>
      <w:tr w:rsidR="001A52AF" w:rsidRPr="005E4381" w14:paraId="31BF724E" w14:textId="77777777" w:rsidTr="003034DB">
        <w:trPr>
          <w:tblHeader/>
        </w:trPr>
        <w:tc>
          <w:tcPr>
            <w:tcW w:w="10343" w:type="dxa"/>
            <w:gridSpan w:val="4"/>
            <w:shd w:val="clear" w:color="auto" w:fill="auto"/>
          </w:tcPr>
          <w:p w14:paraId="7B004919" w14:textId="623E4EF6" w:rsidR="001A52AF" w:rsidRPr="005E4381" w:rsidRDefault="001A52AF" w:rsidP="00387033">
            <w:pPr>
              <w:pStyle w:val="NoSpacing"/>
              <w:rPr>
                <w:rFonts w:ascii="Trebuchet MS" w:hAnsi="Trebuchet MS"/>
                <w:b/>
                <w:bCs/>
              </w:rPr>
            </w:pPr>
            <w:r w:rsidRPr="005E4381">
              <w:rPr>
                <w:rFonts w:ascii="Trebuchet MS" w:hAnsi="Trebuchet MS"/>
                <w:b/>
                <w:bCs/>
              </w:rPr>
              <w:t>Supporting Documentation</w:t>
            </w:r>
            <w:r w:rsidR="00276406" w:rsidRPr="005E4381">
              <w:rPr>
                <w:rFonts w:ascii="Trebuchet MS" w:hAnsi="Trebuchet MS"/>
                <w:b/>
                <w:bCs/>
              </w:rPr>
              <w:t xml:space="preserve"> (online)</w:t>
            </w:r>
          </w:p>
          <w:p w14:paraId="147D66ED" w14:textId="77777777" w:rsidR="00CF664B" w:rsidRPr="005E4381" w:rsidRDefault="00CF664B" w:rsidP="00387033">
            <w:pPr>
              <w:pStyle w:val="NoSpacing"/>
              <w:rPr>
                <w:rFonts w:ascii="Trebuchet MS" w:hAnsi="Trebuchet MS"/>
                <w:b/>
                <w:bCs/>
                <w:u w:val="single"/>
              </w:rPr>
            </w:pPr>
          </w:p>
          <w:p w14:paraId="476183DF" w14:textId="4B91FF4B" w:rsidR="00255E7E" w:rsidRPr="005E4381" w:rsidRDefault="007F2873" w:rsidP="00255E7E">
            <w:pPr>
              <w:pStyle w:val="NoSpacing"/>
              <w:numPr>
                <w:ilvl w:val="0"/>
                <w:numId w:val="15"/>
              </w:numPr>
              <w:rPr>
                <w:rFonts w:ascii="Trebuchet MS" w:hAnsi="Trebuchet MS"/>
              </w:rPr>
            </w:pPr>
            <w:hyperlink r:id="rId11" w:history="1">
              <w:r w:rsidR="00255E7E" w:rsidRPr="005E4381">
                <w:rPr>
                  <w:rStyle w:val="Hyperlink"/>
                  <w:rFonts w:ascii="Trebuchet MS" w:hAnsi="Trebuchet MS"/>
                </w:rPr>
                <w:t>Draft: Reference Group on Risk, Early Warning and Preparedness Work Plan</w:t>
              </w:r>
            </w:hyperlink>
            <w:r w:rsidR="00255E7E">
              <w:rPr>
                <w:rStyle w:val="Hyperlink"/>
                <w:rFonts w:ascii="Trebuchet MS" w:hAnsi="Trebuchet MS"/>
              </w:rPr>
              <w:t xml:space="preserve"> 2016-17</w:t>
            </w:r>
          </w:p>
          <w:p w14:paraId="425EF757" w14:textId="7D282B93" w:rsidR="001A52AF" w:rsidRPr="005E4381" w:rsidRDefault="007F2873" w:rsidP="005E4381">
            <w:pPr>
              <w:pStyle w:val="NoSpacing"/>
              <w:numPr>
                <w:ilvl w:val="0"/>
                <w:numId w:val="15"/>
              </w:numPr>
              <w:rPr>
                <w:rFonts w:ascii="Trebuchet MS" w:hAnsi="Trebuchet MS"/>
              </w:rPr>
            </w:pPr>
            <w:hyperlink r:id="rId12" w:history="1">
              <w:r w:rsidR="001A52AF" w:rsidRPr="005E4381">
                <w:rPr>
                  <w:rStyle w:val="Hyperlink"/>
                  <w:rFonts w:ascii="Trebuchet MS" w:hAnsi="Trebuchet MS"/>
                </w:rPr>
                <w:t>Global Preparedness Partnership - Update - October 2016</w:t>
              </w:r>
            </w:hyperlink>
          </w:p>
          <w:p w14:paraId="79392346" w14:textId="26BFA9E2" w:rsidR="001A52AF" w:rsidRPr="00255E7E" w:rsidRDefault="007F2873" w:rsidP="005E4381">
            <w:pPr>
              <w:pStyle w:val="NoSpacing"/>
              <w:numPr>
                <w:ilvl w:val="0"/>
                <w:numId w:val="15"/>
              </w:numPr>
              <w:rPr>
                <w:rStyle w:val="Hyperlink"/>
                <w:rFonts w:ascii="Trebuchet MS" w:hAnsi="Trebuchet MS"/>
                <w:color w:val="auto"/>
              </w:rPr>
            </w:pPr>
            <w:hyperlink r:id="rId13" w:history="1">
              <w:r w:rsidR="001A52AF" w:rsidRPr="005E4381">
                <w:rPr>
                  <w:rStyle w:val="Hyperlink"/>
                  <w:rFonts w:ascii="Trebuchet MS" w:hAnsi="Trebuchet MS"/>
                </w:rPr>
                <w:t xml:space="preserve">Index for Risk Management </w:t>
              </w:r>
              <w:r w:rsidR="00255E7E">
                <w:rPr>
                  <w:rStyle w:val="Hyperlink"/>
                  <w:rFonts w:ascii="Trebuchet MS" w:hAnsi="Trebuchet MS"/>
                </w:rPr>
                <w:t xml:space="preserve">- INFORM - </w:t>
              </w:r>
              <w:r w:rsidR="001A52AF" w:rsidRPr="005E4381">
                <w:rPr>
                  <w:rStyle w:val="Hyperlink"/>
                  <w:rFonts w:ascii="Trebuchet MS" w:hAnsi="Trebuchet MS"/>
                </w:rPr>
                <w:t>Briefing Note</w:t>
              </w:r>
            </w:hyperlink>
          </w:p>
          <w:p w14:paraId="74B914D8" w14:textId="4E0654E1" w:rsidR="00255E7E" w:rsidRPr="005E4381" w:rsidRDefault="007F2873" w:rsidP="005E4381">
            <w:pPr>
              <w:pStyle w:val="NoSpacing"/>
              <w:numPr>
                <w:ilvl w:val="0"/>
                <w:numId w:val="15"/>
              </w:numPr>
              <w:rPr>
                <w:rStyle w:val="Hyperlink"/>
                <w:rFonts w:ascii="Trebuchet MS" w:hAnsi="Trebuchet MS"/>
                <w:color w:val="auto"/>
              </w:rPr>
            </w:pPr>
            <w:hyperlink r:id="rId14" w:history="1">
              <w:r w:rsidR="00255E7E" w:rsidRPr="00255E7E">
                <w:rPr>
                  <w:rStyle w:val="Hyperlink"/>
                  <w:rFonts w:ascii="Trebuchet MS" w:hAnsi="Trebuchet MS"/>
                </w:rPr>
                <w:t>ALERT Project - Flyer</w:t>
              </w:r>
            </w:hyperlink>
          </w:p>
          <w:p w14:paraId="640E955C" w14:textId="77777777" w:rsidR="00DA07B2" w:rsidRPr="005E4381" w:rsidRDefault="00DA07B2" w:rsidP="00DA07B2">
            <w:pPr>
              <w:pStyle w:val="NoSpacing"/>
              <w:ind w:left="720"/>
              <w:rPr>
                <w:rFonts w:ascii="Trebuchet MS" w:hAnsi="Trebuchet MS"/>
                <w:u w:val="single"/>
              </w:rPr>
            </w:pPr>
          </w:p>
          <w:p w14:paraId="692F9A46" w14:textId="0D9749C5" w:rsidR="00C122EB" w:rsidRPr="005E4381" w:rsidRDefault="00DA07B2" w:rsidP="00C122EB">
            <w:pPr>
              <w:pStyle w:val="NoSpacing"/>
              <w:rPr>
                <w:rFonts w:ascii="Trebuchet MS" w:hAnsi="Trebuchet MS"/>
              </w:rPr>
            </w:pPr>
            <w:r w:rsidRPr="005E4381">
              <w:rPr>
                <w:rFonts w:ascii="Trebuchet MS" w:hAnsi="Trebuchet MS"/>
              </w:rPr>
              <w:t xml:space="preserve">See also links to presentations </w:t>
            </w:r>
            <w:r w:rsidR="00255E7E">
              <w:rPr>
                <w:rFonts w:ascii="Trebuchet MS" w:hAnsi="Trebuchet MS"/>
              </w:rPr>
              <w:t xml:space="preserve">and background papers </w:t>
            </w:r>
            <w:r w:rsidRPr="005E4381">
              <w:rPr>
                <w:rFonts w:ascii="Trebuchet MS" w:hAnsi="Trebuchet MS"/>
              </w:rPr>
              <w:t>in this document</w:t>
            </w:r>
          </w:p>
          <w:p w14:paraId="4B0C4BA9" w14:textId="409F6936" w:rsidR="00DA07B2" w:rsidRPr="005E4381" w:rsidRDefault="00DA07B2" w:rsidP="00C122EB">
            <w:pPr>
              <w:pStyle w:val="NoSpacing"/>
              <w:rPr>
                <w:rFonts w:ascii="Trebuchet MS" w:hAnsi="Trebuchet MS"/>
                <w:b/>
                <w:u w:val="single"/>
              </w:rPr>
            </w:pPr>
          </w:p>
        </w:tc>
      </w:tr>
      <w:tr w:rsidR="00B00C20" w:rsidRPr="005E4381" w14:paraId="6B177529" w14:textId="77777777" w:rsidTr="003034DB">
        <w:trPr>
          <w:trHeight w:val="2684"/>
          <w:tblHeader/>
        </w:trPr>
        <w:tc>
          <w:tcPr>
            <w:tcW w:w="10343" w:type="dxa"/>
            <w:gridSpan w:val="4"/>
            <w:shd w:val="clear" w:color="auto" w:fill="auto"/>
          </w:tcPr>
          <w:p w14:paraId="32FA87FB" w14:textId="5F003697" w:rsidR="00B00C20" w:rsidRPr="005E4381" w:rsidRDefault="00120FCD" w:rsidP="00B21805">
            <w:pPr>
              <w:rPr>
                <w:rFonts w:ascii="Trebuchet MS" w:eastAsiaTheme="minorEastAsia" w:hAnsi="Trebuchet MS" w:cstheme="minorHAnsi"/>
                <w:b/>
                <w:color w:val="000000" w:themeColor="text1"/>
                <w:lang w:eastAsia="ja-JP"/>
              </w:rPr>
            </w:pPr>
            <w:r w:rsidRPr="005E4381">
              <w:rPr>
                <w:rFonts w:ascii="Trebuchet MS" w:eastAsiaTheme="minorEastAsia" w:hAnsi="Trebuchet MS" w:cstheme="minorHAnsi"/>
                <w:b/>
                <w:color w:val="000000" w:themeColor="text1"/>
                <w:lang w:eastAsia="ja-JP"/>
              </w:rPr>
              <w:t>Decisions</w:t>
            </w:r>
          </w:p>
          <w:p w14:paraId="12B37255" w14:textId="769EF1B7" w:rsidR="00770980" w:rsidRDefault="00770980" w:rsidP="005E4381">
            <w:pPr>
              <w:pStyle w:val="ListParagraph"/>
              <w:numPr>
                <w:ilvl w:val="0"/>
                <w:numId w:val="16"/>
              </w:numPr>
              <w:rPr>
                <w:rFonts w:ascii="Trebuchet MS" w:eastAsiaTheme="minorEastAsia" w:hAnsi="Trebuchet MS" w:cstheme="minorHAnsi"/>
                <w:color w:val="000000" w:themeColor="text1"/>
                <w:lang w:eastAsia="ja-JP"/>
              </w:rPr>
            </w:pPr>
            <w:r>
              <w:rPr>
                <w:rFonts w:ascii="Trebuchet MS" w:eastAsiaTheme="minorEastAsia" w:hAnsi="Trebuchet MS" w:cstheme="minorHAnsi"/>
                <w:color w:val="000000" w:themeColor="text1"/>
                <w:lang w:eastAsia="ja-JP"/>
              </w:rPr>
              <w:t>The Reference Group endorsed the draft Work Plan 2016-2017, provided</w:t>
            </w:r>
            <w:r w:rsidR="00E77458">
              <w:rPr>
                <w:rFonts w:ascii="Trebuchet MS" w:eastAsiaTheme="minorEastAsia" w:hAnsi="Trebuchet MS" w:cstheme="minorHAnsi"/>
                <w:color w:val="000000" w:themeColor="text1"/>
                <w:lang w:eastAsia="ja-JP"/>
              </w:rPr>
              <w:t xml:space="preserve"> the incorporation of inputs and comments submitted by agencies</w:t>
            </w:r>
            <w:r w:rsidR="00697B41">
              <w:rPr>
                <w:rFonts w:ascii="Trebuchet MS" w:eastAsiaTheme="minorEastAsia" w:hAnsi="Trebuchet MS" w:cstheme="minorHAnsi"/>
                <w:color w:val="000000" w:themeColor="text1"/>
                <w:lang w:eastAsia="ja-JP"/>
              </w:rPr>
              <w:t xml:space="preserve"> (see details under discussion points below)</w:t>
            </w:r>
            <w:r w:rsidR="00E77458">
              <w:rPr>
                <w:rFonts w:ascii="Trebuchet MS" w:eastAsiaTheme="minorEastAsia" w:hAnsi="Trebuchet MS" w:cstheme="minorHAnsi"/>
                <w:color w:val="000000" w:themeColor="text1"/>
                <w:lang w:eastAsia="ja-JP"/>
              </w:rPr>
              <w:t>.</w:t>
            </w:r>
          </w:p>
          <w:p w14:paraId="1A523677" w14:textId="5A6B6C73" w:rsidR="00E77458" w:rsidRDefault="00E77458" w:rsidP="005E4381">
            <w:pPr>
              <w:pStyle w:val="ListParagraph"/>
              <w:numPr>
                <w:ilvl w:val="0"/>
                <w:numId w:val="16"/>
              </w:numPr>
              <w:rPr>
                <w:rFonts w:ascii="Trebuchet MS" w:eastAsiaTheme="minorEastAsia" w:hAnsi="Trebuchet MS" w:cstheme="minorHAnsi"/>
                <w:color w:val="000000" w:themeColor="text1"/>
                <w:lang w:eastAsia="ja-JP"/>
              </w:rPr>
            </w:pPr>
            <w:r>
              <w:rPr>
                <w:rFonts w:ascii="Trebuchet MS" w:eastAsiaTheme="minorEastAsia" w:hAnsi="Trebuchet MS" w:cstheme="minorHAnsi"/>
                <w:color w:val="000000" w:themeColor="text1"/>
                <w:lang w:eastAsia="ja-JP"/>
              </w:rPr>
              <w:t>Co-Chairs</w:t>
            </w:r>
            <w:r w:rsidR="00697B41">
              <w:rPr>
                <w:rFonts w:ascii="Trebuchet MS" w:eastAsiaTheme="minorEastAsia" w:hAnsi="Trebuchet MS" w:cstheme="minorHAnsi"/>
                <w:color w:val="000000" w:themeColor="text1"/>
                <w:lang w:eastAsia="ja-JP"/>
              </w:rPr>
              <w:t xml:space="preserve"> will share the Work Plan on line for finalization </w:t>
            </w:r>
            <w:r w:rsidR="00A55919">
              <w:rPr>
                <w:rFonts w:ascii="Trebuchet MS" w:eastAsiaTheme="minorEastAsia" w:hAnsi="Trebuchet MS" w:cstheme="minorHAnsi"/>
                <w:color w:val="000000" w:themeColor="text1"/>
                <w:lang w:eastAsia="ja-JP"/>
              </w:rPr>
              <w:t xml:space="preserve">to the group </w:t>
            </w:r>
            <w:r w:rsidR="00697B41">
              <w:rPr>
                <w:rFonts w:ascii="Trebuchet MS" w:eastAsiaTheme="minorEastAsia" w:hAnsi="Trebuchet MS" w:cstheme="minorHAnsi"/>
                <w:color w:val="000000" w:themeColor="text1"/>
                <w:lang w:eastAsia="ja-JP"/>
              </w:rPr>
              <w:t xml:space="preserve">by end </w:t>
            </w:r>
            <w:r w:rsidR="00A55919">
              <w:rPr>
                <w:rFonts w:ascii="Trebuchet MS" w:eastAsiaTheme="minorEastAsia" w:hAnsi="Trebuchet MS" w:cstheme="minorHAnsi"/>
                <w:color w:val="000000" w:themeColor="text1"/>
                <w:lang w:eastAsia="ja-JP"/>
              </w:rPr>
              <w:t xml:space="preserve">of October, so that partners could amend the version directly. </w:t>
            </w:r>
          </w:p>
          <w:p w14:paraId="29E886C9" w14:textId="2CF42ABF" w:rsidR="00933375" w:rsidRPr="00826BB4" w:rsidRDefault="00933375" w:rsidP="00697B41">
            <w:pPr>
              <w:pStyle w:val="ListParagraph"/>
              <w:rPr>
                <w:rFonts w:ascii="Trebuchet MS" w:hAnsi="Trebuchet MS"/>
              </w:rPr>
            </w:pPr>
          </w:p>
        </w:tc>
      </w:tr>
      <w:tr w:rsidR="00566849" w:rsidRPr="005E4381" w14:paraId="39FDE8F0" w14:textId="77777777" w:rsidTr="003034DB">
        <w:trPr>
          <w:trHeight w:val="2825"/>
          <w:tblHeader/>
        </w:trPr>
        <w:tc>
          <w:tcPr>
            <w:tcW w:w="10343" w:type="dxa"/>
            <w:gridSpan w:val="4"/>
            <w:shd w:val="clear" w:color="auto" w:fill="auto"/>
          </w:tcPr>
          <w:p w14:paraId="07ECAD64" w14:textId="420178A9" w:rsidR="00566849" w:rsidRPr="005E4381" w:rsidRDefault="00566849" w:rsidP="00B21805">
            <w:pPr>
              <w:rPr>
                <w:rFonts w:ascii="Trebuchet MS" w:eastAsiaTheme="minorEastAsia" w:hAnsi="Trebuchet MS" w:cstheme="minorHAnsi"/>
                <w:b/>
                <w:color w:val="000000" w:themeColor="text1"/>
                <w:u w:val="single"/>
                <w:lang w:eastAsia="ja-JP"/>
              </w:rPr>
            </w:pPr>
            <w:r w:rsidRPr="005E4381">
              <w:rPr>
                <w:rFonts w:ascii="Trebuchet MS" w:eastAsiaTheme="minorEastAsia" w:hAnsi="Trebuchet MS" w:cstheme="minorHAnsi"/>
                <w:b/>
                <w:color w:val="000000" w:themeColor="text1"/>
                <w:u w:val="single"/>
                <w:lang w:eastAsia="ja-JP"/>
              </w:rPr>
              <w:lastRenderedPageBreak/>
              <w:t>Key discussion points:</w:t>
            </w:r>
          </w:p>
          <w:p w14:paraId="6B30637A" w14:textId="73C0FE25" w:rsidR="009D6764" w:rsidRPr="005E4381" w:rsidRDefault="00CF664B" w:rsidP="00DA07B2">
            <w:pPr>
              <w:rPr>
                <w:rFonts w:ascii="Trebuchet MS" w:eastAsiaTheme="minorEastAsia" w:hAnsi="Trebuchet MS" w:cstheme="minorHAnsi"/>
                <w:b/>
                <w:color w:val="000000" w:themeColor="text1"/>
                <w:lang w:eastAsia="ja-JP"/>
              </w:rPr>
            </w:pPr>
            <w:r w:rsidRPr="005E4381">
              <w:rPr>
                <w:rFonts w:ascii="Trebuchet MS" w:hAnsi="Trebuchet MS"/>
                <w:b/>
              </w:rPr>
              <w:t>Review and endorsement of the draft Work Plan</w:t>
            </w:r>
          </w:p>
          <w:p w14:paraId="5BAFC8A8" w14:textId="77DC45FD" w:rsidR="00B248E5" w:rsidRPr="008517B8" w:rsidRDefault="00D6185D" w:rsidP="00DA07B2">
            <w:pPr>
              <w:pStyle w:val="ListParagraph"/>
              <w:ind w:left="0"/>
              <w:rPr>
                <w:rFonts w:ascii="Trebuchet MS" w:eastAsiaTheme="minorEastAsia" w:hAnsi="Trebuchet MS" w:cstheme="minorHAnsi"/>
                <w:b/>
                <w:color w:val="000000" w:themeColor="text1"/>
                <w:sz w:val="20"/>
                <w:u w:val="single"/>
                <w:lang w:eastAsia="ja-JP"/>
              </w:rPr>
            </w:pPr>
            <w:r>
              <w:rPr>
                <w:rFonts w:ascii="Trebuchet MS" w:eastAsiaTheme="minorEastAsia" w:hAnsi="Trebuchet MS" w:cstheme="minorHAnsi"/>
                <w:color w:val="000000" w:themeColor="text1"/>
                <w:sz w:val="20"/>
                <w:lang w:eastAsia="ja-JP"/>
              </w:rPr>
              <w:t>The draft work plan is endorsed by the group, pending several modifications suggested by email and during the meeting, in particular:</w:t>
            </w:r>
          </w:p>
          <w:p w14:paraId="42F4C8E2" w14:textId="064B1373" w:rsidR="00A577CA" w:rsidRPr="008517B8" w:rsidRDefault="00D6185D" w:rsidP="005E4381">
            <w:pPr>
              <w:pStyle w:val="ListParagraph"/>
              <w:numPr>
                <w:ilvl w:val="0"/>
                <w:numId w:val="17"/>
              </w:numPr>
              <w:rPr>
                <w:rFonts w:ascii="Trebuchet MS" w:eastAsiaTheme="minorEastAsia" w:hAnsi="Trebuchet MS" w:cstheme="minorHAnsi"/>
                <w:b/>
                <w:color w:val="000000" w:themeColor="text1"/>
                <w:sz w:val="20"/>
                <w:u w:val="single"/>
                <w:lang w:eastAsia="ja-JP"/>
              </w:rPr>
            </w:pPr>
            <w:r>
              <w:rPr>
                <w:rFonts w:ascii="Trebuchet MS" w:eastAsiaTheme="minorEastAsia" w:hAnsi="Trebuchet MS" w:cstheme="minorHAnsi"/>
                <w:color w:val="000000" w:themeColor="text1"/>
                <w:sz w:val="20"/>
                <w:lang w:eastAsia="ja-JP"/>
              </w:rPr>
              <w:t>Reflect and</w:t>
            </w:r>
            <w:r w:rsidR="00EB63B3" w:rsidRPr="008517B8">
              <w:rPr>
                <w:rFonts w:ascii="Trebuchet MS" w:eastAsiaTheme="minorEastAsia" w:hAnsi="Trebuchet MS" w:cstheme="minorHAnsi"/>
                <w:color w:val="000000" w:themeColor="text1"/>
                <w:sz w:val="20"/>
                <w:lang w:eastAsia="ja-JP"/>
              </w:rPr>
              <w:t xml:space="preserve"> </w:t>
            </w:r>
            <w:r w:rsidRPr="008517B8">
              <w:rPr>
                <w:rFonts w:ascii="Trebuchet MS" w:eastAsiaTheme="minorEastAsia" w:hAnsi="Trebuchet MS" w:cstheme="minorHAnsi"/>
                <w:color w:val="000000" w:themeColor="text1"/>
                <w:sz w:val="20"/>
                <w:lang w:eastAsia="ja-JP"/>
              </w:rPr>
              <w:t xml:space="preserve">further </w:t>
            </w:r>
            <w:r w:rsidR="00EB63B3" w:rsidRPr="008517B8">
              <w:rPr>
                <w:rFonts w:ascii="Trebuchet MS" w:eastAsiaTheme="minorEastAsia" w:hAnsi="Trebuchet MS" w:cstheme="minorHAnsi"/>
                <w:color w:val="000000" w:themeColor="text1"/>
                <w:sz w:val="20"/>
                <w:lang w:eastAsia="ja-JP"/>
              </w:rPr>
              <w:t>integrate the work streams</w:t>
            </w:r>
            <w:r w:rsidR="00933375">
              <w:rPr>
                <w:rFonts w:ascii="Trebuchet MS" w:eastAsiaTheme="minorEastAsia" w:hAnsi="Trebuchet MS" w:cstheme="minorHAnsi"/>
                <w:color w:val="000000" w:themeColor="text1"/>
                <w:sz w:val="20"/>
                <w:lang w:eastAsia="ja-JP"/>
              </w:rPr>
              <w:t>, and related sub-group activities</w:t>
            </w:r>
            <w:r w:rsidR="00EB63B3" w:rsidRPr="008517B8">
              <w:rPr>
                <w:rFonts w:ascii="Trebuchet MS" w:eastAsiaTheme="minorEastAsia" w:hAnsi="Trebuchet MS" w:cstheme="minorHAnsi"/>
                <w:color w:val="000000" w:themeColor="text1"/>
                <w:sz w:val="20"/>
                <w:lang w:eastAsia="ja-JP"/>
              </w:rPr>
              <w:t xml:space="preserve"> into the work plan</w:t>
            </w:r>
            <w:r w:rsidR="00933375">
              <w:rPr>
                <w:rFonts w:ascii="Trebuchet MS" w:eastAsiaTheme="minorEastAsia" w:hAnsi="Trebuchet MS" w:cstheme="minorHAnsi"/>
                <w:color w:val="000000" w:themeColor="text1"/>
                <w:sz w:val="20"/>
                <w:lang w:eastAsia="ja-JP"/>
              </w:rPr>
              <w:t>.</w:t>
            </w:r>
          </w:p>
          <w:p w14:paraId="59566952" w14:textId="77777777" w:rsidR="00B137BA" w:rsidRPr="00B137BA" w:rsidRDefault="00D6185D" w:rsidP="005E4381">
            <w:pPr>
              <w:pStyle w:val="ListParagraph"/>
              <w:numPr>
                <w:ilvl w:val="0"/>
                <w:numId w:val="17"/>
              </w:numPr>
              <w:rPr>
                <w:rFonts w:ascii="Trebuchet MS" w:eastAsiaTheme="minorEastAsia" w:hAnsi="Trebuchet MS" w:cstheme="minorHAnsi"/>
                <w:b/>
                <w:color w:val="000000" w:themeColor="text1"/>
                <w:sz w:val="20"/>
                <w:u w:val="single"/>
                <w:lang w:eastAsia="ja-JP"/>
              </w:rPr>
            </w:pPr>
            <w:r>
              <w:rPr>
                <w:rFonts w:ascii="Trebuchet MS" w:eastAsiaTheme="minorEastAsia" w:hAnsi="Trebuchet MS" w:cstheme="minorHAnsi"/>
                <w:color w:val="000000" w:themeColor="text1"/>
                <w:sz w:val="20"/>
                <w:lang w:eastAsia="ja-JP"/>
              </w:rPr>
              <w:t>Add</w:t>
            </w:r>
            <w:r w:rsidR="00EB63B3" w:rsidRPr="008517B8">
              <w:rPr>
                <w:rFonts w:ascii="Trebuchet MS" w:eastAsiaTheme="minorEastAsia" w:hAnsi="Trebuchet MS" w:cstheme="minorHAnsi"/>
                <w:color w:val="000000" w:themeColor="text1"/>
                <w:sz w:val="20"/>
                <w:lang w:eastAsia="ja-JP"/>
              </w:rPr>
              <w:t xml:space="preserve"> more tangible and measurable targets</w:t>
            </w:r>
            <w:r w:rsidR="00B137BA">
              <w:rPr>
                <w:rFonts w:ascii="Trebuchet MS" w:eastAsiaTheme="minorEastAsia" w:hAnsi="Trebuchet MS" w:cstheme="minorHAnsi"/>
                <w:color w:val="000000" w:themeColor="text1"/>
                <w:sz w:val="20"/>
                <w:lang w:eastAsia="ja-JP"/>
              </w:rPr>
              <w:t xml:space="preserve"> for activities</w:t>
            </w:r>
          </w:p>
          <w:p w14:paraId="5F9FC687" w14:textId="27E9FFDA" w:rsidR="00B248E5" w:rsidRPr="008517B8" w:rsidRDefault="00B137BA" w:rsidP="005E4381">
            <w:pPr>
              <w:pStyle w:val="ListParagraph"/>
              <w:numPr>
                <w:ilvl w:val="0"/>
                <w:numId w:val="17"/>
              </w:numPr>
              <w:rPr>
                <w:rFonts w:ascii="Trebuchet MS" w:eastAsiaTheme="minorEastAsia" w:hAnsi="Trebuchet MS" w:cstheme="minorHAnsi"/>
                <w:b/>
                <w:color w:val="000000" w:themeColor="text1"/>
                <w:sz w:val="20"/>
                <w:u w:val="single"/>
                <w:lang w:eastAsia="ja-JP"/>
              </w:rPr>
            </w:pPr>
            <w:r>
              <w:rPr>
                <w:rFonts w:ascii="Trebuchet MS" w:eastAsiaTheme="minorEastAsia" w:hAnsi="Trebuchet MS" w:cstheme="minorHAnsi"/>
                <w:color w:val="000000" w:themeColor="text1"/>
                <w:sz w:val="20"/>
                <w:lang w:eastAsia="ja-JP"/>
              </w:rPr>
              <w:t>A</w:t>
            </w:r>
            <w:r w:rsidR="00A577CA" w:rsidRPr="008517B8">
              <w:rPr>
                <w:rFonts w:ascii="Trebuchet MS" w:eastAsiaTheme="minorEastAsia" w:hAnsi="Trebuchet MS" w:cstheme="minorHAnsi"/>
                <w:color w:val="000000" w:themeColor="text1"/>
                <w:sz w:val="20"/>
                <w:lang w:eastAsia="ja-JP"/>
              </w:rPr>
              <w:t xml:space="preserve">ctivities </w:t>
            </w:r>
            <w:r>
              <w:rPr>
                <w:rFonts w:ascii="Trebuchet MS" w:eastAsiaTheme="minorEastAsia" w:hAnsi="Trebuchet MS" w:cstheme="minorHAnsi"/>
                <w:color w:val="000000" w:themeColor="text1"/>
                <w:sz w:val="20"/>
                <w:lang w:eastAsia="ja-JP"/>
              </w:rPr>
              <w:t xml:space="preserve">shall remain </w:t>
            </w:r>
            <w:r w:rsidR="00A577CA" w:rsidRPr="008517B8">
              <w:rPr>
                <w:rFonts w:ascii="Trebuchet MS" w:eastAsiaTheme="minorEastAsia" w:hAnsi="Trebuchet MS" w:cstheme="minorHAnsi"/>
                <w:color w:val="000000" w:themeColor="text1"/>
                <w:sz w:val="20"/>
                <w:lang w:eastAsia="ja-JP"/>
              </w:rPr>
              <w:t>broad</w:t>
            </w:r>
            <w:r>
              <w:rPr>
                <w:rFonts w:ascii="Trebuchet MS" w:eastAsiaTheme="minorEastAsia" w:hAnsi="Trebuchet MS" w:cstheme="minorHAnsi"/>
                <w:color w:val="000000" w:themeColor="text1"/>
                <w:sz w:val="20"/>
                <w:lang w:eastAsia="ja-JP"/>
              </w:rPr>
              <w:t xml:space="preserve"> in scope, and can be further detailed by adding </w:t>
            </w:r>
            <w:r w:rsidR="000F1EB4">
              <w:rPr>
                <w:rFonts w:ascii="Trebuchet MS" w:eastAsiaTheme="minorEastAsia" w:hAnsi="Trebuchet MS" w:cstheme="minorHAnsi"/>
                <w:color w:val="000000" w:themeColor="text1"/>
                <w:sz w:val="20"/>
                <w:lang w:eastAsia="ja-JP"/>
              </w:rPr>
              <w:t xml:space="preserve">more </w:t>
            </w:r>
            <w:r>
              <w:rPr>
                <w:rFonts w:ascii="Trebuchet MS" w:eastAsiaTheme="minorEastAsia" w:hAnsi="Trebuchet MS" w:cstheme="minorHAnsi"/>
                <w:color w:val="000000" w:themeColor="text1"/>
                <w:sz w:val="20"/>
                <w:lang w:eastAsia="ja-JP"/>
              </w:rPr>
              <w:t>specific deliverables</w:t>
            </w:r>
            <w:r w:rsidR="000F1EB4">
              <w:rPr>
                <w:rFonts w:ascii="Trebuchet MS" w:eastAsiaTheme="minorEastAsia" w:hAnsi="Trebuchet MS" w:cstheme="minorHAnsi"/>
                <w:color w:val="000000" w:themeColor="text1"/>
                <w:sz w:val="20"/>
                <w:lang w:eastAsia="ja-JP"/>
              </w:rPr>
              <w:t>.</w:t>
            </w:r>
          </w:p>
          <w:p w14:paraId="6BC4F6E0" w14:textId="1824C9EE" w:rsidR="00A577CA" w:rsidRDefault="00D9679B" w:rsidP="005E4381">
            <w:pPr>
              <w:pStyle w:val="ListParagraph"/>
              <w:numPr>
                <w:ilvl w:val="0"/>
                <w:numId w:val="17"/>
              </w:numPr>
              <w:rPr>
                <w:rFonts w:ascii="Trebuchet MS" w:eastAsiaTheme="minorEastAsia" w:hAnsi="Trebuchet MS" w:cstheme="minorHAnsi"/>
                <w:color w:val="000000" w:themeColor="text1"/>
                <w:sz w:val="20"/>
                <w:lang w:eastAsia="ja-JP"/>
              </w:rPr>
            </w:pPr>
            <w:r w:rsidRPr="008517B8">
              <w:rPr>
                <w:rFonts w:ascii="Trebuchet MS" w:eastAsiaTheme="minorEastAsia" w:hAnsi="Trebuchet MS" w:cstheme="minorHAnsi"/>
                <w:color w:val="000000" w:themeColor="text1"/>
                <w:sz w:val="20"/>
                <w:lang w:eastAsia="ja-JP"/>
              </w:rPr>
              <w:t>Output 2 Activity 3:</w:t>
            </w:r>
            <w:r w:rsidR="00A577CA" w:rsidRPr="008517B8">
              <w:rPr>
                <w:rFonts w:ascii="Trebuchet MS" w:hAnsi="Trebuchet MS"/>
                <w:sz w:val="20"/>
              </w:rPr>
              <w:t xml:space="preserve"> </w:t>
            </w:r>
            <w:r w:rsidR="00A577CA" w:rsidRPr="008517B8">
              <w:rPr>
                <w:rFonts w:ascii="Trebuchet MS" w:eastAsiaTheme="minorEastAsia" w:hAnsi="Trebuchet MS" w:cstheme="minorHAnsi"/>
                <w:color w:val="000000" w:themeColor="text1"/>
                <w:sz w:val="20"/>
                <w:lang w:eastAsia="ja-JP"/>
              </w:rPr>
              <w:t xml:space="preserve">Change the wording slightly, </w:t>
            </w:r>
            <w:r w:rsidRPr="008517B8">
              <w:rPr>
                <w:rFonts w:ascii="Trebuchet MS" w:eastAsiaTheme="minorEastAsia" w:hAnsi="Trebuchet MS" w:cstheme="minorHAnsi"/>
                <w:color w:val="000000" w:themeColor="text1"/>
                <w:sz w:val="20"/>
                <w:lang w:eastAsia="ja-JP"/>
              </w:rPr>
              <w:t>possibly incorporating</w:t>
            </w:r>
            <w:r w:rsidR="00A577CA" w:rsidRPr="008517B8">
              <w:rPr>
                <w:rFonts w:ascii="Trebuchet MS" w:eastAsiaTheme="minorEastAsia" w:hAnsi="Trebuchet MS" w:cstheme="minorHAnsi"/>
                <w:color w:val="000000" w:themeColor="text1"/>
                <w:sz w:val="20"/>
                <w:lang w:eastAsia="ja-JP"/>
              </w:rPr>
              <w:t xml:space="preserve"> ERP</w:t>
            </w:r>
            <w:r w:rsidR="000979B9" w:rsidRPr="008517B8">
              <w:rPr>
                <w:rFonts w:ascii="Trebuchet MS" w:eastAsiaTheme="minorEastAsia" w:hAnsi="Trebuchet MS" w:cstheme="minorHAnsi"/>
                <w:color w:val="000000" w:themeColor="text1"/>
                <w:sz w:val="20"/>
                <w:lang w:eastAsia="ja-JP"/>
              </w:rPr>
              <w:t xml:space="preserve"> and predictable slow on-set events for wider early warning and early action</w:t>
            </w:r>
            <w:r w:rsidR="000F1EB4">
              <w:rPr>
                <w:rFonts w:ascii="Trebuchet MS" w:eastAsiaTheme="minorEastAsia" w:hAnsi="Trebuchet MS" w:cstheme="minorHAnsi"/>
                <w:color w:val="000000" w:themeColor="text1"/>
                <w:sz w:val="20"/>
                <w:lang w:eastAsia="ja-JP"/>
              </w:rPr>
              <w:t>.</w:t>
            </w:r>
          </w:p>
          <w:p w14:paraId="0E48C11A" w14:textId="7E81CBB3" w:rsidR="000F1EB4" w:rsidRDefault="000F1EB4" w:rsidP="005E4381">
            <w:pPr>
              <w:pStyle w:val="ListParagraph"/>
              <w:numPr>
                <w:ilvl w:val="0"/>
                <w:numId w:val="17"/>
              </w:numPr>
              <w:rPr>
                <w:rFonts w:ascii="Trebuchet MS" w:eastAsiaTheme="minorEastAsia" w:hAnsi="Trebuchet MS" w:cstheme="minorHAnsi"/>
                <w:color w:val="000000" w:themeColor="text1"/>
                <w:sz w:val="20"/>
                <w:lang w:eastAsia="ja-JP"/>
              </w:rPr>
            </w:pPr>
            <w:r>
              <w:rPr>
                <w:rFonts w:ascii="Trebuchet MS" w:eastAsiaTheme="minorEastAsia" w:hAnsi="Trebuchet MS" w:cstheme="minorHAnsi"/>
                <w:color w:val="000000" w:themeColor="text1"/>
                <w:sz w:val="20"/>
                <w:lang w:eastAsia="ja-JP"/>
              </w:rPr>
              <w:t xml:space="preserve">Suggestion to remove activity 2.3 related to cash </w:t>
            </w:r>
            <w:r w:rsidR="007F2873">
              <w:rPr>
                <w:rFonts w:ascii="Trebuchet MS" w:eastAsiaTheme="minorEastAsia" w:hAnsi="Trebuchet MS" w:cstheme="minorHAnsi"/>
                <w:color w:val="000000" w:themeColor="text1"/>
                <w:sz w:val="20"/>
                <w:lang w:eastAsia="ja-JP"/>
              </w:rPr>
              <w:t>transfer and</w:t>
            </w:r>
            <w:r w:rsidR="007F2873">
              <w:rPr>
                <w:rFonts w:ascii="Trebuchet MS" w:eastAsiaTheme="minorEastAsia" w:hAnsi="Trebuchet MS" w:cstheme="minorHAnsi"/>
                <w:color w:val="000000" w:themeColor="text1"/>
                <w:sz w:val="20"/>
                <w:lang w:eastAsia="ja-JP"/>
              </w:rPr>
              <w:t xml:space="preserve"> incorporate in review of ERP using experience of operational agencies</w:t>
            </w:r>
            <w:r w:rsidR="007F2873">
              <w:rPr>
                <w:rFonts w:ascii="Trebuchet MS" w:eastAsiaTheme="minorEastAsia" w:hAnsi="Trebuchet MS" w:cstheme="minorHAnsi"/>
                <w:color w:val="000000" w:themeColor="text1"/>
                <w:sz w:val="20"/>
                <w:lang w:eastAsia="ja-JP"/>
              </w:rPr>
              <w:t>.</w:t>
            </w:r>
          </w:p>
          <w:p w14:paraId="58BF67E4" w14:textId="58E96E31" w:rsidR="000F1EB4" w:rsidRDefault="000F1EB4" w:rsidP="005E4381">
            <w:pPr>
              <w:pStyle w:val="ListParagraph"/>
              <w:numPr>
                <w:ilvl w:val="0"/>
                <w:numId w:val="17"/>
              </w:numPr>
              <w:rPr>
                <w:rFonts w:ascii="Trebuchet MS" w:eastAsiaTheme="minorEastAsia" w:hAnsi="Trebuchet MS" w:cstheme="minorHAnsi"/>
                <w:color w:val="000000" w:themeColor="text1"/>
                <w:sz w:val="20"/>
                <w:lang w:eastAsia="ja-JP"/>
              </w:rPr>
            </w:pPr>
            <w:r>
              <w:rPr>
                <w:rFonts w:ascii="Trebuchet MS" w:eastAsiaTheme="minorEastAsia" w:hAnsi="Trebuchet MS" w:cstheme="minorHAnsi"/>
                <w:color w:val="000000" w:themeColor="text1"/>
                <w:sz w:val="20"/>
                <w:lang w:eastAsia="ja-JP"/>
              </w:rPr>
              <w:t>Suggestion to add new activity on SOP for future El Nin</w:t>
            </w:r>
            <w:r w:rsidR="007F2873">
              <w:rPr>
                <w:rFonts w:ascii="Trebuchet MS" w:eastAsiaTheme="minorEastAsia" w:hAnsi="Trebuchet MS" w:cstheme="minorHAnsi"/>
                <w:color w:val="000000" w:themeColor="text1"/>
                <w:sz w:val="20"/>
                <w:lang w:eastAsia="ja-JP"/>
              </w:rPr>
              <w:t xml:space="preserve">o/El Nina events under Output 2,  </w:t>
            </w:r>
            <w:r w:rsidR="007F2873">
              <w:rPr>
                <w:rFonts w:ascii="Trebuchet MS" w:eastAsiaTheme="minorEastAsia" w:hAnsi="Trebuchet MS" w:cstheme="minorHAnsi"/>
                <w:color w:val="000000" w:themeColor="text1"/>
                <w:sz w:val="20"/>
                <w:lang w:eastAsia="ja-JP"/>
              </w:rPr>
              <w:t>and, where possible incorporate in review of ERP</w:t>
            </w:r>
            <w:r w:rsidR="007F2873">
              <w:rPr>
                <w:rFonts w:ascii="Trebuchet MS" w:eastAsiaTheme="minorEastAsia" w:hAnsi="Trebuchet MS" w:cstheme="minorHAnsi"/>
                <w:color w:val="000000" w:themeColor="text1"/>
                <w:sz w:val="20"/>
                <w:lang w:eastAsia="ja-JP"/>
              </w:rPr>
              <w:t>.</w:t>
            </w:r>
          </w:p>
          <w:p w14:paraId="74D830A1" w14:textId="04DFD207" w:rsidR="00B137BA" w:rsidRPr="008517B8" w:rsidRDefault="00B137BA" w:rsidP="005E4381">
            <w:pPr>
              <w:pStyle w:val="ListParagraph"/>
              <w:numPr>
                <w:ilvl w:val="0"/>
                <w:numId w:val="17"/>
              </w:numPr>
              <w:rPr>
                <w:rFonts w:ascii="Trebuchet MS" w:eastAsiaTheme="minorEastAsia" w:hAnsi="Trebuchet MS" w:cstheme="minorHAnsi"/>
                <w:color w:val="000000" w:themeColor="text1"/>
                <w:sz w:val="20"/>
                <w:lang w:eastAsia="ja-JP"/>
              </w:rPr>
            </w:pPr>
            <w:r>
              <w:rPr>
                <w:rFonts w:ascii="Trebuchet MS" w:eastAsiaTheme="minorEastAsia" w:hAnsi="Trebuchet MS" w:cstheme="minorHAnsi"/>
                <w:color w:val="000000" w:themeColor="text1"/>
                <w:sz w:val="20"/>
                <w:lang w:eastAsia="ja-JP"/>
              </w:rPr>
              <w:t xml:space="preserve">GPP </w:t>
            </w:r>
            <w:r w:rsidR="000F1EB4">
              <w:rPr>
                <w:rFonts w:ascii="Trebuchet MS" w:eastAsiaTheme="minorEastAsia" w:hAnsi="Trebuchet MS" w:cstheme="minorHAnsi"/>
                <w:color w:val="000000" w:themeColor="text1"/>
                <w:sz w:val="20"/>
                <w:lang w:eastAsia="ja-JP"/>
              </w:rPr>
              <w:t>activity to be moved from Output 2 to output 3</w:t>
            </w:r>
          </w:p>
          <w:p w14:paraId="64C02C75" w14:textId="570908F0" w:rsidR="007F0BA2" w:rsidRPr="008517B8" w:rsidRDefault="00D9679B" w:rsidP="005E4381">
            <w:pPr>
              <w:pStyle w:val="ListParagraph"/>
              <w:numPr>
                <w:ilvl w:val="0"/>
                <w:numId w:val="17"/>
              </w:numPr>
              <w:rPr>
                <w:rFonts w:ascii="Trebuchet MS" w:eastAsiaTheme="minorEastAsia" w:hAnsi="Trebuchet MS" w:cstheme="minorHAnsi"/>
                <w:b/>
                <w:color w:val="000000" w:themeColor="text1"/>
                <w:sz w:val="20"/>
                <w:u w:val="single"/>
                <w:lang w:eastAsia="ja-JP"/>
              </w:rPr>
            </w:pPr>
            <w:r w:rsidRPr="008517B8">
              <w:rPr>
                <w:rFonts w:ascii="Trebuchet MS" w:eastAsiaTheme="minorEastAsia" w:hAnsi="Trebuchet MS" w:cstheme="minorHAnsi"/>
                <w:color w:val="000000" w:themeColor="text1"/>
                <w:sz w:val="20"/>
                <w:lang w:eastAsia="ja-JP"/>
              </w:rPr>
              <w:t xml:space="preserve">Output 3 Activity </w:t>
            </w:r>
            <w:r w:rsidR="007F0BA2" w:rsidRPr="008517B8">
              <w:rPr>
                <w:rFonts w:ascii="Trebuchet MS" w:eastAsiaTheme="minorEastAsia" w:hAnsi="Trebuchet MS" w:cstheme="minorHAnsi"/>
                <w:color w:val="000000" w:themeColor="text1"/>
                <w:sz w:val="20"/>
                <w:lang w:eastAsia="ja-JP"/>
              </w:rPr>
              <w:t>1: Focal points</w:t>
            </w:r>
            <w:r w:rsidRPr="008517B8">
              <w:rPr>
                <w:rFonts w:ascii="Trebuchet MS" w:eastAsiaTheme="minorEastAsia" w:hAnsi="Trebuchet MS" w:cstheme="minorHAnsi"/>
                <w:color w:val="000000" w:themeColor="text1"/>
                <w:sz w:val="20"/>
                <w:lang w:eastAsia="ja-JP"/>
              </w:rPr>
              <w:t xml:space="preserve"> and partners</w:t>
            </w:r>
            <w:r w:rsidR="007F0BA2" w:rsidRPr="008517B8">
              <w:rPr>
                <w:rFonts w:ascii="Trebuchet MS" w:eastAsiaTheme="minorEastAsia" w:hAnsi="Trebuchet MS" w:cstheme="minorHAnsi"/>
                <w:color w:val="000000" w:themeColor="text1"/>
                <w:sz w:val="20"/>
                <w:lang w:eastAsia="ja-JP"/>
              </w:rPr>
              <w:t xml:space="preserve"> to be added</w:t>
            </w:r>
            <w:r w:rsidRPr="008517B8">
              <w:rPr>
                <w:rFonts w:ascii="Trebuchet MS" w:eastAsiaTheme="minorEastAsia" w:hAnsi="Trebuchet MS" w:cstheme="minorHAnsi"/>
                <w:color w:val="000000" w:themeColor="text1"/>
                <w:sz w:val="20"/>
                <w:lang w:eastAsia="ja-JP"/>
              </w:rPr>
              <w:t xml:space="preserve">, and </w:t>
            </w:r>
            <w:r w:rsidRPr="008517B8">
              <w:rPr>
                <w:rFonts w:ascii="Trebuchet MS" w:hAnsi="Trebuchet MS"/>
                <w:sz w:val="20"/>
              </w:rPr>
              <w:t>p</w:t>
            </w:r>
            <w:r w:rsidRPr="008517B8">
              <w:rPr>
                <w:rFonts w:ascii="Trebuchet MS" w:eastAsiaTheme="minorEastAsia" w:hAnsi="Trebuchet MS" w:cstheme="minorHAnsi"/>
                <w:color w:val="000000" w:themeColor="text1"/>
                <w:sz w:val="20"/>
                <w:lang w:eastAsia="ja-JP"/>
              </w:rPr>
              <w:t>ossibly define what would be delivered</w:t>
            </w:r>
            <w:r w:rsidR="000F1EB4">
              <w:rPr>
                <w:rFonts w:ascii="Trebuchet MS" w:eastAsiaTheme="minorEastAsia" w:hAnsi="Trebuchet MS" w:cstheme="minorHAnsi"/>
                <w:color w:val="000000" w:themeColor="text1"/>
                <w:sz w:val="20"/>
                <w:lang w:eastAsia="ja-JP"/>
              </w:rPr>
              <w:t>.</w:t>
            </w:r>
          </w:p>
          <w:p w14:paraId="55CABF3F" w14:textId="12AC2A35" w:rsidR="00A577CA" w:rsidRPr="008517B8" w:rsidRDefault="00B137BA" w:rsidP="005E4381">
            <w:pPr>
              <w:pStyle w:val="ListParagraph"/>
              <w:numPr>
                <w:ilvl w:val="0"/>
                <w:numId w:val="17"/>
              </w:numPr>
              <w:rPr>
                <w:rFonts w:ascii="Trebuchet MS" w:eastAsiaTheme="minorEastAsia" w:hAnsi="Trebuchet MS" w:cstheme="minorHAnsi"/>
                <w:color w:val="000000" w:themeColor="text1"/>
                <w:sz w:val="20"/>
                <w:lang w:eastAsia="ja-JP"/>
              </w:rPr>
            </w:pPr>
            <w:r>
              <w:rPr>
                <w:rFonts w:ascii="Trebuchet MS" w:eastAsiaTheme="minorEastAsia" w:hAnsi="Trebuchet MS" w:cstheme="minorHAnsi"/>
                <w:color w:val="000000" w:themeColor="text1"/>
                <w:sz w:val="20"/>
                <w:lang w:eastAsia="ja-JP"/>
              </w:rPr>
              <w:t xml:space="preserve">Make reference to </w:t>
            </w:r>
            <w:r w:rsidR="000979B9" w:rsidRPr="008517B8">
              <w:rPr>
                <w:rFonts w:ascii="Trebuchet MS" w:eastAsiaTheme="minorEastAsia" w:hAnsi="Trebuchet MS" w:cstheme="minorHAnsi"/>
                <w:color w:val="000000" w:themeColor="text1"/>
                <w:sz w:val="20"/>
                <w:lang w:eastAsia="ja-JP"/>
              </w:rPr>
              <w:t>Words Into Action</w:t>
            </w:r>
          </w:p>
          <w:p w14:paraId="08880470" w14:textId="77777777" w:rsidR="009D6764" w:rsidRPr="005E4381" w:rsidRDefault="009D6764" w:rsidP="009D6764">
            <w:pPr>
              <w:pStyle w:val="ListParagraph"/>
              <w:ind w:left="1440"/>
              <w:rPr>
                <w:rFonts w:ascii="Trebuchet MS" w:eastAsiaTheme="minorEastAsia" w:hAnsi="Trebuchet MS" w:cstheme="minorHAnsi"/>
                <w:color w:val="000000" w:themeColor="text1"/>
                <w:lang w:eastAsia="ja-JP"/>
              </w:rPr>
            </w:pPr>
          </w:p>
          <w:p w14:paraId="0935E8C4" w14:textId="77777777" w:rsidR="00933375" w:rsidRDefault="00933375" w:rsidP="00DA07B2">
            <w:pPr>
              <w:rPr>
                <w:rFonts w:ascii="Trebuchet MS" w:eastAsiaTheme="minorEastAsia" w:hAnsi="Trebuchet MS" w:cstheme="minorHAnsi"/>
                <w:b/>
                <w:color w:val="000000" w:themeColor="text1"/>
                <w:lang w:eastAsia="ja-JP"/>
              </w:rPr>
            </w:pPr>
          </w:p>
          <w:p w14:paraId="2A2E7147" w14:textId="77777777" w:rsidR="00B248E5" w:rsidRPr="005E4381" w:rsidRDefault="00B248E5" w:rsidP="00DA07B2">
            <w:pPr>
              <w:rPr>
                <w:rFonts w:ascii="Trebuchet MS" w:eastAsiaTheme="minorEastAsia" w:hAnsi="Trebuchet MS" w:cstheme="minorHAnsi"/>
                <w:b/>
                <w:color w:val="000000" w:themeColor="text1"/>
                <w:lang w:eastAsia="ja-JP"/>
              </w:rPr>
            </w:pPr>
            <w:r w:rsidRPr="005E4381">
              <w:rPr>
                <w:rFonts w:ascii="Trebuchet MS" w:eastAsiaTheme="minorEastAsia" w:hAnsi="Trebuchet MS" w:cstheme="minorHAnsi"/>
                <w:b/>
                <w:color w:val="000000" w:themeColor="text1"/>
                <w:lang w:eastAsia="ja-JP"/>
              </w:rPr>
              <w:t xml:space="preserve">Status update on individual work streams as per TOR  </w:t>
            </w:r>
          </w:p>
          <w:p w14:paraId="696767EB" w14:textId="211130CF" w:rsidR="008315BB" w:rsidRPr="005E4381" w:rsidRDefault="00CB4253" w:rsidP="00DA07B2">
            <w:pPr>
              <w:pStyle w:val="NoSpacing"/>
              <w:numPr>
                <w:ilvl w:val="0"/>
                <w:numId w:val="7"/>
              </w:numPr>
              <w:rPr>
                <w:rFonts w:ascii="Trebuchet MS" w:hAnsi="Trebuchet MS"/>
                <w:b/>
              </w:rPr>
            </w:pPr>
            <w:r w:rsidRPr="005E4381">
              <w:rPr>
                <w:rFonts w:ascii="Trebuchet MS" w:hAnsi="Trebuchet MS"/>
                <w:b/>
              </w:rPr>
              <w:t>Risk Analysis, Early Warning, Early Action Work</w:t>
            </w:r>
            <w:r w:rsidR="00E467F2" w:rsidRPr="005E4381">
              <w:rPr>
                <w:rFonts w:ascii="Trebuchet MS" w:hAnsi="Trebuchet MS"/>
                <w:b/>
              </w:rPr>
              <w:t xml:space="preserve"> </w:t>
            </w:r>
            <w:r w:rsidRPr="005E4381">
              <w:rPr>
                <w:rFonts w:ascii="Trebuchet MS" w:hAnsi="Trebuchet MS"/>
                <w:b/>
              </w:rPr>
              <w:t>stream</w:t>
            </w:r>
          </w:p>
          <w:p w14:paraId="671784C8" w14:textId="12D4EF05" w:rsidR="00D9795B" w:rsidRPr="003034DB" w:rsidRDefault="00D9795B" w:rsidP="00D9795B">
            <w:pPr>
              <w:pStyle w:val="NoSpacing"/>
              <w:numPr>
                <w:ilvl w:val="1"/>
                <w:numId w:val="7"/>
              </w:numPr>
              <w:rPr>
                <w:rFonts w:ascii="Trebuchet MS" w:eastAsiaTheme="minorEastAsia" w:hAnsi="Trebuchet MS" w:cstheme="minorHAnsi"/>
                <w:b/>
                <w:color w:val="1F4E79" w:themeColor="accent1" w:themeShade="80"/>
                <w:szCs w:val="20"/>
                <w:lang w:eastAsia="ja-JP"/>
              </w:rPr>
            </w:pPr>
            <w:r w:rsidRPr="003034DB">
              <w:rPr>
                <w:rFonts w:ascii="Trebuchet MS" w:eastAsiaTheme="minorEastAsia" w:hAnsi="Trebuchet MS" w:cstheme="minorHAnsi"/>
                <w:b/>
                <w:color w:val="1F4E79" w:themeColor="accent1" w:themeShade="80"/>
                <w:szCs w:val="20"/>
                <w:lang w:eastAsia="ja-JP"/>
              </w:rPr>
              <w:t>Early Warning, Early Action and Readiness Report (Sub-group)</w:t>
            </w:r>
          </w:p>
          <w:p w14:paraId="2FEAEBD4" w14:textId="7989FD1D" w:rsidR="00BA529A" w:rsidRDefault="00B869B1" w:rsidP="00BA529A">
            <w:pPr>
              <w:pStyle w:val="NoSpacing"/>
              <w:numPr>
                <w:ilvl w:val="2"/>
                <w:numId w:val="7"/>
              </w:numPr>
              <w:rPr>
                <w:rFonts w:ascii="Trebuchet MS" w:eastAsiaTheme="minorEastAsia" w:hAnsi="Trebuchet MS" w:cstheme="minorHAnsi"/>
                <w:color w:val="000000" w:themeColor="text1"/>
                <w:sz w:val="20"/>
                <w:szCs w:val="20"/>
                <w:lang w:eastAsia="ja-JP"/>
              </w:rPr>
            </w:pPr>
            <w:r w:rsidRPr="008517B8">
              <w:rPr>
                <w:rFonts w:ascii="Trebuchet MS" w:eastAsiaTheme="minorEastAsia" w:hAnsi="Trebuchet MS" w:cstheme="minorHAnsi"/>
                <w:color w:val="000000" w:themeColor="text1"/>
                <w:sz w:val="20"/>
                <w:szCs w:val="20"/>
                <w:lang w:eastAsia="ja-JP"/>
              </w:rPr>
              <w:t xml:space="preserve">Inter-agency </w:t>
            </w:r>
            <w:r w:rsidR="00BA529A">
              <w:rPr>
                <w:rFonts w:ascii="Trebuchet MS" w:eastAsiaTheme="minorEastAsia" w:hAnsi="Trebuchet MS" w:cstheme="minorHAnsi"/>
                <w:color w:val="000000" w:themeColor="text1"/>
                <w:sz w:val="20"/>
                <w:szCs w:val="20"/>
                <w:lang w:eastAsia="ja-JP"/>
              </w:rPr>
              <w:t xml:space="preserve">sub-group </w:t>
            </w:r>
            <w:r w:rsidRPr="008517B8">
              <w:rPr>
                <w:rFonts w:ascii="Trebuchet MS" w:eastAsiaTheme="minorEastAsia" w:hAnsi="Trebuchet MS" w:cstheme="minorHAnsi"/>
                <w:color w:val="000000" w:themeColor="text1"/>
                <w:sz w:val="20"/>
                <w:szCs w:val="20"/>
                <w:lang w:eastAsia="ja-JP"/>
              </w:rPr>
              <w:t xml:space="preserve">group of early warning analysts </w:t>
            </w:r>
            <w:r w:rsidR="00BA529A">
              <w:rPr>
                <w:rFonts w:ascii="Trebuchet MS" w:eastAsiaTheme="minorEastAsia" w:hAnsi="Trebuchet MS" w:cstheme="minorHAnsi"/>
                <w:color w:val="000000" w:themeColor="text1"/>
                <w:sz w:val="20"/>
                <w:szCs w:val="20"/>
                <w:lang w:eastAsia="ja-JP"/>
              </w:rPr>
              <w:t>who</w:t>
            </w:r>
            <w:r w:rsidRPr="008517B8">
              <w:rPr>
                <w:rFonts w:ascii="Trebuchet MS" w:eastAsiaTheme="minorEastAsia" w:hAnsi="Trebuchet MS" w:cstheme="minorHAnsi"/>
                <w:color w:val="000000" w:themeColor="text1"/>
                <w:sz w:val="20"/>
                <w:szCs w:val="20"/>
                <w:lang w:eastAsia="ja-JP"/>
              </w:rPr>
              <w:t xml:space="preserve"> produce the 6-monthly EWEAR Report for the EDG on behalf of the Reference Group</w:t>
            </w:r>
            <w:r w:rsidR="00BA529A">
              <w:rPr>
                <w:rFonts w:ascii="Trebuchet MS" w:eastAsiaTheme="minorEastAsia" w:hAnsi="Trebuchet MS" w:cstheme="minorHAnsi"/>
                <w:color w:val="000000" w:themeColor="text1"/>
                <w:sz w:val="20"/>
                <w:szCs w:val="20"/>
                <w:lang w:eastAsia="ja-JP"/>
              </w:rPr>
              <w:t xml:space="preserve"> (mandated requirement).</w:t>
            </w:r>
          </w:p>
          <w:p w14:paraId="401DF06C" w14:textId="19358C46" w:rsidR="008315BB" w:rsidRDefault="00BA529A" w:rsidP="00BA529A">
            <w:pPr>
              <w:pStyle w:val="NoSpacing"/>
              <w:numPr>
                <w:ilvl w:val="2"/>
                <w:numId w:val="7"/>
              </w:numPr>
              <w:rPr>
                <w:rFonts w:ascii="Trebuchet MS" w:eastAsiaTheme="minorEastAsia" w:hAnsi="Trebuchet MS" w:cstheme="minorHAnsi"/>
                <w:color w:val="000000" w:themeColor="text1"/>
                <w:sz w:val="20"/>
                <w:szCs w:val="20"/>
                <w:lang w:eastAsia="ja-JP"/>
              </w:rPr>
            </w:pPr>
            <w:r w:rsidRPr="00BA529A">
              <w:rPr>
                <w:rFonts w:ascii="Trebuchet MS" w:eastAsiaTheme="minorEastAsia" w:hAnsi="Trebuchet MS" w:cstheme="minorHAnsi"/>
                <w:color w:val="000000" w:themeColor="text1"/>
                <w:sz w:val="20"/>
                <w:szCs w:val="20"/>
                <w:lang w:eastAsia="ja-JP"/>
              </w:rPr>
              <w:t xml:space="preserve">The EDG use the report to prioritize their activities through the 6-month outlook period. </w:t>
            </w:r>
            <w:r w:rsidR="00B869B1" w:rsidRPr="008517B8">
              <w:rPr>
                <w:rFonts w:ascii="Trebuchet MS" w:eastAsiaTheme="minorEastAsia" w:hAnsi="Trebuchet MS" w:cstheme="minorHAnsi"/>
                <w:color w:val="000000" w:themeColor="text1"/>
                <w:sz w:val="20"/>
                <w:szCs w:val="20"/>
                <w:lang w:eastAsia="ja-JP"/>
              </w:rPr>
              <w:t xml:space="preserve"> </w:t>
            </w:r>
          </w:p>
          <w:p w14:paraId="644E6746" w14:textId="77777777" w:rsidR="00BA529A" w:rsidRDefault="00BA529A" w:rsidP="00BA529A">
            <w:pPr>
              <w:pStyle w:val="NoSpacing"/>
              <w:numPr>
                <w:ilvl w:val="2"/>
                <w:numId w:val="7"/>
              </w:numPr>
              <w:rPr>
                <w:rFonts w:ascii="Trebuchet MS" w:eastAsiaTheme="minorEastAsia" w:hAnsi="Trebuchet MS" w:cstheme="minorHAnsi"/>
                <w:color w:val="000000" w:themeColor="text1"/>
                <w:sz w:val="20"/>
                <w:szCs w:val="20"/>
                <w:lang w:eastAsia="ja-JP"/>
              </w:rPr>
            </w:pPr>
            <w:r>
              <w:rPr>
                <w:rFonts w:ascii="Trebuchet MS" w:eastAsiaTheme="minorEastAsia" w:hAnsi="Trebuchet MS" w:cstheme="minorHAnsi"/>
                <w:color w:val="000000" w:themeColor="text1"/>
                <w:sz w:val="20"/>
                <w:szCs w:val="20"/>
                <w:lang w:eastAsia="ja-JP"/>
              </w:rPr>
              <w:t xml:space="preserve">June 2016 EWEAR Report </w:t>
            </w:r>
            <w:hyperlink r:id="rId15" w:history="1">
              <w:r w:rsidRPr="00BA529A">
                <w:rPr>
                  <w:rStyle w:val="Hyperlink"/>
                  <w:rFonts w:ascii="Trebuchet MS" w:eastAsiaTheme="minorEastAsia" w:hAnsi="Trebuchet MS" w:cstheme="minorHAnsi"/>
                  <w:sz w:val="20"/>
                  <w:szCs w:val="20"/>
                  <w:lang w:eastAsia="ja-JP"/>
                </w:rPr>
                <w:t>available on the IASC website</w:t>
              </w:r>
            </w:hyperlink>
          </w:p>
          <w:p w14:paraId="69DE5727" w14:textId="711EA9E7" w:rsidR="00BA529A" w:rsidRDefault="00D6185D" w:rsidP="00BA529A">
            <w:pPr>
              <w:pStyle w:val="NoSpacing"/>
              <w:numPr>
                <w:ilvl w:val="2"/>
                <w:numId w:val="7"/>
              </w:numPr>
              <w:rPr>
                <w:rFonts w:ascii="Trebuchet MS" w:eastAsiaTheme="minorEastAsia" w:hAnsi="Trebuchet MS" w:cstheme="minorHAnsi"/>
                <w:color w:val="000000" w:themeColor="text1"/>
                <w:sz w:val="20"/>
                <w:szCs w:val="20"/>
                <w:lang w:eastAsia="ja-JP"/>
              </w:rPr>
            </w:pPr>
            <w:r>
              <w:rPr>
                <w:rFonts w:ascii="Trebuchet MS" w:eastAsiaTheme="minorEastAsia" w:hAnsi="Trebuchet MS" w:cstheme="minorHAnsi"/>
                <w:color w:val="000000" w:themeColor="text1"/>
                <w:sz w:val="20"/>
                <w:szCs w:val="20"/>
                <w:lang w:eastAsia="ja-JP"/>
              </w:rPr>
              <w:t>November report in progress and on track.</w:t>
            </w:r>
          </w:p>
          <w:p w14:paraId="60A2811E" w14:textId="5019E26A" w:rsidR="002C1E4D" w:rsidRPr="00BA529A" w:rsidRDefault="00B869B1" w:rsidP="00BA529A">
            <w:pPr>
              <w:pStyle w:val="NoSpacing"/>
              <w:numPr>
                <w:ilvl w:val="2"/>
                <w:numId w:val="7"/>
              </w:numPr>
              <w:rPr>
                <w:rStyle w:val="Hyperlink"/>
                <w:rFonts w:ascii="Trebuchet MS" w:eastAsiaTheme="minorEastAsia" w:hAnsi="Trebuchet MS" w:cstheme="minorHAnsi"/>
                <w:color w:val="000000" w:themeColor="text1"/>
                <w:sz w:val="20"/>
                <w:szCs w:val="20"/>
                <w:u w:val="none"/>
                <w:lang w:eastAsia="ja-JP"/>
              </w:rPr>
            </w:pPr>
            <w:r w:rsidRPr="00BA529A">
              <w:rPr>
                <w:rFonts w:ascii="Trebuchet MS" w:eastAsiaTheme="minorEastAsia" w:hAnsi="Trebuchet MS" w:cstheme="minorHAnsi"/>
                <w:color w:val="000000" w:themeColor="text1"/>
                <w:sz w:val="20"/>
                <w:szCs w:val="20"/>
                <w:lang w:eastAsia="ja-JP"/>
              </w:rPr>
              <w:t>F</w:t>
            </w:r>
            <w:r w:rsidR="001B7DD6" w:rsidRPr="00BA529A">
              <w:rPr>
                <w:rFonts w:ascii="Trebuchet MS" w:eastAsiaTheme="minorEastAsia" w:hAnsi="Trebuchet MS" w:cstheme="minorHAnsi"/>
                <w:color w:val="000000" w:themeColor="text1"/>
                <w:sz w:val="20"/>
                <w:szCs w:val="20"/>
                <w:lang w:eastAsia="ja-JP"/>
              </w:rPr>
              <w:t>or more information</w:t>
            </w:r>
            <w:r w:rsidRPr="00BA529A">
              <w:rPr>
                <w:rFonts w:ascii="Trebuchet MS" w:eastAsiaTheme="minorEastAsia" w:hAnsi="Trebuchet MS" w:cstheme="minorHAnsi"/>
                <w:color w:val="000000" w:themeColor="text1"/>
                <w:sz w:val="20"/>
                <w:szCs w:val="20"/>
                <w:lang w:eastAsia="ja-JP"/>
              </w:rPr>
              <w:t xml:space="preserve"> on lessons learned and challenges,</w:t>
            </w:r>
            <w:r w:rsidR="001B7DD6" w:rsidRPr="00BA529A">
              <w:rPr>
                <w:rFonts w:ascii="Trebuchet MS" w:eastAsiaTheme="minorEastAsia" w:hAnsi="Trebuchet MS" w:cstheme="minorHAnsi"/>
                <w:color w:val="000000" w:themeColor="text1"/>
                <w:sz w:val="20"/>
                <w:szCs w:val="20"/>
                <w:lang w:eastAsia="ja-JP"/>
              </w:rPr>
              <w:t xml:space="preserve"> please refer to </w:t>
            </w:r>
            <w:r w:rsidR="00BA529A">
              <w:rPr>
                <w:rFonts w:ascii="Trebuchet MS" w:eastAsiaTheme="minorEastAsia" w:hAnsi="Trebuchet MS" w:cstheme="minorHAnsi"/>
                <w:color w:val="000000" w:themeColor="text1"/>
                <w:sz w:val="20"/>
                <w:szCs w:val="20"/>
                <w:lang w:eastAsia="ja-JP"/>
              </w:rPr>
              <w:t xml:space="preserve">the </w:t>
            </w:r>
            <w:hyperlink r:id="rId16" w:history="1">
              <w:r w:rsidR="00E2217F">
                <w:rPr>
                  <w:rStyle w:val="Hyperlink"/>
                  <w:rFonts w:ascii="Trebuchet MS" w:eastAsiaTheme="minorEastAsia" w:hAnsi="Trebuchet MS" w:cstheme="minorHAnsi"/>
                  <w:sz w:val="20"/>
                  <w:szCs w:val="20"/>
                  <w:lang w:eastAsia="ja-JP"/>
                </w:rPr>
                <w:t>update for the subgroup on the website</w:t>
              </w:r>
            </w:hyperlink>
            <w:r w:rsidR="00E2217F">
              <w:rPr>
                <w:rStyle w:val="Hyperlink"/>
                <w:rFonts w:ascii="Trebuchet MS" w:eastAsiaTheme="minorEastAsia" w:hAnsi="Trebuchet MS" w:cstheme="minorHAnsi"/>
                <w:sz w:val="20"/>
                <w:szCs w:val="20"/>
                <w:lang w:eastAsia="ja-JP"/>
              </w:rPr>
              <w:t>.</w:t>
            </w:r>
            <w:r w:rsidR="00E2217F">
              <w:rPr>
                <w:rFonts w:ascii="Trebuchet MS" w:eastAsiaTheme="minorEastAsia" w:hAnsi="Trebuchet MS" w:cstheme="minorHAnsi"/>
                <w:color w:val="000000" w:themeColor="text1"/>
                <w:sz w:val="20"/>
                <w:szCs w:val="20"/>
                <w:lang w:eastAsia="ja-JP"/>
              </w:rPr>
              <w:t xml:space="preserve"> </w:t>
            </w:r>
          </w:p>
          <w:p w14:paraId="42C88132" w14:textId="77777777" w:rsidR="00E467F2" w:rsidRPr="005E4381" w:rsidRDefault="00E467F2" w:rsidP="008315BB">
            <w:pPr>
              <w:pStyle w:val="NoSpacing"/>
              <w:ind w:left="1440"/>
              <w:rPr>
                <w:rFonts w:ascii="Trebuchet MS" w:hAnsi="Trebuchet MS"/>
              </w:rPr>
            </w:pPr>
          </w:p>
          <w:p w14:paraId="251992C8" w14:textId="70536F43" w:rsidR="009852CD" w:rsidRPr="005E4381" w:rsidRDefault="002C1E4D" w:rsidP="00CF61EB">
            <w:pPr>
              <w:pStyle w:val="ListParagraph"/>
              <w:numPr>
                <w:ilvl w:val="1"/>
                <w:numId w:val="7"/>
              </w:numPr>
              <w:rPr>
                <w:rFonts w:ascii="Trebuchet MS" w:eastAsiaTheme="minorEastAsia" w:hAnsi="Trebuchet MS" w:cstheme="minorHAnsi"/>
                <w:b/>
                <w:color w:val="1F4E79" w:themeColor="accent1" w:themeShade="80"/>
                <w:u w:val="single"/>
                <w:lang w:eastAsia="ja-JP"/>
              </w:rPr>
            </w:pPr>
            <w:r w:rsidRPr="005E4381">
              <w:rPr>
                <w:rFonts w:ascii="Trebuchet MS" w:eastAsiaTheme="minorEastAsia" w:hAnsi="Trebuchet MS" w:cstheme="minorHAnsi"/>
                <w:b/>
                <w:color w:val="1F4E79" w:themeColor="accent1" w:themeShade="80"/>
                <w:lang w:eastAsia="ja-JP"/>
              </w:rPr>
              <w:t>INFORM</w:t>
            </w:r>
            <w:r w:rsidR="008517B8">
              <w:rPr>
                <w:rFonts w:ascii="Trebuchet MS" w:eastAsiaTheme="minorEastAsia" w:hAnsi="Trebuchet MS" w:cstheme="minorHAnsi"/>
                <w:b/>
                <w:color w:val="1F4E79" w:themeColor="accent1" w:themeShade="80"/>
                <w:lang w:eastAsia="ja-JP"/>
              </w:rPr>
              <w:t xml:space="preserve"> – Index for Risk Management</w:t>
            </w:r>
            <w:r w:rsidR="00334F12">
              <w:rPr>
                <w:rFonts w:ascii="Trebuchet MS" w:eastAsiaTheme="minorEastAsia" w:hAnsi="Trebuchet MS" w:cstheme="minorHAnsi"/>
                <w:b/>
                <w:color w:val="1F4E79" w:themeColor="accent1" w:themeShade="80"/>
                <w:lang w:eastAsia="ja-JP"/>
              </w:rPr>
              <w:t xml:space="preserve"> </w:t>
            </w:r>
            <w:hyperlink r:id="rId17" w:history="1">
              <w:r w:rsidR="00334F12" w:rsidRPr="008517B8">
                <w:rPr>
                  <w:rStyle w:val="Hyperlink"/>
                  <w:rFonts w:ascii="Trebuchet MS" w:hAnsi="Trebuchet MS"/>
                  <w:sz w:val="20"/>
                  <w:szCs w:val="20"/>
                </w:rPr>
                <w:t>http://www.inform-index.org</w:t>
              </w:r>
            </w:hyperlink>
          </w:p>
          <w:p w14:paraId="68B729BD" w14:textId="6CB288DA" w:rsidR="008517B8" w:rsidRPr="008517B8" w:rsidRDefault="008517B8" w:rsidP="008517B8">
            <w:pPr>
              <w:pStyle w:val="ListParagraph"/>
              <w:numPr>
                <w:ilvl w:val="2"/>
                <w:numId w:val="7"/>
              </w:numPr>
              <w:rPr>
                <w:rFonts w:ascii="Trebuchet MS" w:hAnsi="Trebuchet MS"/>
                <w:sz w:val="20"/>
                <w:szCs w:val="20"/>
              </w:rPr>
            </w:pPr>
            <w:r w:rsidRPr="008517B8">
              <w:rPr>
                <w:rFonts w:ascii="Trebuchet MS" w:eastAsiaTheme="minorEastAsia" w:hAnsi="Trebuchet MS" w:cstheme="minorHAnsi"/>
                <w:b/>
                <w:color w:val="000000" w:themeColor="text1"/>
                <w:sz w:val="20"/>
                <w:szCs w:val="20"/>
                <w:lang w:eastAsia="ja-JP"/>
              </w:rPr>
              <w:t>Global Index</w:t>
            </w:r>
            <w:r w:rsidRPr="008517B8">
              <w:rPr>
                <w:rFonts w:ascii="Trebuchet MS" w:eastAsiaTheme="minorEastAsia" w:hAnsi="Trebuchet MS" w:cstheme="minorHAnsi"/>
                <w:color w:val="000000" w:themeColor="text1"/>
                <w:sz w:val="20"/>
                <w:szCs w:val="20"/>
                <w:lang w:eastAsia="ja-JP"/>
              </w:rPr>
              <w:t xml:space="preserve">: </w:t>
            </w:r>
            <w:r w:rsidRPr="008517B8">
              <w:rPr>
                <w:rFonts w:ascii="Trebuchet MS" w:hAnsi="Trebuchet MS"/>
                <w:sz w:val="20"/>
                <w:szCs w:val="20"/>
              </w:rPr>
              <w:t>INFORM has released the results of its 2017 Global Risk Index. INFORM is an open-source risk assessment tool designed to support decisions about crisis and disaster prevention, preparedness and response. For the 2017 INFORM, several improvements have been made.</w:t>
            </w:r>
          </w:p>
          <w:p w14:paraId="55C92E45" w14:textId="769AA0C2" w:rsidR="008517B8" w:rsidRPr="008517B8" w:rsidRDefault="008517B8" w:rsidP="008517B8">
            <w:pPr>
              <w:numPr>
                <w:ilvl w:val="0"/>
                <w:numId w:val="18"/>
              </w:numPr>
              <w:spacing w:after="100" w:afterAutospacing="1" w:line="240" w:lineRule="auto"/>
              <w:rPr>
                <w:rFonts w:ascii="Trebuchet MS" w:hAnsi="Trebuchet MS"/>
                <w:sz w:val="20"/>
                <w:szCs w:val="20"/>
              </w:rPr>
            </w:pPr>
            <w:r w:rsidRPr="008517B8">
              <w:rPr>
                <w:rFonts w:ascii="Trebuchet MS" w:hAnsi="Trebuchet MS"/>
                <w:sz w:val="20"/>
                <w:szCs w:val="20"/>
              </w:rPr>
              <w:t xml:space="preserve">A measure of reliability is now displayed for each country. It is presented as a Reliability Index on a scale from 0-10 and takes into account missing data, out of date data, and conflict status. </w:t>
            </w:r>
          </w:p>
          <w:p w14:paraId="2200FB83" w14:textId="25161BE7" w:rsidR="008517B8" w:rsidRPr="008517B8" w:rsidRDefault="008517B8" w:rsidP="008517B8">
            <w:pPr>
              <w:numPr>
                <w:ilvl w:val="0"/>
                <w:numId w:val="18"/>
              </w:numPr>
              <w:spacing w:before="100" w:beforeAutospacing="1" w:after="100" w:afterAutospacing="1" w:line="240" w:lineRule="auto"/>
              <w:rPr>
                <w:rFonts w:ascii="Trebuchet MS" w:hAnsi="Trebuchet MS"/>
                <w:sz w:val="20"/>
                <w:szCs w:val="20"/>
              </w:rPr>
            </w:pPr>
            <w:r w:rsidRPr="008517B8">
              <w:rPr>
                <w:rFonts w:ascii="Trebuchet MS" w:hAnsi="Trebuchet MS"/>
                <w:sz w:val="20"/>
                <w:szCs w:val="20"/>
              </w:rPr>
              <w:t>“Maternal mortality ratio” has been added as a new indicator.</w:t>
            </w:r>
          </w:p>
          <w:p w14:paraId="1ABDA064" w14:textId="77777777" w:rsidR="008517B8" w:rsidRPr="008517B8" w:rsidRDefault="008517B8" w:rsidP="008517B8">
            <w:pPr>
              <w:numPr>
                <w:ilvl w:val="0"/>
                <w:numId w:val="18"/>
              </w:numPr>
              <w:spacing w:before="100" w:beforeAutospacing="1" w:after="100" w:afterAutospacing="1" w:line="240" w:lineRule="auto"/>
              <w:rPr>
                <w:rFonts w:ascii="Trebuchet MS" w:hAnsi="Trebuchet MS"/>
                <w:sz w:val="20"/>
                <w:szCs w:val="20"/>
              </w:rPr>
            </w:pPr>
            <w:r w:rsidRPr="008517B8">
              <w:rPr>
                <w:rFonts w:ascii="Trebuchet MS" w:hAnsi="Trebuchet MS"/>
                <w:sz w:val="20"/>
                <w:szCs w:val="20"/>
              </w:rPr>
              <w:t>The Global Conflict Risk Index, which is used in the "Projected Conflict Risk" component of INFORM, has been significantly improved.</w:t>
            </w:r>
          </w:p>
          <w:p w14:paraId="2EB6E924" w14:textId="5C393645" w:rsidR="008517B8" w:rsidRDefault="008517B8" w:rsidP="008517B8">
            <w:pPr>
              <w:numPr>
                <w:ilvl w:val="0"/>
                <w:numId w:val="18"/>
              </w:numPr>
              <w:spacing w:before="100" w:beforeAutospacing="1" w:after="100" w:afterAutospacing="1" w:line="240" w:lineRule="auto"/>
              <w:rPr>
                <w:rFonts w:ascii="Trebuchet MS" w:hAnsi="Trebuchet MS"/>
                <w:sz w:val="20"/>
                <w:szCs w:val="20"/>
              </w:rPr>
            </w:pPr>
            <w:r w:rsidRPr="008517B8">
              <w:rPr>
                <w:rFonts w:ascii="Trebuchet MS" w:hAnsi="Trebuchet MS"/>
                <w:sz w:val="20"/>
                <w:szCs w:val="20"/>
              </w:rPr>
              <w:t>The exposure layer used for Natural Hazards has been changed.</w:t>
            </w:r>
          </w:p>
          <w:p w14:paraId="401F2A9C" w14:textId="3A1AE664" w:rsidR="005E4381" w:rsidRPr="008517B8" w:rsidRDefault="008517B8" w:rsidP="008517B8">
            <w:pPr>
              <w:numPr>
                <w:ilvl w:val="0"/>
                <w:numId w:val="18"/>
              </w:numPr>
              <w:spacing w:before="100" w:beforeAutospacing="1" w:after="100" w:afterAutospacing="1" w:line="240" w:lineRule="auto"/>
              <w:rPr>
                <w:rFonts w:ascii="Trebuchet MS" w:hAnsi="Trebuchet MS"/>
                <w:sz w:val="20"/>
                <w:szCs w:val="20"/>
              </w:rPr>
            </w:pPr>
            <w:r w:rsidRPr="008517B8">
              <w:rPr>
                <w:rFonts w:ascii="Trebuchet MS" w:hAnsi="Trebuchet MS"/>
                <w:sz w:val="20"/>
                <w:szCs w:val="20"/>
              </w:rPr>
              <w:t>Later in 2016, INFORM will release its Annual Report with further analysis. The results are released in advance so that they can be used to support annual planning processes.</w:t>
            </w:r>
          </w:p>
          <w:p w14:paraId="6BF99286" w14:textId="1839041D" w:rsidR="005E4381" w:rsidRPr="008517B8" w:rsidRDefault="008517B8" w:rsidP="005E4381">
            <w:pPr>
              <w:pStyle w:val="ListParagraph"/>
              <w:numPr>
                <w:ilvl w:val="2"/>
                <w:numId w:val="7"/>
              </w:numPr>
              <w:rPr>
                <w:rFonts w:ascii="Trebuchet MS" w:eastAsiaTheme="minorEastAsia" w:hAnsi="Trebuchet MS" w:cstheme="minorHAnsi"/>
                <w:color w:val="000000" w:themeColor="text1"/>
                <w:sz w:val="20"/>
                <w:szCs w:val="20"/>
                <w:lang w:eastAsia="ja-JP"/>
              </w:rPr>
            </w:pPr>
            <w:r w:rsidRPr="008517B8">
              <w:rPr>
                <w:rFonts w:ascii="Trebuchet MS" w:eastAsiaTheme="minorEastAsia" w:hAnsi="Trebuchet MS" w:cstheme="minorHAnsi"/>
                <w:b/>
                <w:color w:val="000000" w:themeColor="text1"/>
                <w:sz w:val="20"/>
                <w:szCs w:val="20"/>
                <w:lang w:eastAsia="ja-JP"/>
              </w:rPr>
              <w:t>INFORM Subnational</w:t>
            </w:r>
            <w:r>
              <w:rPr>
                <w:rFonts w:ascii="Trebuchet MS" w:eastAsiaTheme="minorEastAsia" w:hAnsi="Trebuchet MS" w:cstheme="minorHAnsi"/>
                <w:b/>
                <w:color w:val="000000" w:themeColor="text1"/>
                <w:sz w:val="20"/>
                <w:szCs w:val="20"/>
                <w:lang w:eastAsia="ja-JP"/>
              </w:rPr>
              <w:t xml:space="preserve"> – Roll-out in 5 selected countries</w:t>
            </w:r>
            <w:r>
              <w:rPr>
                <w:rFonts w:ascii="Trebuchet MS" w:eastAsiaTheme="minorEastAsia" w:hAnsi="Trebuchet MS" w:cstheme="minorHAnsi"/>
                <w:color w:val="000000" w:themeColor="text1"/>
                <w:sz w:val="20"/>
                <w:szCs w:val="20"/>
                <w:lang w:eastAsia="ja-JP"/>
              </w:rPr>
              <w:t xml:space="preserve">: </w:t>
            </w:r>
            <w:r w:rsidR="005E4381" w:rsidRPr="008517B8">
              <w:rPr>
                <w:rFonts w:ascii="Trebuchet MS" w:eastAsiaTheme="minorEastAsia" w:hAnsi="Trebuchet MS" w:cstheme="minorHAnsi"/>
                <w:color w:val="000000" w:themeColor="text1"/>
                <w:sz w:val="20"/>
                <w:szCs w:val="20"/>
                <w:lang w:eastAsia="ja-JP"/>
              </w:rPr>
              <w:t>The INFORM Subnational Acceleration project is intended to improve shared analysis and decision-making in humanitarian and development sectors through the accelerated implementation and use of INFORM models at country level. The project is a joint collaboration effort between UNDP and UNOCHA, and is co-financed by EC-ECHO for a duration of two years starting September 2016.</w:t>
            </w:r>
          </w:p>
          <w:p w14:paraId="35055BC7" w14:textId="77777777" w:rsidR="008517B8" w:rsidRDefault="008517B8" w:rsidP="00355B0F">
            <w:pPr>
              <w:pStyle w:val="ListParagraph"/>
              <w:ind w:left="1440"/>
              <w:rPr>
                <w:rFonts w:ascii="Trebuchet MS" w:eastAsiaTheme="minorEastAsia" w:hAnsi="Trebuchet MS" w:cstheme="minorHAnsi"/>
                <w:color w:val="000000" w:themeColor="text1"/>
                <w:sz w:val="20"/>
                <w:szCs w:val="20"/>
                <w:lang w:eastAsia="ja-JP"/>
              </w:rPr>
            </w:pPr>
          </w:p>
          <w:p w14:paraId="7491C011" w14:textId="299EA5C7" w:rsidR="00355B0F" w:rsidRPr="008517B8" w:rsidRDefault="0054460B" w:rsidP="00355B0F">
            <w:pPr>
              <w:pStyle w:val="ListParagraph"/>
              <w:ind w:left="1440"/>
              <w:rPr>
                <w:rStyle w:val="Hyperlink"/>
                <w:rFonts w:ascii="Trebuchet MS" w:eastAsiaTheme="minorEastAsia" w:hAnsi="Trebuchet MS" w:cstheme="minorHAnsi"/>
                <w:sz w:val="20"/>
                <w:szCs w:val="20"/>
                <w:lang w:eastAsia="ja-JP"/>
              </w:rPr>
            </w:pPr>
            <w:r w:rsidRPr="008517B8">
              <w:rPr>
                <w:rFonts w:ascii="Trebuchet MS" w:eastAsiaTheme="minorEastAsia" w:hAnsi="Trebuchet MS" w:cstheme="minorHAnsi"/>
                <w:color w:val="000000" w:themeColor="text1"/>
                <w:sz w:val="20"/>
                <w:szCs w:val="20"/>
                <w:lang w:eastAsia="ja-JP"/>
              </w:rPr>
              <w:lastRenderedPageBreak/>
              <w:t>For more details on INFORM</w:t>
            </w:r>
            <w:r w:rsidR="00355B0F" w:rsidRPr="008517B8">
              <w:rPr>
                <w:rFonts w:ascii="Trebuchet MS" w:eastAsiaTheme="minorEastAsia" w:hAnsi="Trebuchet MS" w:cstheme="minorHAnsi"/>
                <w:color w:val="000000" w:themeColor="text1"/>
                <w:sz w:val="20"/>
                <w:szCs w:val="20"/>
                <w:lang w:eastAsia="ja-JP"/>
              </w:rPr>
              <w:t>, and the INFORM Subnational Acceleration project please refer to the</w:t>
            </w:r>
            <w:r w:rsidRPr="008517B8">
              <w:rPr>
                <w:rFonts w:ascii="Trebuchet MS" w:eastAsiaTheme="minorEastAsia" w:hAnsi="Trebuchet MS" w:cstheme="minorHAnsi"/>
                <w:color w:val="000000" w:themeColor="text1"/>
                <w:sz w:val="20"/>
                <w:szCs w:val="20"/>
                <w:lang w:eastAsia="ja-JP"/>
              </w:rPr>
              <w:t xml:space="preserve"> </w:t>
            </w:r>
            <w:hyperlink r:id="rId18" w:history="1">
              <w:r w:rsidR="00355B0F" w:rsidRPr="008517B8">
                <w:rPr>
                  <w:rStyle w:val="Hyperlink"/>
                  <w:rFonts w:ascii="Trebuchet MS" w:eastAsiaTheme="minorEastAsia" w:hAnsi="Trebuchet MS" w:cstheme="minorHAnsi"/>
                  <w:sz w:val="20"/>
                  <w:szCs w:val="20"/>
                  <w:lang w:eastAsia="ja-JP"/>
                </w:rPr>
                <w:t>INFORM Briefing Note</w:t>
              </w:r>
            </w:hyperlink>
          </w:p>
          <w:p w14:paraId="7EEF028B" w14:textId="2E4517B3" w:rsidR="008517B8" w:rsidRPr="008517B8" w:rsidRDefault="008517B8" w:rsidP="008517B8">
            <w:pPr>
              <w:pStyle w:val="ListParagraph"/>
              <w:ind w:left="1440"/>
              <w:rPr>
                <w:rFonts w:ascii="Trebuchet MS" w:eastAsiaTheme="minorEastAsia" w:hAnsi="Trebuchet MS" w:cstheme="minorHAnsi"/>
                <w:color w:val="1F4E79" w:themeColor="accent1" w:themeShade="80"/>
                <w:u w:val="single"/>
                <w:lang w:eastAsia="ja-JP"/>
              </w:rPr>
            </w:pPr>
          </w:p>
          <w:p w14:paraId="1E428316" w14:textId="1285CBC0" w:rsidR="008315BB" w:rsidRPr="00D6185D" w:rsidRDefault="00D6185D" w:rsidP="005E4381">
            <w:pPr>
              <w:pStyle w:val="ListParagraph"/>
              <w:numPr>
                <w:ilvl w:val="1"/>
                <w:numId w:val="7"/>
              </w:numPr>
              <w:rPr>
                <w:rFonts w:ascii="Trebuchet MS" w:eastAsiaTheme="minorEastAsia" w:hAnsi="Trebuchet MS" w:cstheme="minorHAnsi"/>
                <w:b/>
                <w:color w:val="1F4E79" w:themeColor="accent1" w:themeShade="80"/>
                <w:u w:val="single"/>
                <w:lang w:eastAsia="ja-JP"/>
              </w:rPr>
            </w:pPr>
            <w:r w:rsidRPr="00D6185D">
              <w:rPr>
                <w:rFonts w:ascii="Trebuchet MS" w:eastAsiaTheme="minorEastAsia" w:hAnsi="Trebuchet MS" w:cstheme="minorHAnsi"/>
                <w:b/>
                <w:color w:val="1F4E79" w:themeColor="accent1" w:themeShade="80"/>
                <w:lang w:eastAsia="ja-JP"/>
              </w:rPr>
              <w:t>S</w:t>
            </w:r>
            <w:r w:rsidR="008F6DF4">
              <w:rPr>
                <w:rFonts w:ascii="Trebuchet MS" w:eastAsiaTheme="minorEastAsia" w:hAnsi="Trebuchet MS" w:cstheme="minorHAnsi"/>
                <w:b/>
                <w:color w:val="1F4E79" w:themeColor="accent1" w:themeShade="80"/>
                <w:lang w:eastAsia="ja-JP"/>
              </w:rPr>
              <w:t>low O</w:t>
            </w:r>
            <w:r w:rsidRPr="00D6185D">
              <w:rPr>
                <w:rFonts w:ascii="Trebuchet MS" w:eastAsiaTheme="minorEastAsia" w:hAnsi="Trebuchet MS" w:cstheme="minorHAnsi"/>
                <w:b/>
                <w:color w:val="1F4E79" w:themeColor="accent1" w:themeShade="80"/>
                <w:lang w:eastAsia="ja-JP"/>
              </w:rPr>
              <w:t xml:space="preserve">nset </w:t>
            </w:r>
            <w:r w:rsidR="008315BB" w:rsidRPr="00D6185D">
              <w:rPr>
                <w:rFonts w:ascii="Trebuchet MS" w:eastAsiaTheme="minorEastAsia" w:hAnsi="Trebuchet MS" w:cstheme="minorHAnsi"/>
                <w:b/>
                <w:color w:val="1F4E79" w:themeColor="accent1" w:themeShade="80"/>
                <w:lang w:eastAsia="ja-JP"/>
              </w:rPr>
              <w:t>S</w:t>
            </w:r>
            <w:r w:rsidR="00933375">
              <w:rPr>
                <w:rFonts w:ascii="Trebuchet MS" w:eastAsiaTheme="minorEastAsia" w:hAnsi="Trebuchet MS" w:cstheme="minorHAnsi"/>
                <w:b/>
                <w:color w:val="1F4E79" w:themeColor="accent1" w:themeShade="80"/>
                <w:lang w:eastAsia="ja-JP"/>
              </w:rPr>
              <w:t>tandard Operating Procedures (S</w:t>
            </w:r>
            <w:r w:rsidR="008315BB" w:rsidRPr="00D6185D">
              <w:rPr>
                <w:rFonts w:ascii="Trebuchet MS" w:eastAsiaTheme="minorEastAsia" w:hAnsi="Trebuchet MS" w:cstheme="minorHAnsi"/>
                <w:b/>
                <w:color w:val="1F4E79" w:themeColor="accent1" w:themeShade="80"/>
                <w:lang w:eastAsia="ja-JP"/>
              </w:rPr>
              <w:t>OP</w:t>
            </w:r>
            <w:r w:rsidR="00933375">
              <w:rPr>
                <w:rFonts w:ascii="Trebuchet MS" w:eastAsiaTheme="minorEastAsia" w:hAnsi="Trebuchet MS" w:cstheme="minorHAnsi"/>
                <w:b/>
                <w:color w:val="1F4E79" w:themeColor="accent1" w:themeShade="80"/>
                <w:lang w:eastAsia="ja-JP"/>
              </w:rPr>
              <w:t>)</w:t>
            </w:r>
            <w:r w:rsidR="00BC409F">
              <w:rPr>
                <w:rFonts w:ascii="Trebuchet MS" w:eastAsiaTheme="minorEastAsia" w:hAnsi="Trebuchet MS" w:cstheme="minorHAnsi"/>
                <w:b/>
                <w:color w:val="1F4E79" w:themeColor="accent1" w:themeShade="80"/>
                <w:lang w:eastAsia="ja-JP"/>
              </w:rPr>
              <w:t xml:space="preserve"> </w:t>
            </w:r>
          </w:p>
          <w:p w14:paraId="1BB84DA1" w14:textId="746919B3" w:rsidR="000F1EB4" w:rsidRPr="00933375" w:rsidRDefault="000F1EB4" w:rsidP="000F1EB4">
            <w:pPr>
              <w:pStyle w:val="ListParagraph"/>
              <w:numPr>
                <w:ilvl w:val="2"/>
                <w:numId w:val="7"/>
              </w:numPr>
              <w:jc w:val="both"/>
              <w:rPr>
                <w:rFonts w:ascii="Trebuchet MS" w:hAnsi="Trebuchet MS"/>
                <w:sz w:val="20"/>
              </w:rPr>
            </w:pPr>
            <w:r w:rsidRPr="00933375">
              <w:rPr>
                <w:rFonts w:ascii="Trebuchet MS" w:hAnsi="Trebuchet MS"/>
                <w:sz w:val="20"/>
              </w:rPr>
              <w:t xml:space="preserve">The 2015/16 El Niño event severely affected over 60 million people worldwide, causing 23 countries to appeal for international humanitarian assistance </w:t>
            </w:r>
            <w:r w:rsidR="00933375" w:rsidRPr="00933375">
              <w:rPr>
                <w:rFonts w:ascii="Trebuchet MS" w:hAnsi="Trebuchet MS"/>
                <w:sz w:val="20"/>
              </w:rPr>
              <w:t>totaling</w:t>
            </w:r>
            <w:r w:rsidRPr="00933375">
              <w:rPr>
                <w:rFonts w:ascii="Trebuchet MS" w:hAnsi="Trebuchet MS"/>
                <w:sz w:val="20"/>
              </w:rPr>
              <w:t xml:space="preserve"> US$5 billion. El Niño and La Niña episodes, and other slow-onset weather events, do not need to lead to humanitarian disasters</w:t>
            </w:r>
            <w:r w:rsidRPr="00933375">
              <w:rPr>
                <w:rFonts w:ascii="Trebuchet MS" w:hAnsi="Trebuchet MS"/>
                <w:b/>
                <w:bCs/>
                <w:sz w:val="20"/>
              </w:rPr>
              <w:t xml:space="preserve">. </w:t>
            </w:r>
            <w:r w:rsidRPr="00933375">
              <w:rPr>
                <w:rFonts w:ascii="Trebuchet MS" w:hAnsi="Trebuchet MS"/>
                <w:sz w:val="20"/>
              </w:rPr>
              <w:t xml:space="preserve">With sufficient early warning and a commitment to early action, their consequences </w:t>
            </w:r>
            <w:r w:rsidRPr="00933375">
              <w:rPr>
                <w:rFonts w:ascii="Trebuchet MS" w:hAnsi="Trebuchet MS"/>
                <w:i/>
                <w:iCs/>
                <w:sz w:val="20"/>
              </w:rPr>
              <w:t xml:space="preserve">can </w:t>
            </w:r>
            <w:r w:rsidRPr="00933375">
              <w:rPr>
                <w:rFonts w:ascii="Trebuchet MS" w:hAnsi="Trebuchet MS"/>
                <w:sz w:val="20"/>
              </w:rPr>
              <w:t>be mitigated.  In the case of slow-onset crises, an effective response requires collective early action by both humanitarian and development partners. It requires more constructive engagement with national governments, regional organizations, academia and the private sector. There is currently no agreed inter-agency guide for humanitarian and development actors on this type of approach.</w:t>
            </w:r>
          </w:p>
          <w:p w14:paraId="39409112" w14:textId="6D77F60C" w:rsidR="000F1EB4" w:rsidRPr="00933375" w:rsidRDefault="000F1EB4" w:rsidP="000F1EB4">
            <w:pPr>
              <w:pStyle w:val="ListParagraph"/>
              <w:numPr>
                <w:ilvl w:val="2"/>
                <w:numId w:val="7"/>
              </w:numPr>
              <w:jc w:val="both"/>
              <w:rPr>
                <w:rFonts w:ascii="Trebuchet MS" w:hAnsi="Trebuchet MS"/>
                <w:szCs w:val="24"/>
              </w:rPr>
            </w:pPr>
            <w:r w:rsidRPr="00933375">
              <w:rPr>
                <w:rFonts w:ascii="Trebuchet MS" w:hAnsi="Trebuchet MS"/>
                <w:sz w:val="20"/>
              </w:rPr>
              <w:t xml:space="preserve">In response to this call, IASC partners are currently developing a set of </w:t>
            </w:r>
            <w:r w:rsidRPr="00933375">
              <w:rPr>
                <w:rFonts w:ascii="Trebuchet MS" w:hAnsi="Trebuchet MS"/>
                <w:b/>
                <w:bCs/>
                <w:sz w:val="20"/>
              </w:rPr>
              <w:t>El Nino/La Nina Early Action</w:t>
            </w:r>
            <w:r w:rsidRPr="00933375">
              <w:rPr>
                <w:rFonts w:ascii="Trebuchet MS" w:hAnsi="Trebuchet MS"/>
                <w:sz w:val="20"/>
              </w:rPr>
              <w:t xml:space="preserve"> </w:t>
            </w:r>
            <w:r w:rsidRPr="00933375">
              <w:rPr>
                <w:rFonts w:ascii="Trebuchet MS" w:hAnsi="Trebuchet MS"/>
                <w:b/>
                <w:bCs/>
                <w:sz w:val="20"/>
              </w:rPr>
              <w:t xml:space="preserve">Standard Operating Procedures </w:t>
            </w:r>
            <w:r w:rsidRPr="00933375">
              <w:rPr>
                <w:rFonts w:ascii="Trebuchet MS" w:hAnsi="Trebuchet MS"/>
                <w:sz w:val="20"/>
              </w:rPr>
              <w:t>(SOPs) to help catalyze and guide future responses. The SOPs outline early action that should be taken once there is a medium to high risk of an El Niño or La Niña episode developing. It clarifies who will undertake the actions and associated timings. The SOPs focus on action in four main inter-agency areas: (1) Risk analysis and Early Warning; (2) Coordination and Information Management; (3) Programming (4) Financing.</w:t>
            </w:r>
          </w:p>
          <w:p w14:paraId="4AEBC88A" w14:textId="74B9AE21" w:rsidR="002A5BEF" w:rsidRDefault="000F1EB4" w:rsidP="00933375">
            <w:pPr>
              <w:pStyle w:val="ListParagraph"/>
              <w:numPr>
                <w:ilvl w:val="0"/>
                <w:numId w:val="22"/>
              </w:numPr>
              <w:jc w:val="both"/>
              <w:rPr>
                <w:rFonts w:ascii="Trebuchet MS" w:hAnsi="Trebuchet MS"/>
                <w:sz w:val="20"/>
              </w:rPr>
            </w:pPr>
            <w:r w:rsidRPr="00933375">
              <w:rPr>
                <w:rFonts w:ascii="Trebuchet MS" w:hAnsi="Trebuchet MS"/>
                <w:sz w:val="20"/>
              </w:rPr>
              <w:t>A first draft of the SOPs will be developed by the end of 2016.</w:t>
            </w:r>
          </w:p>
          <w:p w14:paraId="4A910F86" w14:textId="59FBE86E" w:rsidR="007F2873" w:rsidRPr="00933375" w:rsidRDefault="007F2873" w:rsidP="00933375">
            <w:pPr>
              <w:pStyle w:val="ListParagraph"/>
              <w:numPr>
                <w:ilvl w:val="0"/>
                <w:numId w:val="22"/>
              </w:numPr>
              <w:jc w:val="both"/>
              <w:rPr>
                <w:rFonts w:ascii="Trebuchet MS" w:hAnsi="Trebuchet MS"/>
                <w:sz w:val="20"/>
              </w:rPr>
            </w:pPr>
            <w:r>
              <w:rPr>
                <w:rFonts w:ascii="Trebuchet MS" w:hAnsi="Trebuchet MS"/>
                <w:sz w:val="20"/>
              </w:rPr>
              <w:t>Possible use of the SOP approach for wider situations</w:t>
            </w:r>
          </w:p>
          <w:p w14:paraId="6BC10FD3" w14:textId="1B064947" w:rsidR="000E0574" w:rsidRPr="005E4381" w:rsidRDefault="000E0574" w:rsidP="005E4381">
            <w:pPr>
              <w:numPr>
                <w:ilvl w:val="0"/>
                <w:numId w:val="7"/>
              </w:numPr>
              <w:spacing w:before="100" w:beforeAutospacing="1" w:after="100" w:afterAutospacing="1" w:line="240" w:lineRule="auto"/>
              <w:rPr>
                <w:rFonts w:ascii="Trebuchet MS" w:hAnsi="Trebuchet MS"/>
                <w:b/>
              </w:rPr>
            </w:pPr>
            <w:r w:rsidRPr="005E4381">
              <w:rPr>
                <w:rFonts w:ascii="Trebuchet MS" w:hAnsi="Trebuchet MS"/>
                <w:b/>
              </w:rPr>
              <w:t>Preparedness Approaches, in particular the E</w:t>
            </w:r>
            <w:r w:rsidR="004A510A" w:rsidRPr="005E4381">
              <w:rPr>
                <w:rFonts w:ascii="Trebuchet MS" w:hAnsi="Trebuchet MS"/>
                <w:b/>
              </w:rPr>
              <w:t xml:space="preserve">mergency </w:t>
            </w:r>
            <w:r w:rsidRPr="005E4381">
              <w:rPr>
                <w:rFonts w:ascii="Trebuchet MS" w:hAnsi="Trebuchet MS"/>
                <w:b/>
              </w:rPr>
              <w:t>R</w:t>
            </w:r>
            <w:r w:rsidR="004A510A" w:rsidRPr="005E4381">
              <w:rPr>
                <w:rFonts w:ascii="Trebuchet MS" w:hAnsi="Trebuchet MS"/>
                <w:b/>
              </w:rPr>
              <w:t xml:space="preserve">esponse </w:t>
            </w:r>
            <w:r w:rsidRPr="005E4381">
              <w:rPr>
                <w:rFonts w:ascii="Trebuchet MS" w:hAnsi="Trebuchet MS"/>
                <w:b/>
              </w:rPr>
              <w:t>P</w:t>
            </w:r>
            <w:r w:rsidR="004A510A" w:rsidRPr="005E4381">
              <w:rPr>
                <w:rFonts w:ascii="Trebuchet MS" w:hAnsi="Trebuchet MS"/>
                <w:b/>
              </w:rPr>
              <w:t>reparedness (ERP)</w:t>
            </w:r>
          </w:p>
          <w:p w14:paraId="1A75329C" w14:textId="7C5BF696" w:rsidR="004A510A" w:rsidRPr="000D0E7A" w:rsidRDefault="004A510A" w:rsidP="005E4381">
            <w:pPr>
              <w:pStyle w:val="ListParagraph"/>
              <w:numPr>
                <w:ilvl w:val="1"/>
                <w:numId w:val="7"/>
              </w:numPr>
              <w:rPr>
                <w:rFonts w:ascii="Trebuchet MS" w:eastAsiaTheme="minorEastAsia" w:hAnsi="Trebuchet MS" w:cstheme="minorHAnsi"/>
                <w:color w:val="000000" w:themeColor="text1"/>
                <w:sz w:val="20"/>
                <w:lang w:eastAsia="ja-JP"/>
              </w:rPr>
            </w:pPr>
            <w:r w:rsidRPr="000D0E7A">
              <w:rPr>
                <w:rFonts w:ascii="Trebuchet MS" w:eastAsiaTheme="minorEastAsia" w:hAnsi="Trebuchet MS" w:cstheme="minorHAnsi"/>
                <w:color w:val="000000" w:themeColor="text1"/>
                <w:sz w:val="20"/>
                <w:lang w:eastAsia="ja-JP"/>
              </w:rPr>
              <w:t>ERP Sub-group established in July 2016 to promote implementation of inter-agency preparedness in the field</w:t>
            </w:r>
            <w:r w:rsidR="00860ADA">
              <w:rPr>
                <w:rFonts w:ascii="Trebuchet MS" w:eastAsiaTheme="minorEastAsia" w:hAnsi="Trebuchet MS" w:cstheme="minorHAnsi"/>
                <w:color w:val="000000" w:themeColor="text1"/>
                <w:sz w:val="20"/>
                <w:lang w:eastAsia="ja-JP"/>
              </w:rPr>
              <w:t>. Lead agency: OCHA</w:t>
            </w:r>
          </w:p>
          <w:p w14:paraId="10B72EC5" w14:textId="3E8C1B01" w:rsidR="0035765E" w:rsidRPr="000D0E7A" w:rsidRDefault="004A510A" w:rsidP="005E4381">
            <w:pPr>
              <w:pStyle w:val="ListParagraph"/>
              <w:numPr>
                <w:ilvl w:val="1"/>
                <w:numId w:val="7"/>
              </w:numPr>
              <w:rPr>
                <w:rFonts w:ascii="Trebuchet MS" w:eastAsiaTheme="minorEastAsia" w:hAnsi="Trebuchet MS" w:cstheme="minorHAnsi"/>
                <w:color w:val="000000" w:themeColor="text1"/>
                <w:sz w:val="20"/>
                <w:lang w:eastAsia="ja-JP"/>
              </w:rPr>
            </w:pPr>
            <w:r w:rsidRPr="000D0E7A">
              <w:rPr>
                <w:rFonts w:ascii="Trebuchet MS" w:eastAsiaTheme="minorEastAsia" w:hAnsi="Trebuchet MS" w:cstheme="minorHAnsi"/>
                <w:color w:val="000000" w:themeColor="text1"/>
                <w:sz w:val="20"/>
                <w:lang w:eastAsia="ja-JP"/>
              </w:rPr>
              <w:t>ERP being implemented in 43 countries</w:t>
            </w:r>
            <w:bookmarkStart w:id="0" w:name="_GoBack"/>
            <w:bookmarkEnd w:id="0"/>
          </w:p>
          <w:p w14:paraId="1FF4C04B" w14:textId="7D03F5C3" w:rsidR="004A510A" w:rsidRPr="000D0E7A" w:rsidRDefault="004A510A" w:rsidP="005E4381">
            <w:pPr>
              <w:pStyle w:val="ListParagraph"/>
              <w:numPr>
                <w:ilvl w:val="1"/>
                <w:numId w:val="7"/>
              </w:numPr>
              <w:rPr>
                <w:rFonts w:ascii="Trebuchet MS" w:eastAsiaTheme="minorEastAsia" w:hAnsi="Trebuchet MS" w:cstheme="minorHAnsi"/>
                <w:color w:val="000000" w:themeColor="text1"/>
                <w:sz w:val="20"/>
                <w:lang w:eastAsia="ja-JP"/>
              </w:rPr>
            </w:pPr>
            <w:r w:rsidRPr="000D0E7A">
              <w:rPr>
                <w:rFonts w:ascii="Trebuchet MS" w:eastAsiaTheme="minorEastAsia" w:hAnsi="Trebuchet MS" w:cstheme="minorHAnsi"/>
                <w:color w:val="000000" w:themeColor="text1"/>
                <w:sz w:val="20"/>
                <w:lang w:eastAsia="ja-JP"/>
              </w:rPr>
              <w:t>25 more countries to start implementation in next 3 months</w:t>
            </w:r>
          </w:p>
          <w:p w14:paraId="5E89F3C3" w14:textId="42235A61" w:rsidR="0035765E" w:rsidRPr="000D0E7A" w:rsidRDefault="004A510A" w:rsidP="005E4381">
            <w:pPr>
              <w:pStyle w:val="ListParagraph"/>
              <w:numPr>
                <w:ilvl w:val="1"/>
                <w:numId w:val="7"/>
              </w:numPr>
              <w:rPr>
                <w:rFonts w:ascii="Trebuchet MS" w:eastAsiaTheme="minorEastAsia" w:hAnsi="Trebuchet MS" w:cstheme="minorHAnsi"/>
                <w:color w:val="000000" w:themeColor="text1"/>
                <w:sz w:val="20"/>
                <w:lang w:eastAsia="ja-JP"/>
              </w:rPr>
            </w:pPr>
            <w:r w:rsidRPr="000D0E7A">
              <w:rPr>
                <w:rFonts w:ascii="Trebuchet MS" w:eastAsiaTheme="minorEastAsia" w:hAnsi="Trebuchet MS" w:cstheme="minorHAnsi"/>
                <w:color w:val="000000" w:themeColor="text1"/>
                <w:sz w:val="20"/>
                <w:lang w:eastAsia="ja-JP"/>
              </w:rPr>
              <w:t>Online ERP Tool being tested. Launch planned in November</w:t>
            </w:r>
          </w:p>
          <w:p w14:paraId="6D596285" w14:textId="00124554" w:rsidR="0035765E" w:rsidRPr="000D0E7A" w:rsidRDefault="00355B0F" w:rsidP="005E4381">
            <w:pPr>
              <w:pStyle w:val="ListParagraph"/>
              <w:numPr>
                <w:ilvl w:val="1"/>
                <w:numId w:val="7"/>
              </w:numPr>
              <w:rPr>
                <w:rFonts w:ascii="Trebuchet MS" w:eastAsiaTheme="minorEastAsia" w:hAnsi="Trebuchet MS" w:cstheme="minorHAnsi"/>
                <w:color w:val="000000" w:themeColor="text1"/>
                <w:sz w:val="20"/>
                <w:lang w:eastAsia="ja-JP"/>
              </w:rPr>
            </w:pPr>
            <w:r w:rsidRPr="000D0E7A">
              <w:rPr>
                <w:rFonts w:ascii="Trebuchet MS" w:eastAsiaTheme="minorEastAsia" w:hAnsi="Trebuchet MS" w:cstheme="minorHAnsi"/>
                <w:color w:val="000000" w:themeColor="text1"/>
                <w:sz w:val="20"/>
                <w:lang w:eastAsia="ja-JP"/>
              </w:rPr>
              <w:t>More than 270 people trained on ERP approach in 7 locations</w:t>
            </w:r>
          </w:p>
          <w:p w14:paraId="19256AA0" w14:textId="62851967" w:rsidR="0035765E" w:rsidRPr="000D0E7A" w:rsidRDefault="00355B0F" w:rsidP="005E4381">
            <w:pPr>
              <w:pStyle w:val="ListParagraph"/>
              <w:numPr>
                <w:ilvl w:val="1"/>
                <w:numId w:val="7"/>
              </w:numPr>
              <w:rPr>
                <w:rFonts w:ascii="Trebuchet MS" w:eastAsiaTheme="minorEastAsia" w:hAnsi="Trebuchet MS" w:cstheme="minorHAnsi"/>
                <w:color w:val="000000" w:themeColor="text1"/>
                <w:sz w:val="20"/>
                <w:lang w:eastAsia="ja-JP"/>
              </w:rPr>
            </w:pPr>
            <w:r w:rsidRPr="000D0E7A">
              <w:rPr>
                <w:rFonts w:ascii="Trebuchet MS" w:eastAsiaTheme="minorEastAsia" w:hAnsi="Trebuchet MS" w:cstheme="minorHAnsi"/>
                <w:color w:val="000000" w:themeColor="text1"/>
                <w:sz w:val="20"/>
                <w:lang w:eastAsia="ja-JP"/>
              </w:rPr>
              <w:t>Upcoming support missions and training: Kenya, Morocco, Chad</w:t>
            </w:r>
          </w:p>
          <w:p w14:paraId="570655E5" w14:textId="3226AD43" w:rsidR="00606AB2" w:rsidRPr="000D0E7A" w:rsidRDefault="009852CD" w:rsidP="005E4381">
            <w:pPr>
              <w:pStyle w:val="ListParagraph"/>
              <w:ind w:left="1080"/>
              <w:rPr>
                <w:rFonts w:ascii="Trebuchet MS" w:eastAsiaTheme="minorEastAsia" w:hAnsi="Trebuchet MS" w:cstheme="minorHAnsi"/>
                <w:color w:val="000000" w:themeColor="text1"/>
                <w:sz w:val="20"/>
                <w:lang w:eastAsia="ja-JP"/>
              </w:rPr>
            </w:pPr>
            <w:r w:rsidRPr="000D0E7A">
              <w:rPr>
                <w:rFonts w:ascii="Trebuchet MS" w:eastAsiaTheme="minorEastAsia" w:hAnsi="Trebuchet MS" w:cstheme="minorHAnsi"/>
                <w:color w:val="000000" w:themeColor="text1"/>
                <w:sz w:val="20"/>
                <w:lang w:eastAsia="ja-JP"/>
              </w:rPr>
              <w:t xml:space="preserve">For more information, please refer to the </w:t>
            </w:r>
            <w:hyperlink r:id="rId19" w:history="1">
              <w:r w:rsidR="00355B0F" w:rsidRPr="000D0E7A">
                <w:rPr>
                  <w:rStyle w:val="Hyperlink"/>
                  <w:rFonts w:ascii="Trebuchet MS" w:eastAsiaTheme="minorEastAsia" w:hAnsi="Trebuchet MS" w:cstheme="minorHAnsi"/>
                  <w:sz w:val="20"/>
                  <w:lang w:eastAsia="ja-JP"/>
                </w:rPr>
                <w:t>presentation</w:t>
              </w:r>
            </w:hyperlink>
            <w:r w:rsidR="00355B0F" w:rsidRPr="000D0E7A">
              <w:rPr>
                <w:rFonts w:ascii="Trebuchet MS" w:eastAsiaTheme="minorEastAsia" w:hAnsi="Trebuchet MS" w:cstheme="minorHAnsi"/>
                <w:color w:val="000000" w:themeColor="text1"/>
                <w:sz w:val="20"/>
                <w:lang w:eastAsia="ja-JP"/>
              </w:rPr>
              <w:t xml:space="preserve"> posted on the IASC website. See also the </w:t>
            </w:r>
            <w:hyperlink r:id="rId20" w:history="1">
              <w:r w:rsidR="00355B0F" w:rsidRPr="000D0E7A">
                <w:rPr>
                  <w:rStyle w:val="Hyperlink"/>
                  <w:rFonts w:ascii="Trebuchet MS" w:eastAsiaTheme="minorEastAsia" w:hAnsi="Trebuchet MS" w:cstheme="minorHAnsi"/>
                  <w:sz w:val="20"/>
                  <w:lang w:eastAsia="ja-JP"/>
                </w:rPr>
                <w:t>ERP webpage</w:t>
              </w:r>
            </w:hyperlink>
            <w:r w:rsidR="00355B0F" w:rsidRPr="000D0E7A">
              <w:rPr>
                <w:rFonts w:ascii="Trebuchet MS" w:eastAsiaTheme="minorEastAsia" w:hAnsi="Trebuchet MS" w:cstheme="minorHAnsi"/>
                <w:color w:val="000000" w:themeColor="text1"/>
                <w:sz w:val="20"/>
                <w:lang w:eastAsia="ja-JP"/>
              </w:rPr>
              <w:t xml:space="preserve"> </w:t>
            </w:r>
          </w:p>
          <w:p w14:paraId="4A3C8DA6" w14:textId="77777777" w:rsidR="00355B0F" w:rsidRPr="000D0E7A" w:rsidRDefault="00355B0F" w:rsidP="00355B0F">
            <w:pPr>
              <w:pStyle w:val="ListParagraph"/>
              <w:ind w:left="1440"/>
              <w:rPr>
                <w:rFonts w:ascii="Trebuchet MS" w:eastAsiaTheme="minorEastAsia" w:hAnsi="Trebuchet MS" w:cstheme="minorHAnsi"/>
                <w:color w:val="0563C1" w:themeColor="hyperlink"/>
                <w:sz w:val="20"/>
                <w:u w:val="single"/>
                <w:lang w:eastAsia="ja-JP"/>
              </w:rPr>
            </w:pPr>
          </w:p>
          <w:p w14:paraId="53FD8198" w14:textId="6AEC8DFE" w:rsidR="009852CD" w:rsidRPr="005E4381" w:rsidRDefault="000E0574" w:rsidP="005E4381">
            <w:pPr>
              <w:pStyle w:val="ListParagraph"/>
              <w:numPr>
                <w:ilvl w:val="0"/>
                <w:numId w:val="7"/>
              </w:numPr>
              <w:rPr>
                <w:rFonts w:ascii="Trebuchet MS" w:eastAsiaTheme="minorEastAsia" w:hAnsi="Trebuchet MS" w:cstheme="minorHAnsi"/>
                <w:b/>
                <w:color w:val="000000" w:themeColor="text1"/>
                <w:u w:val="single"/>
                <w:lang w:eastAsia="ja-JP"/>
              </w:rPr>
            </w:pPr>
            <w:r w:rsidRPr="005E4381">
              <w:rPr>
                <w:rFonts w:ascii="Trebuchet MS" w:eastAsiaTheme="minorEastAsia" w:hAnsi="Trebuchet MS" w:cstheme="minorHAnsi"/>
                <w:b/>
                <w:color w:val="000000" w:themeColor="text1"/>
                <w:lang w:eastAsia="ja-JP"/>
              </w:rPr>
              <w:t>Simulation</w:t>
            </w:r>
          </w:p>
          <w:p w14:paraId="368A308B" w14:textId="77777777" w:rsidR="00CE026E" w:rsidRDefault="00CE026E" w:rsidP="000D0E7A">
            <w:pPr>
              <w:pStyle w:val="ListParagraph"/>
              <w:numPr>
                <w:ilvl w:val="1"/>
                <w:numId w:val="7"/>
              </w:numPr>
              <w:rPr>
                <w:rFonts w:ascii="Trebuchet MS" w:eastAsiaTheme="minorEastAsia" w:hAnsi="Trebuchet MS" w:cstheme="minorHAnsi"/>
                <w:color w:val="000000" w:themeColor="text1"/>
                <w:sz w:val="20"/>
                <w:lang w:eastAsia="ja-JP"/>
              </w:rPr>
            </w:pPr>
            <w:r>
              <w:rPr>
                <w:rFonts w:ascii="Trebuchet MS" w:eastAsiaTheme="minorEastAsia" w:hAnsi="Trebuchet MS" w:cstheme="minorHAnsi"/>
                <w:color w:val="000000" w:themeColor="text1"/>
                <w:sz w:val="20"/>
                <w:lang w:eastAsia="ja-JP"/>
              </w:rPr>
              <w:t>Led by WHO</w:t>
            </w:r>
          </w:p>
          <w:p w14:paraId="1C19F1F0" w14:textId="77777777" w:rsidR="00CE026E" w:rsidRDefault="00CE026E" w:rsidP="000D0E7A">
            <w:pPr>
              <w:pStyle w:val="ListParagraph"/>
              <w:numPr>
                <w:ilvl w:val="1"/>
                <w:numId w:val="7"/>
              </w:numPr>
              <w:rPr>
                <w:rFonts w:ascii="Trebuchet MS" w:eastAsiaTheme="minorEastAsia" w:hAnsi="Trebuchet MS" w:cstheme="minorHAnsi"/>
                <w:color w:val="000000" w:themeColor="text1"/>
                <w:sz w:val="20"/>
                <w:lang w:eastAsia="ja-JP"/>
              </w:rPr>
            </w:pPr>
            <w:r>
              <w:rPr>
                <w:rFonts w:ascii="Trebuchet MS" w:eastAsiaTheme="minorEastAsia" w:hAnsi="Trebuchet MS" w:cstheme="minorHAnsi"/>
                <w:color w:val="000000" w:themeColor="text1"/>
                <w:sz w:val="20"/>
                <w:lang w:eastAsia="ja-JP"/>
              </w:rPr>
              <w:t>Health Emergency Exercises to strengthen and assess IHR core capacities</w:t>
            </w:r>
          </w:p>
          <w:p w14:paraId="5B2B2FA2" w14:textId="4E01F826" w:rsidR="009852CD" w:rsidRPr="000D0E7A" w:rsidRDefault="009852CD" w:rsidP="000D0E7A">
            <w:pPr>
              <w:pStyle w:val="ListParagraph"/>
              <w:numPr>
                <w:ilvl w:val="1"/>
                <w:numId w:val="7"/>
              </w:numPr>
              <w:rPr>
                <w:rFonts w:ascii="Trebuchet MS" w:eastAsiaTheme="minorEastAsia" w:hAnsi="Trebuchet MS" w:cstheme="minorHAnsi"/>
                <w:color w:val="000000" w:themeColor="text1"/>
                <w:sz w:val="20"/>
                <w:lang w:eastAsia="ja-JP"/>
              </w:rPr>
            </w:pPr>
            <w:r w:rsidRPr="000D0E7A">
              <w:rPr>
                <w:rFonts w:ascii="Trebuchet MS" w:eastAsiaTheme="minorEastAsia" w:hAnsi="Trebuchet MS" w:cstheme="minorHAnsi"/>
                <w:color w:val="000000" w:themeColor="text1"/>
                <w:sz w:val="20"/>
                <w:lang w:eastAsia="ja-JP"/>
              </w:rPr>
              <w:t>Health Emergency Response Plans in</w:t>
            </w:r>
            <w:r w:rsidR="00CE026E">
              <w:rPr>
                <w:rFonts w:ascii="Trebuchet MS" w:eastAsiaTheme="minorEastAsia" w:hAnsi="Trebuchet MS" w:cstheme="minorHAnsi"/>
                <w:color w:val="000000" w:themeColor="text1"/>
                <w:sz w:val="20"/>
                <w:lang w:eastAsia="ja-JP"/>
              </w:rPr>
              <w:t xml:space="preserve"> </w:t>
            </w:r>
            <w:r w:rsidRPr="000D0E7A">
              <w:rPr>
                <w:rFonts w:ascii="Trebuchet MS" w:eastAsiaTheme="minorEastAsia" w:hAnsi="Trebuchet MS" w:cstheme="minorHAnsi"/>
                <w:color w:val="000000" w:themeColor="text1"/>
                <w:sz w:val="20"/>
                <w:lang w:eastAsia="ja-JP"/>
              </w:rPr>
              <w:t>vulnerable countries</w:t>
            </w:r>
          </w:p>
          <w:p w14:paraId="22CF466D" w14:textId="01CF64EC" w:rsidR="009852CD" w:rsidRPr="000D0E7A" w:rsidRDefault="009852CD" w:rsidP="000E5BC6">
            <w:pPr>
              <w:pStyle w:val="ListParagraph"/>
              <w:numPr>
                <w:ilvl w:val="2"/>
                <w:numId w:val="7"/>
              </w:numPr>
              <w:rPr>
                <w:rFonts w:ascii="Trebuchet MS" w:eastAsiaTheme="minorEastAsia" w:hAnsi="Trebuchet MS" w:cstheme="minorHAnsi"/>
                <w:color w:val="000000" w:themeColor="text1"/>
                <w:sz w:val="20"/>
                <w:lang w:eastAsia="ja-JP"/>
              </w:rPr>
            </w:pPr>
            <w:r w:rsidRPr="000D0E7A">
              <w:rPr>
                <w:rFonts w:ascii="Trebuchet MS" w:eastAsiaTheme="minorEastAsia" w:hAnsi="Trebuchet MS" w:cstheme="minorHAnsi"/>
                <w:color w:val="000000" w:themeColor="text1"/>
                <w:sz w:val="20"/>
                <w:lang w:eastAsia="ja-JP"/>
              </w:rPr>
              <w:t>Development of risk assessed multi-sectoral response plans</w:t>
            </w:r>
          </w:p>
          <w:p w14:paraId="04CD7EA5" w14:textId="0C5F55DA" w:rsidR="009852CD" w:rsidRPr="000D0E7A" w:rsidRDefault="009852CD" w:rsidP="000E5BC6">
            <w:pPr>
              <w:pStyle w:val="ListParagraph"/>
              <w:numPr>
                <w:ilvl w:val="2"/>
                <w:numId w:val="7"/>
              </w:numPr>
              <w:rPr>
                <w:rFonts w:ascii="Trebuchet MS" w:eastAsiaTheme="minorEastAsia" w:hAnsi="Trebuchet MS" w:cstheme="minorHAnsi"/>
                <w:color w:val="000000" w:themeColor="text1"/>
                <w:sz w:val="20"/>
                <w:lang w:eastAsia="ja-JP"/>
              </w:rPr>
            </w:pPr>
            <w:r w:rsidRPr="000D0E7A">
              <w:rPr>
                <w:rFonts w:ascii="Trebuchet MS" w:eastAsiaTheme="minorEastAsia" w:hAnsi="Trebuchet MS" w:cstheme="minorHAnsi"/>
                <w:color w:val="000000" w:themeColor="text1"/>
                <w:sz w:val="20"/>
                <w:lang w:eastAsia="ja-JP"/>
              </w:rPr>
              <w:t>Testing of operational readiness (MS, Partners and WHO)</w:t>
            </w:r>
          </w:p>
          <w:p w14:paraId="5A803883" w14:textId="406D54CE" w:rsidR="009852CD" w:rsidRPr="000D0E7A" w:rsidRDefault="009852CD" w:rsidP="000E5BC6">
            <w:pPr>
              <w:pStyle w:val="ListParagraph"/>
              <w:numPr>
                <w:ilvl w:val="2"/>
                <w:numId w:val="7"/>
              </w:numPr>
              <w:rPr>
                <w:rFonts w:ascii="Trebuchet MS" w:eastAsiaTheme="minorEastAsia" w:hAnsi="Trebuchet MS" w:cstheme="minorHAnsi"/>
                <w:color w:val="000000" w:themeColor="text1"/>
                <w:sz w:val="20"/>
                <w:lang w:eastAsia="ja-JP"/>
              </w:rPr>
            </w:pPr>
            <w:r w:rsidRPr="000D0E7A">
              <w:rPr>
                <w:rFonts w:ascii="Trebuchet MS" w:eastAsiaTheme="minorEastAsia" w:hAnsi="Trebuchet MS" w:cstheme="minorHAnsi"/>
                <w:color w:val="000000" w:themeColor="text1"/>
                <w:sz w:val="20"/>
                <w:lang w:eastAsia="ja-JP"/>
              </w:rPr>
              <w:t>Developing and testing internal WHO plans</w:t>
            </w:r>
          </w:p>
          <w:p w14:paraId="50DFC7BB" w14:textId="2BD5CD2F" w:rsidR="009852CD" w:rsidRPr="000E5BC6" w:rsidRDefault="000E5BC6" w:rsidP="000D0E7A">
            <w:pPr>
              <w:pStyle w:val="ListParagraph"/>
              <w:numPr>
                <w:ilvl w:val="1"/>
                <w:numId w:val="7"/>
              </w:numPr>
              <w:rPr>
                <w:rFonts w:ascii="Trebuchet MS" w:eastAsiaTheme="minorEastAsia" w:hAnsi="Trebuchet MS" w:cstheme="minorHAnsi"/>
                <w:b/>
                <w:color w:val="000000" w:themeColor="text1"/>
                <w:sz w:val="20"/>
                <w:u w:val="single"/>
                <w:lang w:eastAsia="ja-JP"/>
              </w:rPr>
            </w:pPr>
            <w:r>
              <w:rPr>
                <w:rFonts w:ascii="Trebuchet MS" w:eastAsiaTheme="minorEastAsia" w:hAnsi="Trebuchet MS" w:cstheme="minorHAnsi"/>
                <w:color w:val="000000" w:themeColor="text1"/>
                <w:sz w:val="20"/>
                <w:lang w:eastAsia="ja-JP"/>
              </w:rPr>
              <w:t>Future activities</w:t>
            </w:r>
          </w:p>
          <w:p w14:paraId="4C4B2AFB" w14:textId="3366C4FF" w:rsidR="000E5BC6" w:rsidRPr="000E5BC6" w:rsidRDefault="000E5BC6" w:rsidP="000E5BC6">
            <w:pPr>
              <w:pStyle w:val="ListParagraph"/>
              <w:numPr>
                <w:ilvl w:val="2"/>
                <w:numId w:val="7"/>
              </w:numPr>
              <w:rPr>
                <w:rFonts w:ascii="Trebuchet MS" w:eastAsiaTheme="minorEastAsia" w:hAnsi="Trebuchet MS" w:cstheme="minorHAnsi"/>
                <w:color w:val="000000" w:themeColor="text1"/>
                <w:sz w:val="20"/>
                <w:lang w:eastAsia="ja-JP"/>
              </w:rPr>
            </w:pPr>
            <w:r w:rsidRPr="000E5BC6">
              <w:rPr>
                <w:rFonts w:ascii="Trebuchet MS" w:eastAsiaTheme="minorEastAsia" w:hAnsi="Trebuchet MS" w:cstheme="minorHAnsi"/>
                <w:color w:val="000000" w:themeColor="text1"/>
                <w:sz w:val="20"/>
                <w:lang w:eastAsia="ja-JP"/>
              </w:rPr>
              <w:t>IASC standardization of exercise methodologies</w:t>
            </w:r>
          </w:p>
          <w:p w14:paraId="1D7CC986" w14:textId="14B93A30" w:rsidR="000E5BC6" w:rsidRPr="000E5BC6" w:rsidRDefault="000E5BC6" w:rsidP="000E5BC6">
            <w:pPr>
              <w:pStyle w:val="ListParagraph"/>
              <w:numPr>
                <w:ilvl w:val="2"/>
                <w:numId w:val="7"/>
              </w:numPr>
              <w:rPr>
                <w:rFonts w:ascii="Trebuchet MS" w:eastAsiaTheme="minorEastAsia" w:hAnsi="Trebuchet MS" w:cstheme="minorHAnsi"/>
                <w:color w:val="000000" w:themeColor="text1"/>
                <w:sz w:val="20"/>
                <w:lang w:eastAsia="ja-JP"/>
              </w:rPr>
            </w:pPr>
            <w:r w:rsidRPr="000E5BC6">
              <w:rPr>
                <w:rFonts w:ascii="Trebuchet MS" w:eastAsiaTheme="minorEastAsia" w:hAnsi="Trebuchet MS" w:cstheme="minorHAnsi"/>
                <w:color w:val="000000" w:themeColor="text1"/>
                <w:sz w:val="20"/>
                <w:lang w:eastAsia="ja-JP"/>
              </w:rPr>
              <w:t>Maintenance of a IASC exercise events calendar</w:t>
            </w:r>
          </w:p>
          <w:p w14:paraId="1EE75A14" w14:textId="574BE129" w:rsidR="000E5BC6" w:rsidRPr="000E5BC6" w:rsidRDefault="000E5BC6" w:rsidP="000E5BC6">
            <w:pPr>
              <w:pStyle w:val="ListParagraph"/>
              <w:numPr>
                <w:ilvl w:val="2"/>
                <w:numId w:val="7"/>
              </w:numPr>
              <w:rPr>
                <w:rFonts w:ascii="Trebuchet MS" w:eastAsiaTheme="minorEastAsia" w:hAnsi="Trebuchet MS" w:cstheme="minorHAnsi"/>
                <w:color w:val="000000" w:themeColor="text1"/>
                <w:sz w:val="20"/>
                <w:lang w:eastAsia="ja-JP"/>
              </w:rPr>
            </w:pPr>
            <w:r w:rsidRPr="000E5BC6">
              <w:rPr>
                <w:rFonts w:ascii="Trebuchet MS" w:eastAsiaTheme="minorEastAsia" w:hAnsi="Trebuchet MS" w:cstheme="minorHAnsi"/>
                <w:color w:val="000000" w:themeColor="text1"/>
                <w:sz w:val="20"/>
                <w:lang w:eastAsia="ja-JP"/>
              </w:rPr>
              <w:t>Establishment of exercise facilitation capacity</w:t>
            </w:r>
          </w:p>
          <w:p w14:paraId="6B0B1EAF" w14:textId="56C34233" w:rsidR="009852CD" w:rsidRPr="000D0E7A" w:rsidRDefault="009852CD" w:rsidP="000D0E7A">
            <w:pPr>
              <w:ind w:left="1080"/>
              <w:rPr>
                <w:rStyle w:val="Hyperlink"/>
                <w:rFonts w:ascii="Trebuchet MS" w:eastAsiaTheme="minorEastAsia" w:hAnsi="Trebuchet MS" w:cstheme="minorHAnsi"/>
                <w:sz w:val="20"/>
                <w:lang w:eastAsia="ja-JP"/>
              </w:rPr>
            </w:pPr>
            <w:r w:rsidRPr="000D0E7A">
              <w:rPr>
                <w:rFonts w:ascii="Trebuchet MS" w:eastAsiaTheme="minorEastAsia" w:hAnsi="Trebuchet MS" w:cstheme="minorHAnsi"/>
                <w:color w:val="000000" w:themeColor="text1"/>
                <w:sz w:val="20"/>
                <w:lang w:eastAsia="ja-JP"/>
              </w:rPr>
              <w:t>For more details, p</w:t>
            </w:r>
            <w:r w:rsidR="00EB63B3" w:rsidRPr="000D0E7A">
              <w:rPr>
                <w:rFonts w:ascii="Trebuchet MS" w:eastAsiaTheme="minorEastAsia" w:hAnsi="Trebuchet MS" w:cstheme="minorHAnsi"/>
                <w:color w:val="000000" w:themeColor="text1"/>
                <w:sz w:val="20"/>
                <w:lang w:eastAsia="ja-JP"/>
              </w:rPr>
              <w:t xml:space="preserve">lease refer to </w:t>
            </w:r>
            <w:r w:rsidR="000E5BC6">
              <w:rPr>
                <w:rFonts w:ascii="Trebuchet MS" w:eastAsiaTheme="minorEastAsia" w:hAnsi="Trebuchet MS" w:cstheme="minorHAnsi"/>
                <w:color w:val="000000" w:themeColor="text1"/>
                <w:sz w:val="20"/>
                <w:lang w:eastAsia="ja-JP"/>
              </w:rPr>
              <w:t xml:space="preserve">the </w:t>
            </w:r>
            <w:hyperlink r:id="rId21" w:history="1">
              <w:r w:rsidR="000E5BC6" w:rsidRPr="000E5BC6">
                <w:rPr>
                  <w:rStyle w:val="Hyperlink"/>
                  <w:rFonts w:ascii="Trebuchet MS" w:eastAsiaTheme="minorEastAsia" w:hAnsi="Trebuchet MS" w:cstheme="minorHAnsi"/>
                  <w:sz w:val="20"/>
                  <w:lang w:eastAsia="ja-JP"/>
                </w:rPr>
                <w:t>presentation</w:t>
              </w:r>
            </w:hyperlink>
            <w:r w:rsidR="002E570C" w:rsidRPr="000D0E7A">
              <w:rPr>
                <w:rFonts w:ascii="Trebuchet MS" w:eastAsiaTheme="minorEastAsia" w:hAnsi="Trebuchet MS" w:cstheme="minorHAnsi"/>
                <w:color w:val="000000" w:themeColor="text1"/>
                <w:sz w:val="20"/>
                <w:lang w:eastAsia="ja-JP"/>
              </w:rPr>
              <w:t xml:space="preserve"> </w:t>
            </w:r>
            <w:r w:rsidR="000E5BC6">
              <w:rPr>
                <w:rFonts w:ascii="Trebuchet MS" w:eastAsiaTheme="minorEastAsia" w:hAnsi="Trebuchet MS" w:cstheme="minorHAnsi"/>
                <w:color w:val="000000" w:themeColor="text1"/>
                <w:sz w:val="20"/>
                <w:lang w:eastAsia="ja-JP"/>
              </w:rPr>
              <w:t>on the IASC website.</w:t>
            </w:r>
          </w:p>
          <w:p w14:paraId="2F60619C" w14:textId="6E80855A" w:rsidR="00CC671A" w:rsidRPr="00CC671A" w:rsidRDefault="008315BB" w:rsidP="00CC671A">
            <w:pPr>
              <w:numPr>
                <w:ilvl w:val="0"/>
                <w:numId w:val="9"/>
              </w:numPr>
              <w:spacing w:before="100" w:beforeAutospacing="1" w:after="100" w:afterAutospacing="1" w:line="240" w:lineRule="auto"/>
              <w:rPr>
                <w:rFonts w:ascii="Trebuchet MS" w:hAnsi="Trebuchet MS"/>
                <w:sz w:val="20"/>
              </w:rPr>
            </w:pPr>
            <w:r w:rsidRPr="00953658">
              <w:rPr>
                <w:rFonts w:ascii="Trebuchet MS" w:hAnsi="Trebuchet MS"/>
                <w:b/>
              </w:rPr>
              <w:t>The Case for Preparednes</w:t>
            </w:r>
            <w:r w:rsidRPr="005E4381">
              <w:rPr>
                <w:rFonts w:ascii="Trebuchet MS" w:hAnsi="Trebuchet MS"/>
                <w:b/>
              </w:rPr>
              <w:t>s</w:t>
            </w:r>
            <w:r w:rsidR="00953658">
              <w:rPr>
                <w:rFonts w:ascii="Trebuchet MS" w:hAnsi="Trebuchet MS"/>
                <w:b/>
              </w:rPr>
              <w:br/>
            </w:r>
            <w:r w:rsidR="00953658" w:rsidRPr="00942216">
              <w:rPr>
                <w:rFonts w:ascii="Trebuchet MS" w:hAnsi="Trebuchet MS"/>
                <w:sz w:val="20"/>
              </w:rPr>
              <w:t xml:space="preserve">No firm lead volunteer for this </w:t>
            </w:r>
            <w:r w:rsidR="0011107E">
              <w:rPr>
                <w:rFonts w:ascii="Trebuchet MS" w:hAnsi="Trebuchet MS"/>
                <w:sz w:val="20"/>
              </w:rPr>
              <w:t>work stream</w:t>
            </w:r>
            <w:r w:rsidR="00942216">
              <w:rPr>
                <w:rFonts w:ascii="Trebuchet MS" w:hAnsi="Trebuchet MS"/>
                <w:sz w:val="20"/>
              </w:rPr>
              <w:t xml:space="preserve">. </w:t>
            </w:r>
            <w:r w:rsidR="00CC671A">
              <w:rPr>
                <w:rFonts w:ascii="Trebuchet MS" w:hAnsi="Trebuchet MS"/>
                <w:sz w:val="20"/>
              </w:rPr>
              <w:t xml:space="preserve">However, a brief update on the </w:t>
            </w:r>
            <w:r w:rsidR="0011107E">
              <w:rPr>
                <w:rFonts w:ascii="Trebuchet MS" w:hAnsi="Trebuchet MS"/>
                <w:sz w:val="20"/>
              </w:rPr>
              <w:t>Return</w:t>
            </w:r>
            <w:r w:rsidR="00CC671A">
              <w:rPr>
                <w:rFonts w:ascii="Trebuchet MS" w:hAnsi="Trebuchet MS"/>
                <w:sz w:val="20"/>
              </w:rPr>
              <w:t xml:space="preserve"> on Investment Study was provided by UNICEF.</w:t>
            </w:r>
            <w:r w:rsidR="00CC671A">
              <w:rPr>
                <w:rFonts w:ascii="Trebuchet MS" w:hAnsi="Trebuchet MS"/>
                <w:sz w:val="20"/>
              </w:rPr>
              <w:br/>
            </w:r>
          </w:p>
          <w:p w14:paraId="22D36638" w14:textId="5D181EC5" w:rsidR="00ED15F9" w:rsidRPr="003034DB" w:rsidRDefault="00ED15F9" w:rsidP="00ED15F9">
            <w:pPr>
              <w:numPr>
                <w:ilvl w:val="1"/>
                <w:numId w:val="9"/>
              </w:numPr>
              <w:spacing w:before="100" w:beforeAutospacing="1" w:after="100" w:afterAutospacing="1" w:line="360" w:lineRule="auto"/>
              <w:rPr>
                <w:rFonts w:ascii="Trebuchet MS" w:hAnsi="Trebuchet MS"/>
                <w:b/>
                <w:color w:val="1F4E79" w:themeColor="accent1" w:themeShade="80"/>
              </w:rPr>
            </w:pPr>
            <w:r w:rsidRPr="003034DB">
              <w:rPr>
                <w:rFonts w:ascii="Trebuchet MS" w:hAnsi="Trebuchet MS"/>
                <w:b/>
                <w:color w:val="1F4E79" w:themeColor="accent1" w:themeShade="80"/>
              </w:rPr>
              <w:t>Return on Investment Study (RoI)</w:t>
            </w:r>
          </w:p>
          <w:p w14:paraId="0A403622" w14:textId="54E22345" w:rsidR="00ED15F9" w:rsidRPr="000D0E7A" w:rsidRDefault="00ED15F9" w:rsidP="00ED15F9">
            <w:pPr>
              <w:pStyle w:val="NormalWeb"/>
              <w:numPr>
                <w:ilvl w:val="2"/>
                <w:numId w:val="9"/>
              </w:numPr>
              <w:jc w:val="both"/>
              <w:rPr>
                <w:rFonts w:ascii="Trebuchet MS" w:eastAsia="Calibri" w:hAnsi="Trebuchet MS"/>
                <w:color w:val="000000" w:themeColor="text1"/>
                <w:sz w:val="20"/>
                <w:szCs w:val="22"/>
                <w:lang w:eastAsia="en-GB"/>
              </w:rPr>
            </w:pPr>
            <w:r w:rsidRPr="000D0E7A">
              <w:rPr>
                <w:rFonts w:ascii="Trebuchet MS" w:eastAsia="Calibri" w:hAnsi="Trebuchet MS"/>
                <w:b/>
                <w:color w:val="000000" w:themeColor="text1"/>
                <w:sz w:val="20"/>
                <w:szCs w:val="22"/>
                <w:lang w:eastAsia="en-GB"/>
              </w:rPr>
              <w:t>The ROI</w:t>
            </w:r>
            <w:r w:rsidRPr="000D0E7A">
              <w:rPr>
                <w:rFonts w:ascii="Trebuchet MS" w:eastAsia="Calibri" w:hAnsi="Trebuchet MS"/>
                <w:color w:val="000000" w:themeColor="text1"/>
                <w:sz w:val="20"/>
                <w:szCs w:val="22"/>
                <w:lang w:eastAsia="en-GB"/>
              </w:rPr>
              <w:t xml:space="preserve"> study was launched in 2013 with funding from DFID. The study started under a joint UNICEF &amp; WFP project. The focus of the project was to improve Emergency readiness in more than 25 high risk countries</w:t>
            </w:r>
            <w:r w:rsidR="00BC409F" w:rsidRPr="000D0E7A">
              <w:rPr>
                <w:rFonts w:ascii="Trebuchet MS" w:eastAsia="Calibri" w:hAnsi="Trebuchet MS"/>
                <w:color w:val="000000" w:themeColor="text1"/>
                <w:sz w:val="20"/>
                <w:szCs w:val="22"/>
                <w:lang w:eastAsia="en-GB"/>
              </w:rPr>
              <w:t>.</w:t>
            </w:r>
            <w:r w:rsidRPr="000D0E7A">
              <w:rPr>
                <w:rFonts w:ascii="Trebuchet MS" w:eastAsia="Calibri" w:hAnsi="Trebuchet MS"/>
                <w:color w:val="000000" w:themeColor="text1"/>
                <w:sz w:val="20"/>
                <w:szCs w:val="22"/>
                <w:lang w:eastAsia="en-GB"/>
              </w:rPr>
              <w:t xml:space="preserve"> </w:t>
            </w:r>
            <w:r w:rsidR="00BC409F" w:rsidRPr="000D0E7A">
              <w:rPr>
                <w:rFonts w:ascii="Trebuchet MS" w:eastAsia="Calibri" w:hAnsi="Trebuchet MS"/>
                <w:color w:val="000000" w:themeColor="text1"/>
                <w:sz w:val="20"/>
                <w:szCs w:val="22"/>
                <w:lang w:eastAsia="en-GB"/>
              </w:rPr>
              <w:t>T</w:t>
            </w:r>
            <w:r w:rsidRPr="000D0E7A">
              <w:rPr>
                <w:rFonts w:ascii="Trebuchet MS" w:eastAsia="Calibri" w:hAnsi="Trebuchet MS"/>
                <w:color w:val="000000" w:themeColor="text1"/>
                <w:sz w:val="20"/>
                <w:szCs w:val="22"/>
                <w:lang w:eastAsia="en-GB"/>
              </w:rPr>
              <w:t>he project also made the wider case for Preparedness, proving the time and cost savings derived from such investment.</w:t>
            </w:r>
          </w:p>
          <w:p w14:paraId="5A31B551" w14:textId="530B3A3A" w:rsidR="00ED15F9" w:rsidRPr="000D0E7A" w:rsidRDefault="00ED15F9" w:rsidP="0000623A">
            <w:pPr>
              <w:pStyle w:val="ListParagraph"/>
              <w:numPr>
                <w:ilvl w:val="2"/>
                <w:numId w:val="9"/>
              </w:numPr>
              <w:rPr>
                <w:rFonts w:ascii="Trebuchet MS" w:hAnsi="Trebuchet MS"/>
                <w:color w:val="000000" w:themeColor="text1"/>
                <w:sz w:val="20"/>
                <w:lang w:val="en-GB"/>
              </w:rPr>
            </w:pPr>
            <w:r w:rsidRPr="000D0E7A">
              <w:rPr>
                <w:rFonts w:ascii="Trebuchet MS" w:eastAsia="Calibri" w:hAnsi="Trebuchet MS"/>
                <w:b/>
                <w:color w:val="000000" w:themeColor="text1"/>
                <w:sz w:val="20"/>
                <w:lang w:eastAsia="en-GB"/>
              </w:rPr>
              <w:t>What is the ROI</w:t>
            </w:r>
            <w:r w:rsidRPr="000D0E7A">
              <w:rPr>
                <w:rFonts w:ascii="Trebuchet MS" w:eastAsia="Calibri" w:hAnsi="Trebuchet MS"/>
                <w:color w:val="000000" w:themeColor="text1"/>
                <w:sz w:val="20"/>
                <w:lang w:eastAsia="en-GB"/>
              </w:rPr>
              <w:t xml:space="preserve">: A model to calculate the exact financial returns and time savings from specific preparedness efforts at CO level, including emergency supply prepositioning, </w:t>
            </w:r>
            <w:r w:rsidRPr="000D0E7A">
              <w:rPr>
                <w:rFonts w:ascii="Trebuchet MS" w:eastAsia="Calibri" w:hAnsi="Trebuchet MS"/>
                <w:color w:val="000000" w:themeColor="text1"/>
                <w:sz w:val="20"/>
                <w:lang w:eastAsia="en-GB"/>
              </w:rPr>
              <w:lastRenderedPageBreak/>
              <w:t xml:space="preserve">infrastructure development, staff training, and contingency arrangements. </w:t>
            </w:r>
            <w:r w:rsidRPr="000D0E7A">
              <w:rPr>
                <w:rFonts w:ascii="Trebuchet MS" w:hAnsi="Trebuchet MS"/>
                <w:color w:val="000000" w:themeColor="text1"/>
                <w:sz w:val="20"/>
                <w:lang w:val="en-GB"/>
              </w:rPr>
              <w:t>This tool will guide on investment decision and how much money we are saving when we invest in preparedness.</w:t>
            </w:r>
          </w:p>
          <w:p w14:paraId="72F5C573" w14:textId="64E8D39E" w:rsidR="00BC409F" w:rsidRPr="000D0E7A" w:rsidRDefault="00BC409F" w:rsidP="00BC409F">
            <w:pPr>
              <w:pStyle w:val="NormalWeb"/>
              <w:numPr>
                <w:ilvl w:val="2"/>
                <w:numId w:val="9"/>
              </w:numPr>
              <w:jc w:val="both"/>
              <w:rPr>
                <w:rFonts w:ascii="Trebuchet MS" w:eastAsia="Calibri" w:hAnsi="Trebuchet MS"/>
                <w:color w:val="000000" w:themeColor="text1"/>
                <w:sz w:val="20"/>
                <w:szCs w:val="22"/>
                <w:lang w:eastAsia="en-GB"/>
              </w:rPr>
            </w:pPr>
            <w:r w:rsidRPr="000D0E7A">
              <w:rPr>
                <w:rFonts w:ascii="Trebuchet MS" w:eastAsia="Calibri" w:hAnsi="Trebuchet MS"/>
                <w:color w:val="000000" w:themeColor="text1"/>
                <w:sz w:val="20"/>
                <w:szCs w:val="22"/>
                <w:lang w:eastAsia="en-GB"/>
              </w:rPr>
              <w:t>The model is being used in a second phase, which is underway and involves now 4 agencies (UNICEF, UNHCR</w:t>
            </w:r>
            <w:r w:rsidR="003034DB">
              <w:rPr>
                <w:rFonts w:ascii="Trebuchet MS" w:eastAsia="Calibri" w:hAnsi="Trebuchet MS"/>
                <w:color w:val="000000" w:themeColor="text1"/>
                <w:sz w:val="20"/>
                <w:szCs w:val="22"/>
                <w:lang w:eastAsia="en-GB"/>
              </w:rPr>
              <w:t>,</w:t>
            </w:r>
            <w:r w:rsidRPr="000D0E7A">
              <w:rPr>
                <w:rFonts w:ascii="Trebuchet MS" w:eastAsia="Calibri" w:hAnsi="Trebuchet MS"/>
                <w:color w:val="000000" w:themeColor="text1"/>
                <w:sz w:val="20"/>
                <w:szCs w:val="22"/>
                <w:lang w:eastAsia="en-GB"/>
              </w:rPr>
              <w:t xml:space="preserve"> WFP &amp; UNOCHA). The approach is similar but with a wider field of analysis.</w:t>
            </w:r>
          </w:p>
          <w:p w14:paraId="01615691" w14:textId="41B3D978" w:rsidR="00ED15F9" w:rsidRPr="000D0E7A" w:rsidRDefault="00BC409F" w:rsidP="00ED15F9">
            <w:pPr>
              <w:numPr>
                <w:ilvl w:val="2"/>
                <w:numId w:val="9"/>
              </w:numPr>
              <w:spacing w:before="100" w:beforeAutospacing="1" w:after="100" w:afterAutospacing="1" w:line="360" w:lineRule="auto"/>
              <w:rPr>
                <w:rFonts w:ascii="Trebuchet MS" w:hAnsi="Trebuchet MS"/>
                <w:sz w:val="20"/>
              </w:rPr>
            </w:pPr>
            <w:r w:rsidRPr="000D0E7A">
              <w:rPr>
                <w:rFonts w:ascii="Trebuchet MS" w:hAnsi="Trebuchet MS"/>
                <w:sz w:val="20"/>
              </w:rPr>
              <w:t xml:space="preserve">For more information, </w:t>
            </w:r>
            <w:hyperlink r:id="rId22" w:history="1">
              <w:r w:rsidRPr="000D0E7A">
                <w:rPr>
                  <w:rStyle w:val="Hyperlink"/>
                  <w:rFonts w:ascii="Trebuchet MS" w:hAnsi="Trebuchet MS"/>
                  <w:sz w:val="20"/>
                </w:rPr>
                <w:t>download the flyer about the study</w:t>
              </w:r>
            </w:hyperlink>
          </w:p>
          <w:p w14:paraId="796F7960" w14:textId="77777777" w:rsidR="008315BB" w:rsidRPr="005E4381" w:rsidRDefault="008315BB" w:rsidP="00CF61EB">
            <w:pPr>
              <w:numPr>
                <w:ilvl w:val="0"/>
                <w:numId w:val="9"/>
              </w:numPr>
              <w:spacing w:before="100" w:beforeAutospacing="1" w:after="100" w:afterAutospacing="1" w:line="360" w:lineRule="auto"/>
              <w:rPr>
                <w:rFonts w:ascii="Trebuchet MS" w:hAnsi="Trebuchet MS"/>
                <w:b/>
              </w:rPr>
            </w:pPr>
            <w:r w:rsidRPr="005E4381">
              <w:rPr>
                <w:rFonts w:ascii="Trebuchet MS" w:hAnsi="Trebuchet MS"/>
                <w:b/>
              </w:rPr>
              <w:t>Technology</w:t>
            </w:r>
          </w:p>
          <w:p w14:paraId="0CA2E715" w14:textId="22C68D43" w:rsidR="008315BB" w:rsidRPr="003034DB" w:rsidRDefault="00A077F0" w:rsidP="003034DB">
            <w:pPr>
              <w:pStyle w:val="NoSpacing"/>
              <w:numPr>
                <w:ilvl w:val="1"/>
                <w:numId w:val="9"/>
              </w:numPr>
              <w:rPr>
                <w:rFonts w:ascii="Trebuchet MS" w:hAnsi="Trebuchet MS"/>
                <w:b/>
                <w:color w:val="1F4E79" w:themeColor="accent1" w:themeShade="80"/>
              </w:rPr>
            </w:pPr>
            <w:r w:rsidRPr="003034DB">
              <w:rPr>
                <w:rFonts w:ascii="Trebuchet MS" w:hAnsi="Trebuchet MS"/>
                <w:b/>
                <w:color w:val="1F4E79" w:themeColor="accent1" w:themeShade="80"/>
              </w:rPr>
              <w:t>ALERT</w:t>
            </w:r>
            <w:r w:rsidR="0011107E">
              <w:rPr>
                <w:rFonts w:ascii="Trebuchet MS" w:hAnsi="Trebuchet MS"/>
                <w:b/>
                <w:color w:val="1F4E79" w:themeColor="accent1" w:themeShade="80"/>
              </w:rPr>
              <w:t xml:space="preserve"> Project </w:t>
            </w:r>
          </w:p>
          <w:p w14:paraId="3E107EC7" w14:textId="28D1181F" w:rsidR="006E45B9" w:rsidRPr="006E45B9" w:rsidRDefault="006E45B9" w:rsidP="006E45B9">
            <w:pPr>
              <w:pStyle w:val="NoSpacing"/>
              <w:ind w:left="1080"/>
              <w:rPr>
                <w:rStyle w:val="Strong"/>
                <w:rFonts w:ascii="Trebuchet MS" w:eastAsia="Times New Roman" w:hAnsi="Trebuchet MS"/>
                <w:sz w:val="18"/>
                <w:szCs w:val="20"/>
              </w:rPr>
            </w:pPr>
            <w:r w:rsidRPr="006E45B9">
              <w:rPr>
                <w:rFonts w:ascii="Trebuchet MS" w:hAnsi="Trebuchet MS"/>
                <w:sz w:val="20"/>
              </w:rPr>
              <w:t>ALERT is an innovative information management system that improves disaster preparedness, helping humanitarian agencies to respond with greater speed, efficiency and effectiveness, before and immediately after a disaster strikes. It aims to streamline the emergency preparedness and response process and enhance coordination and learning across humanitarian agencies and donors. ALERT is one of the key innovation projects under the START Network, and is funded by the UK Department for International Development (DFID) as part of its Disaster and Emergency Preparedness Programme (DEPP) Portfolio.</w:t>
            </w:r>
            <w:r>
              <w:rPr>
                <w:rFonts w:ascii="Trebuchet MS" w:hAnsi="Trebuchet MS"/>
                <w:sz w:val="20"/>
              </w:rPr>
              <w:t xml:space="preserve"> See </w:t>
            </w:r>
            <w:hyperlink r:id="rId23" w:history="1">
              <w:r w:rsidRPr="006E45B9">
                <w:rPr>
                  <w:rStyle w:val="Hyperlink"/>
                  <w:rFonts w:ascii="Trebuchet MS" w:hAnsi="Trebuchet MS"/>
                  <w:sz w:val="20"/>
                </w:rPr>
                <w:t>ALERT Flyer for more information</w:t>
              </w:r>
            </w:hyperlink>
            <w:r>
              <w:rPr>
                <w:rFonts w:ascii="Trebuchet MS" w:hAnsi="Trebuchet MS"/>
                <w:sz w:val="20"/>
              </w:rPr>
              <w:t>.</w:t>
            </w:r>
          </w:p>
          <w:p w14:paraId="0D0C4049" w14:textId="77777777" w:rsidR="00BB7A74" w:rsidRDefault="00BB7A74" w:rsidP="00CF61EB">
            <w:pPr>
              <w:pStyle w:val="NoSpacing"/>
              <w:spacing w:line="276" w:lineRule="auto"/>
              <w:ind w:left="1080"/>
              <w:rPr>
                <w:rFonts w:ascii="Trebuchet MS" w:eastAsiaTheme="minorEastAsia" w:hAnsi="Trebuchet MS" w:cstheme="minorHAnsi"/>
                <w:color w:val="000000" w:themeColor="text1"/>
                <w:u w:val="single"/>
                <w:lang w:eastAsia="ja-JP"/>
              </w:rPr>
            </w:pPr>
          </w:p>
          <w:p w14:paraId="5B0EBB13" w14:textId="34C83DF2" w:rsidR="003034DB" w:rsidRPr="00BB7A74" w:rsidRDefault="00BB7A74" w:rsidP="00CF61EB">
            <w:pPr>
              <w:pStyle w:val="NoSpacing"/>
              <w:spacing w:line="276" w:lineRule="auto"/>
              <w:ind w:left="1080"/>
              <w:rPr>
                <w:rFonts w:ascii="Trebuchet MS" w:eastAsiaTheme="minorEastAsia" w:hAnsi="Trebuchet MS" w:cstheme="minorHAnsi"/>
                <w:color w:val="000000" w:themeColor="text1"/>
                <w:u w:val="single"/>
                <w:lang w:eastAsia="ja-JP"/>
              </w:rPr>
            </w:pPr>
            <w:r w:rsidRPr="00BB7A74">
              <w:rPr>
                <w:rStyle w:val="Strong"/>
                <w:rFonts w:ascii="Trebuchet MS" w:eastAsia="Times New Roman" w:hAnsi="Trebuchet MS"/>
                <w:sz w:val="20"/>
                <w:szCs w:val="20"/>
              </w:rPr>
              <w:t>ALERT</w:t>
            </w:r>
            <w:r w:rsidR="006E45B9" w:rsidRPr="00BB7A74">
              <w:rPr>
                <w:rStyle w:val="Strong"/>
                <w:rFonts w:ascii="Trebuchet MS" w:eastAsia="Times New Roman" w:hAnsi="Trebuchet MS"/>
                <w:sz w:val="20"/>
                <w:szCs w:val="20"/>
              </w:rPr>
              <w:t> workshop</w:t>
            </w:r>
            <w:r>
              <w:rPr>
                <w:rStyle w:val="Strong"/>
                <w:rFonts w:ascii="Trebuchet MS" w:eastAsia="Times New Roman" w:hAnsi="Trebuchet MS"/>
                <w:sz w:val="20"/>
                <w:szCs w:val="20"/>
              </w:rPr>
              <w:t xml:space="preserve"> mid-November in Geneva</w:t>
            </w:r>
            <w:r w:rsidR="006E45B9" w:rsidRPr="00BB7A74">
              <w:rPr>
                <w:rFonts w:ascii="Trebuchet MS" w:eastAsia="Times New Roman" w:hAnsi="Trebuchet MS"/>
                <w:sz w:val="20"/>
                <w:szCs w:val="20"/>
              </w:rPr>
              <w:br/>
            </w:r>
            <w:r w:rsidRPr="00BB7A74">
              <w:rPr>
                <w:rFonts w:ascii="Trebuchet MS" w:eastAsia="Times New Roman" w:hAnsi="Trebuchet MS"/>
                <w:sz w:val="20"/>
                <w:szCs w:val="20"/>
              </w:rPr>
              <w:t xml:space="preserve">Purpose: </w:t>
            </w:r>
            <w:r w:rsidR="006E45B9" w:rsidRPr="00BB7A74">
              <w:rPr>
                <w:rFonts w:ascii="Trebuchet MS" w:eastAsia="Times New Roman" w:hAnsi="Trebuchet MS"/>
                <w:sz w:val="20"/>
                <w:szCs w:val="20"/>
              </w:rPr>
              <w:t>Review the ALERT prototype (UN version) with a view of designing how the software could be used for developing a national emergency preparedness plans with the humanitarian country team (not individual agency). The software is designed to be modular and some of the modules might not be appropriate or could be designed to collate information from other preparedness software e.g. ALERT (NGO), WFP, UNCEF, UNHCR's PPRE and OCHA ERP etc.</w:t>
            </w:r>
            <w:r w:rsidR="006E45B9" w:rsidRPr="00BB7A74">
              <w:rPr>
                <w:rFonts w:ascii="Trebuchet MS" w:eastAsia="Times New Roman" w:hAnsi="Trebuchet MS"/>
                <w:sz w:val="20"/>
                <w:szCs w:val="20"/>
              </w:rPr>
              <w:br/>
              <w:t> </w:t>
            </w:r>
            <w:r w:rsidR="006E45B9" w:rsidRPr="00BB7A74">
              <w:rPr>
                <w:rFonts w:ascii="Trebuchet MS" w:eastAsia="Times New Roman" w:hAnsi="Trebuchet MS"/>
                <w:sz w:val="20"/>
                <w:szCs w:val="20"/>
              </w:rPr>
              <w:br/>
            </w:r>
          </w:p>
          <w:p w14:paraId="21E47721" w14:textId="77777777" w:rsidR="009852CD" w:rsidRPr="005E4381" w:rsidRDefault="00B248E5" w:rsidP="00CF61EB">
            <w:pPr>
              <w:pStyle w:val="ListParagraph"/>
              <w:numPr>
                <w:ilvl w:val="0"/>
                <w:numId w:val="7"/>
              </w:numPr>
              <w:rPr>
                <w:rFonts w:ascii="Trebuchet MS" w:eastAsiaTheme="minorEastAsia" w:hAnsi="Trebuchet MS" w:cstheme="minorHAnsi"/>
                <w:b/>
                <w:color w:val="000000" w:themeColor="text1"/>
                <w:lang w:eastAsia="ja-JP"/>
              </w:rPr>
            </w:pPr>
            <w:r w:rsidRPr="005E4381">
              <w:rPr>
                <w:rFonts w:ascii="Trebuchet MS" w:eastAsiaTheme="minorEastAsia" w:hAnsi="Trebuchet MS" w:cstheme="minorHAnsi"/>
                <w:b/>
                <w:color w:val="000000" w:themeColor="text1"/>
                <w:lang w:eastAsia="ja-JP"/>
              </w:rPr>
              <w:t>AOB</w:t>
            </w:r>
          </w:p>
          <w:p w14:paraId="4D3158F7" w14:textId="38CBCE54" w:rsidR="00B248E5" w:rsidRPr="005E4381" w:rsidRDefault="00B248E5" w:rsidP="00CF61EB">
            <w:pPr>
              <w:pStyle w:val="ListParagraph"/>
              <w:rPr>
                <w:rFonts w:ascii="Trebuchet MS" w:eastAsiaTheme="minorEastAsia" w:hAnsi="Trebuchet MS" w:cstheme="minorHAnsi"/>
                <w:color w:val="000000" w:themeColor="text1"/>
                <w:lang w:eastAsia="ja-JP"/>
              </w:rPr>
            </w:pPr>
            <w:r w:rsidRPr="005E4381">
              <w:rPr>
                <w:rFonts w:ascii="Trebuchet MS" w:eastAsiaTheme="minorEastAsia" w:hAnsi="Trebuchet MS" w:cstheme="minorHAnsi"/>
                <w:color w:val="000000" w:themeColor="text1"/>
                <w:lang w:eastAsia="ja-JP"/>
              </w:rPr>
              <w:t>Awareness opportunities include</w:t>
            </w:r>
          </w:p>
          <w:p w14:paraId="130C8AB0" w14:textId="77777777" w:rsidR="00A077F0" w:rsidRPr="005E4381" w:rsidRDefault="00B248E5" w:rsidP="00E2217F">
            <w:pPr>
              <w:pStyle w:val="ListParagraph"/>
              <w:numPr>
                <w:ilvl w:val="1"/>
                <w:numId w:val="7"/>
              </w:numPr>
              <w:rPr>
                <w:rFonts w:ascii="Trebuchet MS" w:eastAsiaTheme="minorEastAsia" w:hAnsi="Trebuchet MS" w:cstheme="minorHAnsi"/>
                <w:color w:val="000000" w:themeColor="text1"/>
                <w:lang w:eastAsia="ja-JP"/>
              </w:rPr>
            </w:pPr>
            <w:r w:rsidRPr="005E4381">
              <w:rPr>
                <w:rFonts w:ascii="Trebuchet MS" w:eastAsiaTheme="minorEastAsia" w:hAnsi="Trebuchet MS" w:cstheme="minorHAnsi"/>
                <w:color w:val="000000" w:themeColor="text1"/>
                <w:lang w:eastAsia="ja-JP"/>
              </w:rPr>
              <w:t>International Day for Disaster Reduction</w:t>
            </w:r>
            <w:r w:rsidR="00A077F0" w:rsidRPr="005E4381">
              <w:rPr>
                <w:rFonts w:ascii="Trebuchet MS" w:eastAsiaTheme="minorEastAsia" w:hAnsi="Trebuchet MS" w:cstheme="minorHAnsi"/>
                <w:color w:val="000000" w:themeColor="text1"/>
                <w:lang w:eastAsia="ja-JP"/>
              </w:rPr>
              <w:t xml:space="preserve"> 13 October</w:t>
            </w:r>
          </w:p>
          <w:p w14:paraId="103EFA80" w14:textId="77777777" w:rsidR="00213D47" w:rsidRPr="005E4381" w:rsidRDefault="00A077F0" w:rsidP="00E2217F">
            <w:pPr>
              <w:pStyle w:val="ListParagraph"/>
              <w:numPr>
                <w:ilvl w:val="1"/>
                <w:numId w:val="7"/>
              </w:numPr>
              <w:rPr>
                <w:rFonts w:ascii="Trebuchet MS" w:eastAsiaTheme="minorEastAsia" w:hAnsi="Trebuchet MS" w:cstheme="minorHAnsi"/>
                <w:color w:val="000000" w:themeColor="text1"/>
                <w:lang w:eastAsia="ja-JP"/>
              </w:rPr>
            </w:pPr>
            <w:r w:rsidRPr="005E4381">
              <w:rPr>
                <w:rFonts w:ascii="Trebuchet MS" w:eastAsiaTheme="minorEastAsia" w:hAnsi="Trebuchet MS" w:cstheme="minorHAnsi"/>
                <w:color w:val="000000" w:themeColor="text1"/>
                <w:lang w:eastAsia="ja-JP"/>
              </w:rPr>
              <w:t>World Tsunami Awareness D</w:t>
            </w:r>
            <w:r w:rsidR="00B248E5" w:rsidRPr="005E4381">
              <w:rPr>
                <w:rFonts w:ascii="Trebuchet MS" w:eastAsiaTheme="minorEastAsia" w:hAnsi="Trebuchet MS" w:cstheme="minorHAnsi"/>
                <w:color w:val="000000" w:themeColor="text1"/>
                <w:lang w:eastAsia="ja-JP"/>
              </w:rPr>
              <w:t>ay</w:t>
            </w:r>
            <w:r w:rsidRPr="005E4381">
              <w:rPr>
                <w:rFonts w:ascii="Trebuchet MS" w:eastAsiaTheme="minorEastAsia" w:hAnsi="Trebuchet MS" w:cstheme="minorHAnsi"/>
                <w:color w:val="000000" w:themeColor="text1"/>
                <w:lang w:eastAsia="ja-JP"/>
              </w:rPr>
              <w:t xml:space="preserve"> 5 November</w:t>
            </w:r>
          </w:p>
          <w:p w14:paraId="7C5091FF" w14:textId="57824F0D" w:rsidR="00606AB2" w:rsidRPr="005E4381" w:rsidRDefault="00606AB2" w:rsidP="00606AB2">
            <w:pPr>
              <w:pStyle w:val="ListParagraph"/>
              <w:ind w:left="2880"/>
              <w:rPr>
                <w:rFonts w:ascii="Trebuchet MS" w:eastAsiaTheme="minorEastAsia" w:hAnsi="Trebuchet MS" w:cstheme="minorHAnsi"/>
                <w:color w:val="000000" w:themeColor="text1"/>
                <w:lang w:eastAsia="ja-JP"/>
              </w:rPr>
            </w:pPr>
          </w:p>
        </w:tc>
      </w:tr>
      <w:tr w:rsidR="00424BE4" w:rsidRPr="005E4381" w14:paraId="377B6357" w14:textId="77777777" w:rsidTr="003034DB">
        <w:trPr>
          <w:trHeight w:val="302"/>
          <w:tblHeader/>
        </w:trPr>
        <w:tc>
          <w:tcPr>
            <w:tcW w:w="6025" w:type="dxa"/>
            <w:gridSpan w:val="2"/>
            <w:shd w:val="clear" w:color="auto" w:fill="auto"/>
          </w:tcPr>
          <w:p w14:paraId="35189FC3" w14:textId="576C7A53" w:rsidR="00424BE4" w:rsidRPr="005E4381" w:rsidRDefault="00424BE4" w:rsidP="00B21805">
            <w:pPr>
              <w:jc w:val="center"/>
              <w:rPr>
                <w:rFonts w:ascii="Trebuchet MS" w:eastAsiaTheme="minorEastAsia" w:hAnsi="Trebuchet MS" w:cstheme="minorHAnsi"/>
                <w:b/>
                <w:u w:val="single"/>
                <w:lang w:eastAsia="ja-JP"/>
              </w:rPr>
            </w:pPr>
            <w:r w:rsidRPr="005E4381">
              <w:rPr>
                <w:rFonts w:ascii="Trebuchet MS" w:eastAsiaTheme="minorEastAsia" w:hAnsi="Trebuchet MS" w:cstheme="minorHAnsi"/>
                <w:b/>
                <w:u w:val="single"/>
                <w:lang w:eastAsia="ja-JP"/>
              </w:rPr>
              <w:lastRenderedPageBreak/>
              <w:t>Action points</w:t>
            </w:r>
          </w:p>
        </w:tc>
        <w:tc>
          <w:tcPr>
            <w:tcW w:w="2520" w:type="dxa"/>
            <w:shd w:val="clear" w:color="auto" w:fill="auto"/>
          </w:tcPr>
          <w:p w14:paraId="0CB5BC6E" w14:textId="77777777" w:rsidR="00424BE4" w:rsidRPr="005E4381" w:rsidRDefault="00424BE4" w:rsidP="00B21805">
            <w:pPr>
              <w:jc w:val="center"/>
              <w:rPr>
                <w:rFonts w:ascii="Trebuchet MS" w:eastAsiaTheme="minorEastAsia" w:hAnsi="Trebuchet MS" w:cstheme="minorHAnsi"/>
                <w:b/>
                <w:u w:val="single"/>
                <w:lang w:eastAsia="ja-JP"/>
              </w:rPr>
            </w:pPr>
            <w:r w:rsidRPr="005E4381">
              <w:rPr>
                <w:rFonts w:ascii="Trebuchet MS" w:eastAsiaTheme="minorEastAsia" w:hAnsi="Trebuchet MS" w:cstheme="minorHAnsi"/>
                <w:b/>
                <w:u w:val="single"/>
                <w:lang w:eastAsia="ja-JP"/>
              </w:rPr>
              <w:t>Responsibility</w:t>
            </w:r>
          </w:p>
        </w:tc>
        <w:tc>
          <w:tcPr>
            <w:tcW w:w="1798" w:type="dxa"/>
            <w:shd w:val="clear" w:color="auto" w:fill="auto"/>
          </w:tcPr>
          <w:p w14:paraId="330A9177" w14:textId="77777777" w:rsidR="00424BE4" w:rsidRPr="005E4381" w:rsidRDefault="00424BE4" w:rsidP="00B21805">
            <w:pPr>
              <w:jc w:val="center"/>
              <w:rPr>
                <w:rFonts w:ascii="Trebuchet MS" w:eastAsiaTheme="minorEastAsia" w:hAnsi="Trebuchet MS" w:cstheme="minorHAnsi"/>
                <w:b/>
                <w:u w:val="single"/>
                <w:lang w:eastAsia="ja-JP"/>
              </w:rPr>
            </w:pPr>
            <w:r w:rsidRPr="005E4381">
              <w:rPr>
                <w:rFonts w:ascii="Trebuchet MS" w:eastAsiaTheme="minorEastAsia" w:hAnsi="Trebuchet MS" w:cstheme="minorHAnsi"/>
                <w:b/>
                <w:u w:val="single"/>
                <w:lang w:eastAsia="ja-JP"/>
              </w:rPr>
              <w:t>Timeline</w:t>
            </w:r>
          </w:p>
        </w:tc>
      </w:tr>
      <w:tr w:rsidR="00B16BD1" w:rsidRPr="005E4381" w14:paraId="20DEC256" w14:textId="77777777" w:rsidTr="003034DB">
        <w:trPr>
          <w:trHeight w:val="509"/>
          <w:tblHeader/>
        </w:trPr>
        <w:tc>
          <w:tcPr>
            <w:tcW w:w="570" w:type="dxa"/>
            <w:shd w:val="clear" w:color="auto" w:fill="auto"/>
          </w:tcPr>
          <w:p w14:paraId="54CFF5AC" w14:textId="78D8133B" w:rsidR="00B16BD1" w:rsidRPr="005E4381" w:rsidRDefault="002379EA" w:rsidP="00B21805">
            <w:pPr>
              <w:jc w:val="both"/>
              <w:rPr>
                <w:rFonts w:ascii="Trebuchet MS" w:eastAsiaTheme="minorEastAsia" w:hAnsi="Trebuchet MS" w:cstheme="minorHAnsi"/>
                <w:lang w:eastAsia="ja-JP"/>
              </w:rPr>
            </w:pPr>
            <w:r w:rsidRPr="00D9795B">
              <w:rPr>
                <w:rFonts w:ascii="Trebuchet MS" w:eastAsiaTheme="minorEastAsia" w:hAnsi="Trebuchet MS" w:cstheme="minorHAnsi"/>
                <w:sz w:val="20"/>
                <w:lang w:eastAsia="ja-JP"/>
              </w:rPr>
              <w:t>1</w:t>
            </w:r>
          </w:p>
        </w:tc>
        <w:tc>
          <w:tcPr>
            <w:tcW w:w="5455" w:type="dxa"/>
            <w:shd w:val="clear" w:color="auto" w:fill="auto"/>
          </w:tcPr>
          <w:p w14:paraId="4910A452" w14:textId="5889CAC8" w:rsidR="00B16BD1" w:rsidRPr="00D9795B" w:rsidRDefault="008667A2" w:rsidP="005E4381">
            <w:pPr>
              <w:rPr>
                <w:rFonts w:ascii="Trebuchet MS" w:eastAsiaTheme="minorEastAsia" w:hAnsi="Trebuchet MS" w:cstheme="minorHAnsi"/>
                <w:sz w:val="20"/>
                <w:lang w:eastAsia="ja-JP"/>
              </w:rPr>
            </w:pPr>
            <w:r w:rsidRPr="00D9795B">
              <w:rPr>
                <w:rFonts w:ascii="Trebuchet MS" w:eastAsiaTheme="minorEastAsia" w:hAnsi="Trebuchet MS" w:cstheme="minorHAnsi"/>
                <w:sz w:val="20"/>
                <w:lang w:eastAsia="ja-JP"/>
              </w:rPr>
              <w:t>P</w:t>
            </w:r>
            <w:r w:rsidR="00BE7E3A" w:rsidRPr="00D9795B">
              <w:rPr>
                <w:rFonts w:ascii="Trebuchet MS" w:eastAsiaTheme="minorEastAsia" w:hAnsi="Trebuchet MS" w:cstheme="minorHAnsi"/>
                <w:sz w:val="20"/>
                <w:lang w:eastAsia="ja-JP"/>
              </w:rPr>
              <w:t>rovide re</w:t>
            </w:r>
            <w:r w:rsidR="004977DA" w:rsidRPr="00D9795B">
              <w:rPr>
                <w:rFonts w:ascii="Trebuchet MS" w:eastAsiaTheme="minorEastAsia" w:hAnsi="Trebuchet MS" w:cstheme="minorHAnsi"/>
                <w:sz w:val="20"/>
                <w:lang w:eastAsia="ja-JP"/>
              </w:rPr>
              <w:t>vised IASC WG work plan</w:t>
            </w:r>
            <w:r w:rsidR="00276406" w:rsidRPr="00D9795B">
              <w:rPr>
                <w:rFonts w:ascii="Trebuchet MS" w:eastAsiaTheme="minorEastAsia" w:hAnsi="Trebuchet MS" w:cstheme="minorHAnsi"/>
                <w:sz w:val="20"/>
                <w:lang w:eastAsia="ja-JP"/>
              </w:rPr>
              <w:t>, including comments made at the meeting and by email</w:t>
            </w:r>
            <w:r w:rsidR="004977DA" w:rsidRPr="00D9795B">
              <w:rPr>
                <w:rFonts w:ascii="Trebuchet MS" w:eastAsiaTheme="minorEastAsia" w:hAnsi="Trebuchet MS" w:cstheme="minorHAnsi"/>
                <w:sz w:val="20"/>
                <w:lang w:eastAsia="ja-JP"/>
              </w:rPr>
              <w:t xml:space="preserve"> </w:t>
            </w:r>
          </w:p>
        </w:tc>
        <w:tc>
          <w:tcPr>
            <w:tcW w:w="2520" w:type="dxa"/>
            <w:shd w:val="clear" w:color="auto" w:fill="auto"/>
          </w:tcPr>
          <w:p w14:paraId="1E7CB9A7" w14:textId="362400BC" w:rsidR="00B16BD1" w:rsidRPr="00D9795B" w:rsidRDefault="008667A2" w:rsidP="005E4381">
            <w:pPr>
              <w:rPr>
                <w:rFonts w:ascii="Trebuchet MS" w:eastAsiaTheme="minorEastAsia" w:hAnsi="Trebuchet MS" w:cstheme="minorHAnsi"/>
                <w:sz w:val="20"/>
                <w:lang w:eastAsia="ja-JP"/>
              </w:rPr>
            </w:pPr>
            <w:r w:rsidRPr="00D9795B">
              <w:rPr>
                <w:rFonts w:ascii="Trebuchet MS" w:eastAsiaTheme="minorEastAsia" w:hAnsi="Trebuchet MS" w:cstheme="minorHAnsi"/>
                <w:sz w:val="20"/>
                <w:lang w:eastAsia="ja-JP"/>
              </w:rPr>
              <w:t>Co-Chairs WFP &amp; UNDP</w:t>
            </w:r>
          </w:p>
        </w:tc>
        <w:tc>
          <w:tcPr>
            <w:tcW w:w="1798" w:type="dxa"/>
            <w:shd w:val="clear" w:color="auto" w:fill="auto"/>
          </w:tcPr>
          <w:p w14:paraId="31EB09AB" w14:textId="39E1C718" w:rsidR="00B16BD1" w:rsidRPr="00D9795B" w:rsidRDefault="007F2873" w:rsidP="005E4381">
            <w:pPr>
              <w:rPr>
                <w:rFonts w:ascii="Trebuchet MS" w:eastAsiaTheme="minorEastAsia" w:hAnsi="Trebuchet MS" w:cstheme="minorHAnsi"/>
                <w:sz w:val="20"/>
                <w:lang w:eastAsia="ja-JP"/>
              </w:rPr>
            </w:pPr>
            <w:r>
              <w:rPr>
                <w:rFonts w:ascii="Trebuchet MS" w:eastAsiaTheme="minorEastAsia" w:hAnsi="Trebuchet MS" w:cstheme="minorHAnsi"/>
                <w:sz w:val="20"/>
                <w:lang w:eastAsia="ja-JP"/>
              </w:rPr>
              <w:t>Early November</w:t>
            </w:r>
            <w:r w:rsidR="00BE7E3A" w:rsidRPr="00D9795B">
              <w:rPr>
                <w:rFonts w:ascii="Trebuchet MS" w:eastAsiaTheme="minorEastAsia" w:hAnsi="Trebuchet MS" w:cstheme="minorHAnsi"/>
                <w:sz w:val="20"/>
                <w:lang w:eastAsia="ja-JP"/>
              </w:rPr>
              <w:t xml:space="preserve"> 2016 </w:t>
            </w:r>
          </w:p>
        </w:tc>
      </w:tr>
      <w:tr w:rsidR="00080BE8" w:rsidRPr="005E4381" w14:paraId="5468CE6C" w14:textId="77777777" w:rsidTr="003034DB">
        <w:trPr>
          <w:trHeight w:val="581"/>
          <w:tblHeader/>
        </w:trPr>
        <w:tc>
          <w:tcPr>
            <w:tcW w:w="570" w:type="dxa"/>
            <w:shd w:val="clear" w:color="auto" w:fill="auto"/>
          </w:tcPr>
          <w:p w14:paraId="139EC3AB" w14:textId="7AEBCD29" w:rsidR="00080BE8" w:rsidRPr="005E4381" w:rsidRDefault="00606AB2" w:rsidP="00B21805">
            <w:pPr>
              <w:jc w:val="both"/>
              <w:rPr>
                <w:rFonts w:ascii="Trebuchet MS" w:eastAsiaTheme="minorEastAsia" w:hAnsi="Trebuchet MS" w:cstheme="minorHAnsi"/>
                <w:lang w:eastAsia="ja-JP"/>
              </w:rPr>
            </w:pPr>
            <w:r w:rsidRPr="00D9795B">
              <w:rPr>
                <w:rFonts w:ascii="Trebuchet MS" w:eastAsiaTheme="minorEastAsia" w:hAnsi="Trebuchet MS" w:cstheme="minorHAnsi"/>
                <w:sz w:val="20"/>
                <w:lang w:eastAsia="ja-JP"/>
              </w:rPr>
              <w:t>2</w:t>
            </w:r>
          </w:p>
        </w:tc>
        <w:tc>
          <w:tcPr>
            <w:tcW w:w="5455" w:type="dxa"/>
            <w:shd w:val="clear" w:color="auto" w:fill="auto"/>
          </w:tcPr>
          <w:p w14:paraId="4CC54067" w14:textId="2F5EF325" w:rsidR="00080BE8" w:rsidRPr="00D9795B" w:rsidRDefault="008667A2" w:rsidP="00BB7A74">
            <w:pPr>
              <w:rPr>
                <w:rFonts w:ascii="Trebuchet MS" w:eastAsiaTheme="minorEastAsia" w:hAnsi="Trebuchet MS" w:cstheme="minorHAnsi"/>
                <w:sz w:val="20"/>
                <w:lang w:eastAsia="ja-JP"/>
              </w:rPr>
            </w:pPr>
            <w:r w:rsidRPr="00D9795B">
              <w:rPr>
                <w:rFonts w:ascii="Trebuchet MS" w:hAnsi="Trebuchet MS"/>
                <w:sz w:val="20"/>
              </w:rPr>
              <w:t xml:space="preserve">Workshop on ALERT </w:t>
            </w:r>
            <w:r w:rsidR="00276406" w:rsidRPr="00D9795B">
              <w:rPr>
                <w:rFonts w:ascii="Trebuchet MS" w:hAnsi="Trebuchet MS"/>
                <w:sz w:val="20"/>
              </w:rPr>
              <w:t>Tool</w:t>
            </w:r>
            <w:r w:rsidR="00BB7A74">
              <w:rPr>
                <w:rFonts w:ascii="Trebuchet MS" w:hAnsi="Trebuchet MS"/>
                <w:sz w:val="20"/>
              </w:rPr>
              <w:t xml:space="preserve"> – Need to identify UN agency in Geneva to assist for the hosting. </w:t>
            </w:r>
          </w:p>
        </w:tc>
        <w:tc>
          <w:tcPr>
            <w:tcW w:w="2520" w:type="dxa"/>
            <w:shd w:val="clear" w:color="auto" w:fill="auto"/>
          </w:tcPr>
          <w:p w14:paraId="46447B9F" w14:textId="48A5575A" w:rsidR="00080BE8" w:rsidRPr="00D9795B" w:rsidRDefault="008667A2" w:rsidP="005E4381">
            <w:pPr>
              <w:rPr>
                <w:rFonts w:ascii="Trebuchet MS" w:eastAsiaTheme="minorEastAsia" w:hAnsi="Trebuchet MS" w:cstheme="minorHAnsi"/>
                <w:sz w:val="20"/>
                <w:lang w:eastAsia="ja-JP"/>
              </w:rPr>
            </w:pPr>
            <w:r w:rsidRPr="00D9795B">
              <w:rPr>
                <w:rFonts w:ascii="Trebuchet MS" w:eastAsiaTheme="minorEastAsia" w:hAnsi="Trebuchet MS" w:cstheme="minorHAnsi"/>
                <w:sz w:val="20"/>
                <w:lang w:eastAsia="ja-JP"/>
              </w:rPr>
              <w:t>H</w:t>
            </w:r>
            <w:r w:rsidR="009D6764" w:rsidRPr="00D9795B">
              <w:rPr>
                <w:rFonts w:ascii="Trebuchet MS" w:eastAsiaTheme="minorEastAsia" w:hAnsi="Trebuchet MS" w:cstheme="minorHAnsi"/>
                <w:sz w:val="20"/>
                <w:lang w:eastAsia="ja-JP"/>
              </w:rPr>
              <w:t>elpA</w:t>
            </w:r>
            <w:r w:rsidRPr="00D9795B">
              <w:rPr>
                <w:rFonts w:ascii="Trebuchet MS" w:eastAsiaTheme="minorEastAsia" w:hAnsi="Trebuchet MS" w:cstheme="minorHAnsi"/>
                <w:sz w:val="20"/>
                <w:lang w:eastAsia="ja-JP"/>
              </w:rPr>
              <w:t>ge</w:t>
            </w:r>
          </w:p>
        </w:tc>
        <w:tc>
          <w:tcPr>
            <w:tcW w:w="1798" w:type="dxa"/>
            <w:shd w:val="clear" w:color="auto" w:fill="auto"/>
          </w:tcPr>
          <w:p w14:paraId="21E474FD" w14:textId="02B2069D" w:rsidR="00080BE8" w:rsidRPr="00D9795B" w:rsidRDefault="00BE7E3A" w:rsidP="005E4381">
            <w:pPr>
              <w:rPr>
                <w:rFonts w:ascii="Trebuchet MS" w:eastAsiaTheme="minorEastAsia" w:hAnsi="Trebuchet MS" w:cstheme="minorHAnsi"/>
                <w:sz w:val="20"/>
                <w:lang w:eastAsia="ja-JP"/>
              </w:rPr>
            </w:pPr>
            <w:r w:rsidRPr="00D9795B">
              <w:rPr>
                <w:rFonts w:ascii="Trebuchet MS" w:eastAsiaTheme="minorEastAsia" w:hAnsi="Trebuchet MS" w:cstheme="minorHAnsi"/>
                <w:sz w:val="20"/>
                <w:lang w:eastAsia="ja-JP"/>
              </w:rPr>
              <w:t xml:space="preserve">Mid November (TBC) </w:t>
            </w:r>
          </w:p>
        </w:tc>
      </w:tr>
      <w:tr w:rsidR="0011107E" w:rsidRPr="005E4381" w14:paraId="509E0107" w14:textId="77777777" w:rsidTr="003034DB">
        <w:trPr>
          <w:trHeight w:val="581"/>
          <w:tblHeader/>
        </w:trPr>
        <w:tc>
          <w:tcPr>
            <w:tcW w:w="570" w:type="dxa"/>
            <w:shd w:val="clear" w:color="auto" w:fill="auto"/>
          </w:tcPr>
          <w:p w14:paraId="6532D053" w14:textId="5982C0E0" w:rsidR="0011107E" w:rsidRPr="00D9795B" w:rsidRDefault="0011107E" w:rsidP="00B21805">
            <w:pPr>
              <w:jc w:val="both"/>
              <w:rPr>
                <w:rFonts w:ascii="Trebuchet MS" w:eastAsiaTheme="minorEastAsia" w:hAnsi="Trebuchet MS" w:cstheme="minorHAnsi"/>
                <w:sz w:val="20"/>
                <w:lang w:eastAsia="ja-JP"/>
              </w:rPr>
            </w:pPr>
            <w:r>
              <w:rPr>
                <w:rFonts w:ascii="Trebuchet MS" w:eastAsiaTheme="minorEastAsia" w:hAnsi="Trebuchet MS" w:cstheme="minorHAnsi"/>
                <w:sz w:val="20"/>
                <w:lang w:eastAsia="ja-JP"/>
              </w:rPr>
              <w:t>3</w:t>
            </w:r>
          </w:p>
        </w:tc>
        <w:tc>
          <w:tcPr>
            <w:tcW w:w="5455" w:type="dxa"/>
            <w:shd w:val="clear" w:color="auto" w:fill="auto"/>
          </w:tcPr>
          <w:p w14:paraId="696EE12F" w14:textId="40E9FDDD" w:rsidR="0011107E" w:rsidRPr="00D9795B" w:rsidRDefault="0011107E" w:rsidP="0011107E">
            <w:pPr>
              <w:rPr>
                <w:rFonts w:ascii="Trebuchet MS" w:hAnsi="Trebuchet MS"/>
                <w:sz w:val="20"/>
              </w:rPr>
            </w:pPr>
            <w:r>
              <w:rPr>
                <w:rFonts w:ascii="Trebuchet MS" w:hAnsi="Trebuchet MS"/>
                <w:sz w:val="20"/>
              </w:rPr>
              <w:t>Identify lead agency for the following work streams: The Case for Preparedness, Technology and Operational Lessons</w:t>
            </w:r>
          </w:p>
        </w:tc>
        <w:tc>
          <w:tcPr>
            <w:tcW w:w="2520" w:type="dxa"/>
            <w:shd w:val="clear" w:color="auto" w:fill="auto"/>
          </w:tcPr>
          <w:p w14:paraId="5DC1AA87" w14:textId="6D2DC63A" w:rsidR="0011107E" w:rsidRPr="00D9795B" w:rsidRDefault="0011107E" w:rsidP="00954E02">
            <w:pPr>
              <w:rPr>
                <w:rFonts w:ascii="Trebuchet MS" w:eastAsiaTheme="minorEastAsia" w:hAnsi="Trebuchet MS" w:cstheme="minorHAnsi"/>
                <w:sz w:val="20"/>
                <w:lang w:eastAsia="ja-JP"/>
              </w:rPr>
            </w:pPr>
            <w:r>
              <w:rPr>
                <w:rFonts w:ascii="Trebuchet MS" w:eastAsiaTheme="minorEastAsia" w:hAnsi="Trebuchet MS" w:cstheme="minorHAnsi"/>
                <w:sz w:val="20"/>
                <w:lang w:eastAsia="ja-JP"/>
              </w:rPr>
              <w:t>C</w:t>
            </w:r>
            <w:r w:rsidR="00954E02">
              <w:rPr>
                <w:rFonts w:ascii="Trebuchet MS" w:eastAsiaTheme="minorEastAsia" w:hAnsi="Trebuchet MS" w:cstheme="minorHAnsi"/>
                <w:sz w:val="20"/>
                <w:lang w:eastAsia="ja-JP"/>
              </w:rPr>
              <w:t>o</w:t>
            </w:r>
            <w:r>
              <w:rPr>
                <w:rFonts w:ascii="Trebuchet MS" w:eastAsiaTheme="minorEastAsia" w:hAnsi="Trebuchet MS" w:cstheme="minorHAnsi"/>
                <w:sz w:val="20"/>
                <w:lang w:eastAsia="ja-JP"/>
              </w:rPr>
              <w:t>-chairs</w:t>
            </w:r>
          </w:p>
        </w:tc>
        <w:tc>
          <w:tcPr>
            <w:tcW w:w="1798" w:type="dxa"/>
            <w:shd w:val="clear" w:color="auto" w:fill="auto"/>
          </w:tcPr>
          <w:p w14:paraId="69B7F0CE" w14:textId="2FB68356" w:rsidR="0011107E" w:rsidRPr="00D9795B" w:rsidRDefault="0011107E" w:rsidP="005E4381">
            <w:pPr>
              <w:rPr>
                <w:rFonts w:ascii="Trebuchet MS" w:eastAsiaTheme="minorEastAsia" w:hAnsi="Trebuchet MS" w:cstheme="minorHAnsi"/>
                <w:sz w:val="20"/>
                <w:lang w:eastAsia="ja-JP"/>
              </w:rPr>
            </w:pPr>
            <w:r>
              <w:rPr>
                <w:rFonts w:ascii="Trebuchet MS" w:eastAsiaTheme="minorEastAsia" w:hAnsi="Trebuchet MS" w:cstheme="minorHAnsi"/>
                <w:sz w:val="20"/>
                <w:lang w:eastAsia="ja-JP"/>
              </w:rPr>
              <w:t>November</w:t>
            </w:r>
          </w:p>
        </w:tc>
      </w:tr>
    </w:tbl>
    <w:p w14:paraId="2F95F4E5" w14:textId="77777777" w:rsidR="00176995" w:rsidRPr="00FA45D6" w:rsidRDefault="00176995" w:rsidP="00C1746A">
      <w:pPr>
        <w:rPr>
          <w:rFonts w:asciiTheme="majorHAnsi" w:hAnsiTheme="majorHAnsi"/>
        </w:rPr>
      </w:pPr>
    </w:p>
    <w:sectPr w:rsidR="00176995" w:rsidRPr="00FA45D6" w:rsidSect="00687927">
      <w:footerReference w:type="default" r:id="rId24"/>
      <w:pgSz w:w="12240" w:h="15840"/>
      <w:pgMar w:top="576"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A204D" w14:textId="77777777" w:rsidR="004B55B7" w:rsidRDefault="004B55B7" w:rsidP="00303C99">
      <w:pPr>
        <w:spacing w:after="0" w:line="240" w:lineRule="auto"/>
      </w:pPr>
      <w:r>
        <w:separator/>
      </w:r>
    </w:p>
  </w:endnote>
  <w:endnote w:type="continuationSeparator" w:id="0">
    <w:p w14:paraId="793926CC" w14:textId="77777777" w:rsidR="004B55B7" w:rsidRDefault="004B55B7" w:rsidP="00303C99">
      <w:pPr>
        <w:spacing w:after="0" w:line="240" w:lineRule="auto"/>
      </w:pPr>
      <w:r>
        <w:continuationSeparator/>
      </w:r>
    </w:p>
  </w:endnote>
  <w:endnote w:type="continuationNotice" w:id="1">
    <w:p w14:paraId="2A774F88" w14:textId="77777777" w:rsidR="004B55B7" w:rsidRDefault="004B55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533903"/>
      <w:docPartObj>
        <w:docPartGallery w:val="Page Numbers (Bottom of Page)"/>
        <w:docPartUnique/>
      </w:docPartObj>
    </w:sdtPr>
    <w:sdtEndPr>
      <w:rPr>
        <w:noProof/>
      </w:rPr>
    </w:sdtEndPr>
    <w:sdtContent>
      <w:p w14:paraId="65B368BD" w14:textId="43ED561F" w:rsidR="00303C99" w:rsidRDefault="00547A81">
        <w:pPr>
          <w:pStyle w:val="Footer"/>
          <w:jc w:val="center"/>
        </w:pPr>
        <w:r>
          <w:fldChar w:fldCharType="begin"/>
        </w:r>
        <w:r>
          <w:instrText xml:space="preserve"> PAGE   \* MERGEFORMAT </w:instrText>
        </w:r>
        <w:r>
          <w:fldChar w:fldCharType="separate"/>
        </w:r>
        <w:r w:rsidR="007F2873">
          <w:rPr>
            <w:noProof/>
          </w:rPr>
          <w:t>2</w:t>
        </w:r>
        <w:r>
          <w:rPr>
            <w:noProof/>
          </w:rPr>
          <w:fldChar w:fldCharType="end"/>
        </w:r>
      </w:p>
    </w:sdtContent>
  </w:sdt>
  <w:p w14:paraId="2EC610F9" w14:textId="77777777" w:rsidR="00303C99" w:rsidRDefault="00303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3AAA5" w14:textId="77777777" w:rsidR="004B55B7" w:rsidRDefault="004B55B7" w:rsidP="00303C99">
      <w:pPr>
        <w:spacing w:after="0" w:line="240" w:lineRule="auto"/>
      </w:pPr>
      <w:r>
        <w:separator/>
      </w:r>
    </w:p>
  </w:footnote>
  <w:footnote w:type="continuationSeparator" w:id="0">
    <w:p w14:paraId="7F5482CE" w14:textId="77777777" w:rsidR="004B55B7" w:rsidRDefault="004B55B7" w:rsidP="00303C99">
      <w:pPr>
        <w:spacing w:after="0" w:line="240" w:lineRule="auto"/>
      </w:pPr>
      <w:r>
        <w:continuationSeparator/>
      </w:r>
    </w:p>
  </w:footnote>
  <w:footnote w:type="continuationNotice" w:id="1">
    <w:p w14:paraId="58D6C185" w14:textId="77777777" w:rsidR="004B55B7" w:rsidRDefault="004B55B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4FD8"/>
    <w:multiLevelType w:val="hybridMultilevel"/>
    <w:tmpl w:val="CE80A586"/>
    <w:lvl w:ilvl="0" w:tplc="04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A57AB"/>
    <w:multiLevelType w:val="hybridMultilevel"/>
    <w:tmpl w:val="68D8C6A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63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305121"/>
    <w:multiLevelType w:val="hybridMultilevel"/>
    <w:tmpl w:val="2FD44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225F43"/>
    <w:multiLevelType w:val="hybridMultilevel"/>
    <w:tmpl w:val="09681B06"/>
    <w:lvl w:ilvl="0" w:tplc="113C9D2E">
      <w:start w:val="4"/>
      <w:numFmt w:val="bullet"/>
      <w:lvlText w:val="-"/>
      <w:lvlJc w:val="left"/>
      <w:pPr>
        <w:ind w:left="720" w:hanging="360"/>
      </w:pPr>
      <w:rPr>
        <w:rFonts w:ascii="Calibri Light" w:eastAsiaTheme="minorEastAsia" w:hAnsi="Calibri Light" w:cstheme="minorHAnsi"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63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C9E0848"/>
    <w:multiLevelType w:val="hybridMultilevel"/>
    <w:tmpl w:val="B3069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1259B"/>
    <w:multiLevelType w:val="hybridMultilevel"/>
    <w:tmpl w:val="6612240A"/>
    <w:lvl w:ilvl="0" w:tplc="7DE88F7E">
      <w:start w:val="17"/>
      <w:numFmt w:val="bullet"/>
      <w:lvlText w:val="-"/>
      <w:lvlJc w:val="left"/>
      <w:pPr>
        <w:ind w:left="1770" w:hanging="360"/>
      </w:pPr>
      <w:rPr>
        <w:rFonts w:ascii="Calibri Light" w:eastAsiaTheme="minorEastAsia" w:hAnsi="Calibri Light" w:cstheme="minorHAnsi" w:hint="default"/>
        <w:b w:val="0"/>
        <w:u w:val="none"/>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6" w15:restartNumberingAfterBreak="0">
    <w:nsid w:val="23D555BE"/>
    <w:multiLevelType w:val="hybridMultilevel"/>
    <w:tmpl w:val="2A2C32D2"/>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E6994"/>
    <w:multiLevelType w:val="hybridMultilevel"/>
    <w:tmpl w:val="448E5404"/>
    <w:lvl w:ilvl="0" w:tplc="04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9AB3922"/>
    <w:multiLevelType w:val="multilevel"/>
    <w:tmpl w:val="AB4C1F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F837E6"/>
    <w:multiLevelType w:val="multilevel"/>
    <w:tmpl w:val="431014F6"/>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start w:val="1"/>
      <w:numFmt w:val="bullet"/>
      <w:lvlText w:val=""/>
      <w:lvlJc w:val="left"/>
      <w:pPr>
        <w:tabs>
          <w:tab w:val="num" w:pos="3960"/>
        </w:tabs>
        <w:ind w:left="3960" w:hanging="360"/>
      </w:pPr>
      <w:rPr>
        <w:rFonts w:ascii="Symbol" w:hAnsi="Symbol" w:hint="default"/>
        <w:sz w:val="20"/>
      </w:rPr>
    </w:lvl>
    <w:lvl w:ilvl="3">
      <w:start w:val="1"/>
      <w:numFmt w:val="bullet"/>
      <w:lvlText w:val=""/>
      <w:lvlJc w:val="left"/>
      <w:pPr>
        <w:tabs>
          <w:tab w:val="num" w:pos="4680"/>
        </w:tabs>
        <w:ind w:left="4680" w:hanging="360"/>
      </w:pPr>
      <w:rPr>
        <w:rFonts w:ascii="Symbol" w:hAnsi="Symbol" w:hint="default"/>
        <w:sz w:val="20"/>
      </w:rPr>
    </w:lvl>
    <w:lvl w:ilvl="4">
      <w:start w:val="1"/>
      <w:numFmt w:val="bullet"/>
      <w:lvlText w:val=""/>
      <w:lvlJc w:val="left"/>
      <w:pPr>
        <w:tabs>
          <w:tab w:val="num" w:pos="5400"/>
        </w:tabs>
        <w:ind w:left="5400" w:hanging="360"/>
      </w:pPr>
      <w:rPr>
        <w:rFonts w:ascii="Symbol" w:hAnsi="Symbol" w:hint="default"/>
        <w:sz w:val="20"/>
      </w:rPr>
    </w:lvl>
    <w:lvl w:ilvl="5">
      <w:start w:val="1"/>
      <w:numFmt w:val="bullet"/>
      <w:lvlText w:val=""/>
      <w:lvlJc w:val="left"/>
      <w:pPr>
        <w:tabs>
          <w:tab w:val="num" w:pos="6120"/>
        </w:tabs>
        <w:ind w:left="6120" w:hanging="360"/>
      </w:pPr>
      <w:rPr>
        <w:rFonts w:ascii="Symbol" w:hAnsi="Symbol" w:hint="default"/>
        <w:sz w:val="20"/>
      </w:rPr>
    </w:lvl>
    <w:lvl w:ilvl="6">
      <w:start w:val="1"/>
      <w:numFmt w:val="bullet"/>
      <w:lvlText w:val=""/>
      <w:lvlJc w:val="left"/>
      <w:pPr>
        <w:tabs>
          <w:tab w:val="num" w:pos="6840"/>
        </w:tabs>
        <w:ind w:left="6840" w:hanging="360"/>
      </w:pPr>
      <w:rPr>
        <w:rFonts w:ascii="Symbol" w:hAnsi="Symbol" w:hint="default"/>
        <w:sz w:val="20"/>
      </w:rPr>
    </w:lvl>
    <w:lvl w:ilvl="7">
      <w:start w:val="1"/>
      <w:numFmt w:val="bullet"/>
      <w:lvlText w:val=""/>
      <w:lvlJc w:val="left"/>
      <w:pPr>
        <w:tabs>
          <w:tab w:val="num" w:pos="7560"/>
        </w:tabs>
        <w:ind w:left="7560" w:hanging="360"/>
      </w:pPr>
      <w:rPr>
        <w:rFonts w:ascii="Symbol" w:hAnsi="Symbol" w:hint="default"/>
        <w:sz w:val="20"/>
      </w:rPr>
    </w:lvl>
    <w:lvl w:ilvl="8">
      <w:start w:val="1"/>
      <w:numFmt w:val="bullet"/>
      <w:lvlText w:val=""/>
      <w:lvlJc w:val="left"/>
      <w:pPr>
        <w:tabs>
          <w:tab w:val="num" w:pos="8280"/>
        </w:tabs>
        <w:ind w:left="8280" w:hanging="360"/>
      </w:pPr>
      <w:rPr>
        <w:rFonts w:ascii="Symbol" w:hAnsi="Symbol" w:hint="default"/>
        <w:sz w:val="20"/>
      </w:rPr>
    </w:lvl>
  </w:abstractNum>
  <w:abstractNum w:abstractNumId="10" w15:restartNumberingAfterBreak="0">
    <w:nsid w:val="2AFB0879"/>
    <w:multiLevelType w:val="multilevel"/>
    <w:tmpl w:val="13283E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numFmt w:val="bullet"/>
      <w:lvlText w:val="–"/>
      <w:lvlJc w:val="left"/>
      <w:pPr>
        <w:ind w:left="2880" w:hanging="360"/>
      </w:pPr>
      <w:rPr>
        <w:rFonts w:ascii="Trebuchet MS" w:eastAsiaTheme="minorEastAsia" w:hAnsi="Trebuchet MS" w:cstheme="minorHAnsi"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1E364C"/>
    <w:multiLevelType w:val="hybridMultilevel"/>
    <w:tmpl w:val="6B062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53FC5"/>
    <w:multiLevelType w:val="hybridMultilevel"/>
    <w:tmpl w:val="597699FC"/>
    <w:lvl w:ilvl="0" w:tplc="08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C58D7"/>
    <w:multiLevelType w:val="hybridMultilevel"/>
    <w:tmpl w:val="E73A5D54"/>
    <w:lvl w:ilvl="0" w:tplc="08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610593"/>
    <w:multiLevelType w:val="hybridMultilevel"/>
    <w:tmpl w:val="1B1A2A3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15:restartNumberingAfterBreak="0">
    <w:nsid w:val="40762C53"/>
    <w:multiLevelType w:val="hybridMultilevel"/>
    <w:tmpl w:val="1F681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0028F9"/>
    <w:multiLevelType w:val="hybridMultilevel"/>
    <w:tmpl w:val="0D84F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3F1AEC"/>
    <w:multiLevelType w:val="hybridMultilevel"/>
    <w:tmpl w:val="2EF4A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D7945D8"/>
    <w:multiLevelType w:val="hybridMultilevel"/>
    <w:tmpl w:val="865E44E4"/>
    <w:lvl w:ilvl="0" w:tplc="59A45ABC">
      <w:start w:val="1"/>
      <w:numFmt w:val="decimal"/>
      <w:lvlText w:val="%1)"/>
      <w:lvlJc w:val="left"/>
      <w:pPr>
        <w:tabs>
          <w:tab w:val="num" w:pos="720"/>
        </w:tabs>
        <w:ind w:left="720" w:hanging="360"/>
      </w:pPr>
    </w:lvl>
    <w:lvl w:ilvl="1" w:tplc="6B528994" w:tentative="1">
      <w:start w:val="1"/>
      <w:numFmt w:val="decimal"/>
      <w:lvlText w:val="%2)"/>
      <w:lvlJc w:val="left"/>
      <w:pPr>
        <w:tabs>
          <w:tab w:val="num" w:pos="1440"/>
        </w:tabs>
        <w:ind w:left="1440" w:hanging="360"/>
      </w:pPr>
    </w:lvl>
    <w:lvl w:ilvl="2" w:tplc="73F26458" w:tentative="1">
      <w:start w:val="1"/>
      <w:numFmt w:val="decimal"/>
      <w:lvlText w:val="%3)"/>
      <w:lvlJc w:val="left"/>
      <w:pPr>
        <w:tabs>
          <w:tab w:val="num" w:pos="2160"/>
        </w:tabs>
        <w:ind w:left="2160" w:hanging="360"/>
      </w:pPr>
    </w:lvl>
    <w:lvl w:ilvl="3" w:tplc="E0AA5658" w:tentative="1">
      <w:start w:val="1"/>
      <w:numFmt w:val="decimal"/>
      <w:lvlText w:val="%4)"/>
      <w:lvlJc w:val="left"/>
      <w:pPr>
        <w:tabs>
          <w:tab w:val="num" w:pos="2880"/>
        </w:tabs>
        <w:ind w:left="2880" w:hanging="360"/>
      </w:pPr>
    </w:lvl>
    <w:lvl w:ilvl="4" w:tplc="E612C8FA" w:tentative="1">
      <w:start w:val="1"/>
      <w:numFmt w:val="decimal"/>
      <w:lvlText w:val="%5)"/>
      <w:lvlJc w:val="left"/>
      <w:pPr>
        <w:tabs>
          <w:tab w:val="num" w:pos="3600"/>
        </w:tabs>
        <w:ind w:left="3600" w:hanging="360"/>
      </w:pPr>
    </w:lvl>
    <w:lvl w:ilvl="5" w:tplc="CBFE68BC" w:tentative="1">
      <w:start w:val="1"/>
      <w:numFmt w:val="decimal"/>
      <w:lvlText w:val="%6)"/>
      <w:lvlJc w:val="left"/>
      <w:pPr>
        <w:tabs>
          <w:tab w:val="num" w:pos="4320"/>
        </w:tabs>
        <w:ind w:left="4320" w:hanging="360"/>
      </w:pPr>
    </w:lvl>
    <w:lvl w:ilvl="6" w:tplc="75D02290" w:tentative="1">
      <w:start w:val="1"/>
      <w:numFmt w:val="decimal"/>
      <w:lvlText w:val="%7)"/>
      <w:lvlJc w:val="left"/>
      <w:pPr>
        <w:tabs>
          <w:tab w:val="num" w:pos="5040"/>
        </w:tabs>
        <w:ind w:left="5040" w:hanging="360"/>
      </w:pPr>
    </w:lvl>
    <w:lvl w:ilvl="7" w:tplc="4288D622" w:tentative="1">
      <w:start w:val="1"/>
      <w:numFmt w:val="decimal"/>
      <w:lvlText w:val="%8)"/>
      <w:lvlJc w:val="left"/>
      <w:pPr>
        <w:tabs>
          <w:tab w:val="num" w:pos="5760"/>
        </w:tabs>
        <w:ind w:left="5760" w:hanging="360"/>
      </w:pPr>
    </w:lvl>
    <w:lvl w:ilvl="8" w:tplc="7490282E" w:tentative="1">
      <w:start w:val="1"/>
      <w:numFmt w:val="decimal"/>
      <w:lvlText w:val="%9)"/>
      <w:lvlJc w:val="left"/>
      <w:pPr>
        <w:tabs>
          <w:tab w:val="num" w:pos="6480"/>
        </w:tabs>
        <w:ind w:left="6480" w:hanging="360"/>
      </w:pPr>
    </w:lvl>
  </w:abstractNum>
  <w:abstractNum w:abstractNumId="19" w15:restartNumberingAfterBreak="0">
    <w:nsid w:val="616F2563"/>
    <w:multiLevelType w:val="multilevel"/>
    <w:tmpl w:val="E310714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1C63EE"/>
    <w:multiLevelType w:val="hybridMultilevel"/>
    <w:tmpl w:val="CE5636FC"/>
    <w:lvl w:ilvl="0" w:tplc="08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4739FD"/>
    <w:multiLevelType w:val="hybridMultilevel"/>
    <w:tmpl w:val="0E28927A"/>
    <w:lvl w:ilvl="0" w:tplc="3B8AA58A">
      <w:start w:val="3"/>
      <w:numFmt w:val="decimal"/>
      <w:lvlText w:val="%1."/>
      <w:lvlJc w:val="left"/>
      <w:pPr>
        <w:ind w:left="720" w:hanging="360"/>
      </w:pPr>
      <w:rPr>
        <w:rFonts w:eastAsia="MS Mincho"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5"/>
  </w:num>
  <w:num w:numId="4">
    <w:abstractNumId w:val="3"/>
  </w:num>
  <w:num w:numId="5">
    <w:abstractNumId w:val="21"/>
  </w:num>
  <w:num w:numId="6">
    <w:abstractNumId w:val="14"/>
  </w:num>
  <w:num w:numId="7">
    <w:abstractNumId w:val="20"/>
  </w:num>
  <w:num w:numId="8">
    <w:abstractNumId w:val="5"/>
  </w:num>
  <w:num w:numId="9">
    <w:abstractNumId w:val="8"/>
  </w:num>
  <w:num w:numId="10">
    <w:abstractNumId w:val="11"/>
  </w:num>
  <w:num w:numId="11">
    <w:abstractNumId w:val="16"/>
  </w:num>
  <w:num w:numId="12">
    <w:abstractNumId w:val="17"/>
  </w:num>
  <w:num w:numId="13">
    <w:abstractNumId w:val="18"/>
  </w:num>
  <w:num w:numId="14">
    <w:abstractNumId w:val="2"/>
  </w:num>
  <w:num w:numId="15">
    <w:abstractNumId w:val="6"/>
  </w:num>
  <w:num w:numId="16">
    <w:abstractNumId w:val="12"/>
  </w:num>
  <w:num w:numId="17">
    <w:abstractNumId w:val="13"/>
  </w:num>
  <w:num w:numId="18">
    <w:abstractNumId w:val="9"/>
  </w:num>
  <w:num w:numId="19">
    <w:abstractNumId w:val="7"/>
  </w:num>
  <w:num w:numId="20">
    <w:abstractNumId w:val="19"/>
  </w:num>
  <w:num w:numId="21">
    <w:abstractNumId w:val="10"/>
  </w:num>
  <w:num w:numId="2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995"/>
    <w:rsid w:val="00000300"/>
    <w:rsid w:val="00032170"/>
    <w:rsid w:val="00032580"/>
    <w:rsid w:val="0003258D"/>
    <w:rsid w:val="00034BA3"/>
    <w:rsid w:val="00052B90"/>
    <w:rsid w:val="00057545"/>
    <w:rsid w:val="00064CDF"/>
    <w:rsid w:val="0007095F"/>
    <w:rsid w:val="000712F5"/>
    <w:rsid w:val="000754DF"/>
    <w:rsid w:val="00080BE8"/>
    <w:rsid w:val="000979B9"/>
    <w:rsid w:val="000A2F98"/>
    <w:rsid w:val="000A583C"/>
    <w:rsid w:val="000A780F"/>
    <w:rsid w:val="000B40F9"/>
    <w:rsid w:val="000B65FE"/>
    <w:rsid w:val="000B6EED"/>
    <w:rsid w:val="000D0E7A"/>
    <w:rsid w:val="000D4114"/>
    <w:rsid w:val="000E0574"/>
    <w:rsid w:val="000E5BC6"/>
    <w:rsid w:val="000E6695"/>
    <w:rsid w:val="000E7554"/>
    <w:rsid w:val="000F06C1"/>
    <w:rsid w:val="000F1EB4"/>
    <w:rsid w:val="0010679C"/>
    <w:rsid w:val="0011107E"/>
    <w:rsid w:val="00114461"/>
    <w:rsid w:val="00120FCD"/>
    <w:rsid w:val="0012714A"/>
    <w:rsid w:val="00133CD5"/>
    <w:rsid w:val="00134587"/>
    <w:rsid w:val="0014671C"/>
    <w:rsid w:val="0015799C"/>
    <w:rsid w:val="00163873"/>
    <w:rsid w:val="00167ACD"/>
    <w:rsid w:val="00176995"/>
    <w:rsid w:val="00180A1E"/>
    <w:rsid w:val="00181F89"/>
    <w:rsid w:val="00184BA7"/>
    <w:rsid w:val="00190924"/>
    <w:rsid w:val="00197A77"/>
    <w:rsid w:val="001A52AF"/>
    <w:rsid w:val="001B0878"/>
    <w:rsid w:val="001B7DD6"/>
    <w:rsid w:val="001C417B"/>
    <w:rsid w:val="001D7A0A"/>
    <w:rsid w:val="001E1B56"/>
    <w:rsid w:val="001E20E6"/>
    <w:rsid w:val="001E2396"/>
    <w:rsid w:val="001F503B"/>
    <w:rsid w:val="002007AF"/>
    <w:rsid w:val="00200E01"/>
    <w:rsid w:val="002028B0"/>
    <w:rsid w:val="00212D12"/>
    <w:rsid w:val="00213D47"/>
    <w:rsid w:val="00216803"/>
    <w:rsid w:val="00220FA4"/>
    <w:rsid w:val="002379EA"/>
    <w:rsid w:val="00240CC0"/>
    <w:rsid w:val="00241DBF"/>
    <w:rsid w:val="002440BF"/>
    <w:rsid w:val="002476A9"/>
    <w:rsid w:val="002506D5"/>
    <w:rsid w:val="002507FD"/>
    <w:rsid w:val="00253BF8"/>
    <w:rsid w:val="00255E7E"/>
    <w:rsid w:val="00276406"/>
    <w:rsid w:val="002767DC"/>
    <w:rsid w:val="0028043A"/>
    <w:rsid w:val="002813E2"/>
    <w:rsid w:val="00281802"/>
    <w:rsid w:val="00281CCD"/>
    <w:rsid w:val="00286900"/>
    <w:rsid w:val="00291C50"/>
    <w:rsid w:val="002933FF"/>
    <w:rsid w:val="002934D4"/>
    <w:rsid w:val="00297601"/>
    <w:rsid w:val="002A2162"/>
    <w:rsid w:val="002A3DBF"/>
    <w:rsid w:val="002A54A6"/>
    <w:rsid w:val="002A5BEF"/>
    <w:rsid w:val="002B4736"/>
    <w:rsid w:val="002C1E4D"/>
    <w:rsid w:val="002C2E84"/>
    <w:rsid w:val="002C37AA"/>
    <w:rsid w:val="002C4A69"/>
    <w:rsid w:val="002C4E7F"/>
    <w:rsid w:val="002D28D3"/>
    <w:rsid w:val="002D6741"/>
    <w:rsid w:val="002E0A98"/>
    <w:rsid w:val="002E3D0F"/>
    <w:rsid w:val="002E570C"/>
    <w:rsid w:val="002E610F"/>
    <w:rsid w:val="002E7DC9"/>
    <w:rsid w:val="002F17B8"/>
    <w:rsid w:val="002F2034"/>
    <w:rsid w:val="002F4CC3"/>
    <w:rsid w:val="002F62EB"/>
    <w:rsid w:val="002F6CA9"/>
    <w:rsid w:val="003034DB"/>
    <w:rsid w:val="00303C99"/>
    <w:rsid w:val="00304812"/>
    <w:rsid w:val="00310346"/>
    <w:rsid w:val="00310F2D"/>
    <w:rsid w:val="00311064"/>
    <w:rsid w:val="00314435"/>
    <w:rsid w:val="00315811"/>
    <w:rsid w:val="00334F12"/>
    <w:rsid w:val="00336AB0"/>
    <w:rsid w:val="00336DAE"/>
    <w:rsid w:val="00355B0F"/>
    <w:rsid w:val="0035765E"/>
    <w:rsid w:val="00363558"/>
    <w:rsid w:val="00365F78"/>
    <w:rsid w:val="00370413"/>
    <w:rsid w:val="0037388C"/>
    <w:rsid w:val="00375429"/>
    <w:rsid w:val="00375B27"/>
    <w:rsid w:val="003761F3"/>
    <w:rsid w:val="003844E9"/>
    <w:rsid w:val="00387033"/>
    <w:rsid w:val="003872AB"/>
    <w:rsid w:val="00387565"/>
    <w:rsid w:val="00387B23"/>
    <w:rsid w:val="00390BB4"/>
    <w:rsid w:val="003914BD"/>
    <w:rsid w:val="00391F9F"/>
    <w:rsid w:val="003954F5"/>
    <w:rsid w:val="003B0033"/>
    <w:rsid w:val="003C31F6"/>
    <w:rsid w:val="003C6458"/>
    <w:rsid w:val="003D0561"/>
    <w:rsid w:val="003D5465"/>
    <w:rsid w:val="003D6419"/>
    <w:rsid w:val="003E1AB5"/>
    <w:rsid w:val="003E296F"/>
    <w:rsid w:val="003E74DC"/>
    <w:rsid w:val="003E77CA"/>
    <w:rsid w:val="003F2695"/>
    <w:rsid w:val="003F3B5C"/>
    <w:rsid w:val="004115FF"/>
    <w:rsid w:val="00422873"/>
    <w:rsid w:val="0042322C"/>
    <w:rsid w:val="00423535"/>
    <w:rsid w:val="00424BE4"/>
    <w:rsid w:val="00430E38"/>
    <w:rsid w:val="00436469"/>
    <w:rsid w:val="004370FF"/>
    <w:rsid w:val="00437701"/>
    <w:rsid w:val="00441A90"/>
    <w:rsid w:val="0044379C"/>
    <w:rsid w:val="00454BAA"/>
    <w:rsid w:val="004578F2"/>
    <w:rsid w:val="004648D9"/>
    <w:rsid w:val="00466DFB"/>
    <w:rsid w:val="0047135A"/>
    <w:rsid w:val="00483079"/>
    <w:rsid w:val="004926D6"/>
    <w:rsid w:val="00492AAF"/>
    <w:rsid w:val="00496E27"/>
    <w:rsid w:val="004977DA"/>
    <w:rsid w:val="004A2910"/>
    <w:rsid w:val="004A33F7"/>
    <w:rsid w:val="004A510A"/>
    <w:rsid w:val="004A6119"/>
    <w:rsid w:val="004B029F"/>
    <w:rsid w:val="004B55B7"/>
    <w:rsid w:val="004C5AD5"/>
    <w:rsid w:val="004C721C"/>
    <w:rsid w:val="004D18F4"/>
    <w:rsid w:val="004E1BB9"/>
    <w:rsid w:val="004E7A81"/>
    <w:rsid w:val="004E7DE5"/>
    <w:rsid w:val="004F1C22"/>
    <w:rsid w:val="004F1D2E"/>
    <w:rsid w:val="004F5CEB"/>
    <w:rsid w:val="004F5CFA"/>
    <w:rsid w:val="005006A7"/>
    <w:rsid w:val="00501FB0"/>
    <w:rsid w:val="00502B85"/>
    <w:rsid w:val="00510424"/>
    <w:rsid w:val="00532D0A"/>
    <w:rsid w:val="005438FD"/>
    <w:rsid w:val="0054460B"/>
    <w:rsid w:val="005457BA"/>
    <w:rsid w:val="00547A81"/>
    <w:rsid w:val="00551B7D"/>
    <w:rsid w:val="00553D0F"/>
    <w:rsid w:val="00560C95"/>
    <w:rsid w:val="00561AFA"/>
    <w:rsid w:val="00566849"/>
    <w:rsid w:val="00582D27"/>
    <w:rsid w:val="0058455D"/>
    <w:rsid w:val="00585244"/>
    <w:rsid w:val="00595166"/>
    <w:rsid w:val="00596975"/>
    <w:rsid w:val="005A42CE"/>
    <w:rsid w:val="005B7D78"/>
    <w:rsid w:val="005C009E"/>
    <w:rsid w:val="005C3A41"/>
    <w:rsid w:val="005C3E36"/>
    <w:rsid w:val="005C4554"/>
    <w:rsid w:val="005C6ADF"/>
    <w:rsid w:val="005D4FAF"/>
    <w:rsid w:val="005E4381"/>
    <w:rsid w:val="005F56B4"/>
    <w:rsid w:val="00605B6D"/>
    <w:rsid w:val="00606AB2"/>
    <w:rsid w:val="00620C55"/>
    <w:rsid w:val="00626A37"/>
    <w:rsid w:val="00630006"/>
    <w:rsid w:val="00630F0E"/>
    <w:rsid w:val="00632C38"/>
    <w:rsid w:val="006342F0"/>
    <w:rsid w:val="0064113B"/>
    <w:rsid w:val="00643969"/>
    <w:rsid w:val="0064447C"/>
    <w:rsid w:val="00646857"/>
    <w:rsid w:val="006524EE"/>
    <w:rsid w:val="00654A96"/>
    <w:rsid w:val="00655EF7"/>
    <w:rsid w:val="00656800"/>
    <w:rsid w:val="006665F0"/>
    <w:rsid w:val="006802E7"/>
    <w:rsid w:val="00687927"/>
    <w:rsid w:val="006909B1"/>
    <w:rsid w:val="00696968"/>
    <w:rsid w:val="00697B41"/>
    <w:rsid w:val="006A09AC"/>
    <w:rsid w:val="006C4D65"/>
    <w:rsid w:val="006D0E3B"/>
    <w:rsid w:val="006D3710"/>
    <w:rsid w:val="006D6EE0"/>
    <w:rsid w:val="006E2BB9"/>
    <w:rsid w:val="006E45B9"/>
    <w:rsid w:val="006F17D0"/>
    <w:rsid w:val="00711E9F"/>
    <w:rsid w:val="007223B6"/>
    <w:rsid w:val="007372E8"/>
    <w:rsid w:val="00744857"/>
    <w:rsid w:val="0074548D"/>
    <w:rsid w:val="00747F14"/>
    <w:rsid w:val="00760CF3"/>
    <w:rsid w:val="00770980"/>
    <w:rsid w:val="00773B63"/>
    <w:rsid w:val="00773F01"/>
    <w:rsid w:val="00781912"/>
    <w:rsid w:val="00784C53"/>
    <w:rsid w:val="007942DA"/>
    <w:rsid w:val="007A1FA4"/>
    <w:rsid w:val="007A7207"/>
    <w:rsid w:val="007B1856"/>
    <w:rsid w:val="007B5605"/>
    <w:rsid w:val="007B6594"/>
    <w:rsid w:val="007C1042"/>
    <w:rsid w:val="007C1B8B"/>
    <w:rsid w:val="007C3B89"/>
    <w:rsid w:val="007C67A2"/>
    <w:rsid w:val="007D1F06"/>
    <w:rsid w:val="007D21BD"/>
    <w:rsid w:val="007F0BA2"/>
    <w:rsid w:val="007F2873"/>
    <w:rsid w:val="007F7CC9"/>
    <w:rsid w:val="00815309"/>
    <w:rsid w:val="0082432F"/>
    <w:rsid w:val="00826BB4"/>
    <w:rsid w:val="00827797"/>
    <w:rsid w:val="008315BB"/>
    <w:rsid w:val="00844A9E"/>
    <w:rsid w:val="00846451"/>
    <w:rsid w:val="00847353"/>
    <w:rsid w:val="008517B8"/>
    <w:rsid w:val="00860ADA"/>
    <w:rsid w:val="00863F10"/>
    <w:rsid w:val="00864A8F"/>
    <w:rsid w:val="008657BB"/>
    <w:rsid w:val="008667A2"/>
    <w:rsid w:val="00871746"/>
    <w:rsid w:val="008724A7"/>
    <w:rsid w:val="00882994"/>
    <w:rsid w:val="00887BB3"/>
    <w:rsid w:val="00894478"/>
    <w:rsid w:val="00896F22"/>
    <w:rsid w:val="008A5AD4"/>
    <w:rsid w:val="008C0DFF"/>
    <w:rsid w:val="008D06B8"/>
    <w:rsid w:val="008E1498"/>
    <w:rsid w:val="008E179C"/>
    <w:rsid w:val="008E2BDC"/>
    <w:rsid w:val="008E54F1"/>
    <w:rsid w:val="008E603A"/>
    <w:rsid w:val="008F0487"/>
    <w:rsid w:val="008F4B21"/>
    <w:rsid w:val="008F5960"/>
    <w:rsid w:val="008F5CF8"/>
    <w:rsid w:val="008F6DF4"/>
    <w:rsid w:val="009027E0"/>
    <w:rsid w:val="0090469C"/>
    <w:rsid w:val="009052B9"/>
    <w:rsid w:val="00915CF8"/>
    <w:rsid w:val="00916CDD"/>
    <w:rsid w:val="00931B8D"/>
    <w:rsid w:val="00931C3D"/>
    <w:rsid w:val="00933375"/>
    <w:rsid w:val="00934C76"/>
    <w:rsid w:val="009353BA"/>
    <w:rsid w:val="00937D34"/>
    <w:rsid w:val="00942216"/>
    <w:rsid w:val="0094350C"/>
    <w:rsid w:val="009470A6"/>
    <w:rsid w:val="00953658"/>
    <w:rsid w:val="00954E02"/>
    <w:rsid w:val="00976ED8"/>
    <w:rsid w:val="009852CD"/>
    <w:rsid w:val="0099117D"/>
    <w:rsid w:val="009937DC"/>
    <w:rsid w:val="00993A82"/>
    <w:rsid w:val="00996CC3"/>
    <w:rsid w:val="009A4210"/>
    <w:rsid w:val="009A664B"/>
    <w:rsid w:val="009B0658"/>
    <w:rsid w:val="009B2E82"/>
    <w:rsid w:val="009C288E"/>
    <w:rsid w:val="009D1AD1"/>
    <w:rsid w:val="009D6764"/>
    <w:rsid w:val="009F630E"/>
    <w:rsid w:val="00A077F0"/>
    <w:rsid w:val="00A25655"/>
    <w:rsid w:val="00A3184F"/>
    <w:rsid w:val="00A363C5"/>
    <w:rsid w:val="00A37F44"/>
    <w:rsid w:val="00A431FE"/>
    <w:rsid w:val="00A4632D"/>
    <w:rsid w:val="00A55919"/>
    <w:rsid w:val="00A57091"/>
    <w:rsid w:val="00A577CA"/>
    <w:rsid w:val="00A6226D"/>
    <w:rsid w:val="00A6413B"/>
    <w:rsid w:val="00A77FE3"/>
    <w:rsid w:val="00A80898"/>
    <w:rsid w:val="00A817E3"/>
    <w:rsid w:val="00A93C9D"/>
    <w:rsid w:val="00A95C0C"/>
    <w:rsid w:val="00AD3BE6"/>
    <w:rsid w:val="00AD6EF2"/>
    <w:rsid w:val="00AE08EF"/>
    <w:rsid w:val="00AE10E6"/>
    <w:rsid w:val="00AE28A7"/>
    <w:rsid w:val="00AE3457"/>
    <w:rsid w:val="00AF0EA8"/>
    <w:rsid w:val="00AF2B41"/>
    <w:rsid w:val="00B00C20"/>
    <w:rsid w:val="00B013C3"/>
    <w:rsid w:val="00B01BBF"/>
    <w:rsid w:val="00B0760C"/>
    <w:rsid w:val="00B137BA"/>
    <w:rsid w:val="00B16BD1"/>
    <w:rsid w:val="00B21805"/>
    <w:rsid w:val="00B248E5"/>
    <w:rsid w:val="00B3079E"/>
    <w:rsid w:val="00B3189F"/>
    <w:rsid w:val="00B5740F"/>
    <w:rsid w:val="00B620E8"/>
    <w:rsid w:val="00B74B6A"/>
    <w:rsid w:val="00B852E7"/>
    <w:rsid w:val="00B869B1"/>
    <w:rsid w:val="00BA2369"/>
    <w:rsid w:val="00BA2E66"/>
    <w:rsid w:val="00BA529A"/>
    <w:rsid w:val="00BB01C6"/>
    <w:rsid w:val="00BB1079"/>
    <w:rsid w:val="00BB4BEE"/>
    <w:rsid w:val="00BB58C1"/>
    <w:rsid w:val="00BB5DC7"/>
    <w:rsid w:val="00BB7A74"/>
    <w:rsid w:val="00BC409F"/>
    <w:rsid w:val="00BC4CFC"/>
    <w:rsid w:val="00BD3CCC"/>
    <w:rsid w:val="00BD5583"/>
    <w:rsid w:val="00BE7E3A"/>
    <w:rsid w:val="00BF1720"/>
    <w:rsid w:val="00BF3880"/>
    <w:rsid w:val="00C048D4"/>
    <w:rsid w:val="00C119D3"/>
    <w:rsid w:val="00C122EB"/>
    <w:rsid w:val="00C14929"/>
    <w:rsid w:val="00C1584B"/>
    <w:rsid w:val="00C1746A"/>
    <w:rsid w:val="00C2621B"/>
    <w:rsid w:val="00C350D5"/>
    <w:rsid w:val="00C4395B"/>
    <w:rsid w:val="00C44749"/>
    <w:rsid w:val="00C45EA4"/>
    <w:rsid w:val="00C47090"/>
    <w:rsid w:val="00C549C8"/>
    <w:rsid w:val="00C5660F"/>
    <w:rsid w:val="00C60D3B"/>
    <w:rsid w:val="00C63A84"/>
    <w:rsid w:val="00C63AB6"/>
    <w:rsid w:val="00C64575"/>
    <w:rsid w:val="00C67D8F"/>
    <w:rsid w:val="00C8120D"/>
    <w:rsid w:val="00C85910"/>
    <w:rsid w:val="00C9717A"/>
    <w:rsid w:val="00CA2100"/>
    <w:rsid w:val="00CA21ED"/>
    <w:rsid w:val="00CA2D43"/>
    <w:rsid w:val="00CB0E43"/>
    <w:rsid w:val="00CB4253"/>
    <w:rsid w:val="00CB7864"/>
    <w:rsid w:val="00CC5210"/>
    <w:rsid w:val="00CC671A"/>
    <w:rsid w:val="00CD55F7"/>
    <w:rsid w:val="00CE026E"/>
    <w:rsid w:val="00CE4DFF"/>
    <w:rsid w:val="00CF01CF"/>
    <w:rsid w:val="00CF61EB"/>
    <w:rsid w:val="00CF664B"/>
    <w:rsid w:val="00D02D42"/>
    <w:rsid w:val="00D11C7E"/>
    <w:rsid w:val="00D2205E"/>
    <w:rsid w:val="00D22138"/>
    <w:rsid w:val="00D22FBA"/>
    <w:rsid w:val="00D347A5"/>
    <w:rsid w:val="00D432CE"/>
    <w:rsid w:val="00D43F91"/>
    <w:rsid w:val="00D6185D"/>
    <w:rsid w:val="00D61D9D"/>
    <w:rsid w:val="00D8246D"/>
    <w:rsid w:val="00D871D0"/>
    <w:rsid w:val="00D90555"/>
    <w:rsid w:val="00D96358"/>
    <w:rsid w:val="00D9679B"/>
    <w:rsid w:val="00D9795B"/>
    <w:rsid w:val="00D979EE"/>
    <w:rsid w:val="00D97EC1"/>
    <w:rsid w:val="00DA07B2"/>
    <w:rsid w:val="00DA1360"/>
    <w:rsid w:val="00DA4345"/>
    <w:rsid w:val="00DA49E4"/>
    <w:rsid w:val="00DB1DDC"/>
    <w:rsid w:val="00DC4B86"/>
    <w:rsid w:val="00DC512A"/>
    <w:rsid w:val="00DC6FBD"/>
    <w:rsid w:val="00DD052B"/>
    <w:rsid w:val="00DD3E4A"/>
    <w:rsid w:val="00DD6B74"/>
    <w:rsid w:val="00DD6D96"/>
    <w:rsid w:val="00DE03E6"/>
    <w:rsid w:val="00DE35D2"/>
    <w:rsid w:val="00DF0F4D"/>
    <w:rsid w:val="00DF4B27"/>
    <w:rsid w:val="00DF4E6C"/>
    <w:rsid w:val="00DF7BA6"/>
    <w:rsid w:val="00E03FE3"/>
    <w:rsid w:val="00E05E21"/>
    <w:rsid w:val="00E169B0"/>
    <w:rsid w:val="00E16E47"/>
    <w:rsid w:val="00E201D9"/>
    <w:rsid w:val="00E2217F"/>
    <w:rsid w:val="00E22868"/>
    <w:rsid w:val="00E2785B"/>
    <w:rsid w:val="00E27964"/>
    <w:rsid w:val="00E44933"/>
    <w:rsid w:val="00E467F2"/>
    <w:rsid w:val="00E50DC3"/>
    <w:rsid w:val="00E521A5"/>
    <w:rsid w:val="00E56E41"/>
    <w:rsid w:val="00E610D0"/>
    <w:rsid w:val="00E66001"/>
    <w:rsid w:val="00E67055"/>
    <w:rsid w:val="00E74802"/>
    <w:rsid w:val="00E75DAD"/>
    <w:rsid w:val="00E77458"/>
    <w:rsid w:val="00E90AAA"/>
    <w:rsid w:val="00E90BBD"/>
    <w:rsid w:val="00E928FA"/>
    <w:rsid w:val="00E959D3"/>
    <w:rsid w:val="00EA6099"/>
    <w:rsid w:val="00EB4483"/>
    <w:rsid w:val="00EB63B3"/>
    <w:rsid w:val="00ED15F9"/>
    <w:rsid w:val="00ED3BF9"/>
    <w:rsid w:val="00ED58CB"/>
    <w:rsid w:val="00EE21DD"/>
    <w:rsid w:val="00EF6FEA"/>
    <w:rsid w:val="00F03C72"/>
    <w:rsid w:val="00F06182"/>
    <w:rsid w:val="00F138AA"/>
    <w:rsid w:val="00F16CA7"/>
    <w:rsid w:val="00F213FB"/>
    <w:rsid w:val="00F27485"/>
    <w:rsid w:val="00F35FFD"/>
    <w:rsid w:val="00F45AA6"/>
    <w:rsid w:val="00F46726"/>
    <w:rsid w:val="00F565F9"/>
    <w:rsid w:val="00F57046"/>
    <w:rsid w:val="00F6071B"/>
    <w:rsid w:val="00F75CAC"/>
    <w:rsid w:val="00F75E2D"/>
    <w:rsid w:val="00F8541C"/>
    <w:rsid w:val="00F90292"/>
    <w:rsid w:val="00F95273"/>
    <w:rsid w:val="00F9590A"/>
    <w:rsid w:val="00FA08F3"/>
    <w:rsid w:val="00FA431A"/>
    <w:rsid w:val="00FA45D6"/>
    <w:rsid w:val="00FB10E0"/>
    <w:rsid w:val="00FB6BFC"/>
    <w:rsid w:val="00FB7EDE"/>
    <w:rsid w:val="00FD0BE5"/>
    <w:rsid w:val="00FD1741"/>
    <w:rsid w:val="00FD1A6A"/>
    <w:rsid w:val="00FD49A2"/>
    <w:rsid w:val="00FE169B"/>
    <w:rsid w:val="00FF1A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2FB4A"/>
  <w15:docId w15:val="{477504E2-18A0-445D-8ED1-BB65174BC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L"/>
    <w:basedOn w:val="Normal"/>
    <w:link w:val="ListParagraphChar"/>
    <w:uiPriority w:val="34"/>
    <w:qFormat/>
    <w:rsid w:val="00AE08EF"/>
    <w:pPr>
      <w:spacing w:after="0" w:line="240" w:lineRule="auto"/>
      <w:ind w:left="720"/>
    </w:pPr>
    <w:rPr>
      <w:rFonts w:ascii="Calibri" w:hAnsi="Calibri" w:cs="Times New Roman"/>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L Char"/>
    <w:basedOn w:val="DefaultParagraphFont"/>
    <w:link w:val="ListParagraph"/>
    <w:uiPriority w:val="34"/>
    <w:qFormat/>
    <w:locked/>
    <w:rsid w:val="00AE08EF"/>
    <w:rPr>
      <w:rFonts w:ascii="Calibri" w:hAnsi="Calibri" w:cs="Times New Roman"/>
    </w:rPr>
  </w:style>
  <w:style w:type="paragraph" w:styleId="BalloonText">
    <w:name w:val="Balloon Text"/>
    <w:basedOn w:val="Normal"/>
    <w:link w:val="BalloonTextChar"/>
    <w:uiPriority w:val="99"/>
    <w:semiHidden/>
    <w:unhideWhenUsed/>
    <w:rsid w:val="00430E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E38"/>
    <w:rPr>
      <w:rFonts w:ascii="Segoe UI" w:hAnsi="Segoe UI" w:cs="Segoe UI"/>
      <w:sz w:val="18"/>
      <w:szCs w:val="18"/>
    </w:rPr>
  </w:style>
  <w:style w:type="character" w:styleId="CommentReference">
    <w:name w:val="annotation reference"/>
    <w:basedOn w:val="DefaultParagraphFont"/>
    <w:uiPriority w:val="99"/>
    <w:semiHidden/>
    <w:unhideWhenUsed/>
    <w:rsid w:val="003D0561"/>
    <w:rPr>
      <w:sz w:val="16"/>
      <w:szCs w:val="16"/>
    </w:rPr>
  </w:style>
  <w:style w:type="paragraph" w:styleId="CommentText">
    <w:name w:val="annotation text"/>
    <w:basedOn w:val="Normal"/>
    <w:link w:val="CommentTextChar"/>
    <w:uiPriority w:val="99"/>
    <w:semiHidden/>
    <w:unhideWhenUsed/>
    <w:rsid w:val="003D0561"/>
    <w:pPr>
      <w:spacing w:line="240" w:lineRule="auto"/>
    </w:pPr>
    <w:rPr>
      <w:sz w:val="20"/>
      <w:szCs w:val="20"/>
    </w:rPr>
  </w:style>
  <w:style w:type="character" w:customStyle="1" w:styleId="CommentTextChar">
    <w:name w:val="Comment Text Char"/>
    <w:basedOn w:val="DefaultParagraphFont"/>
    <w:link w:val="CommentText"/>
    <w:uiPriority w:val="99"/>
    <w:semiHidden/>
    <w:rsid w:val="003D0561"/>
    <w:rPr>
      <w:sz w:val="20"/>
      <w:szCs w:val="20"/>
    </w:rPr>
  </w:style>
  <w:style w:type="paragraph" w:styleId="CommentSubject">
    <w:name w:val="annotation subject"/>
    <w:basedOn w:val="CommentText"/>
    <w:next w:val="CommentText"/>
    <w:link w:val="CommentSubjectChar"/>
    <w:uiPriority w:val="99"/>
    <w:semiHidden/>
    <w:unhideWhenUsed/>
    <w:rsid w:val="003D0561"/>
    <w:rPr>
      <w:b/>
      <w:bCs/>
    </w:rPr>
  </w:style>
  <w:style w:type="character" w:customStyle="1" w:styleId="CommentSubjectChar">
    <w:name w:val="Comment Subject Char"/>
    <w:basedOn w:val="CommentTextChar"/>
    <w:link w:val="CommentSubject"/>
    <w:uiPriority w:val="99"/>
    <w:semiHidden/>
    <w:rsid w:val="003D0561"/>
    <w:rPr>
      <w:b/>
      <w:bCs/>
      <w:sz w:val="20"/>
      <w:szCs w:val="20"/>
    </w:rPr>
  </w:style>
  <w:style w:type="paragraph" w:styleId="Header">
    <w:name w:val="header"/>
    <w:basedOn w:val="Normal"/>
    <w:link w:val="HeaderChar"/>
    <w:uiPriority w:val="99"/>
    <w:unhideWhenUsed/>
    <w:rsid w:val="00303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C99"/>
  </w:style>
  <w:style w:type="paragraph" w:styleId="Footer">
    <w:name w:val="footer"/>
    <w:basedOn w:val="Normal"/>
    <w:link w:val="FooterChar"/>
    <w:uiPriority w:val="99"/>
    <w:unhideWhenUsed/>
    <w:rsid w:val="00303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C99"/>
  </w:style>
  <w:style w:type="paragraph" w:styleId="FootnoteText">
    <w:name w:val="footnote text"/>
    <w:basedOn w:val="Normal"/>
    <w:link w:val="FootnoteTextChar"/>
    <w:uiPriority w:val="99"/>
    <w:semiHidden/>
    <w:unhideWhenUsed/>
    <w:rsid w:val="008A5A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5AD4"/>
    <w:rPr>
      <w:sz w:val="20"/>
      <w:szCs w:val="20"/>
    </w:rPr>
  </w:style>
  <w:style w:type="character" w:styleId="FootnoteReference">
    <w:name w:val="footnote reference"/>
    <w:basedOn w:val="DefaultParagraphFont"/>
    <w:uiPriority w:val="99"/>
    <w:semiHidden/>
    <w:unhideWhenUsed/>
    <w:rsid w:val="008A5AD4"/>
    <w:rPr>
      <w:vertAlign w:val="superscript"/>
    </w:rPr>
  </w:style>
  <w:style w:type="paragraph" w:styleId="NormalWeb">
    <w:name w:val="Normal (Web)"/>
    <w:basedOn w:val="Normal"/>
    <w:uiPriority w:val="99"/>
    <w:unhideWhenUsed/>
    <w:rsid w:val="008A5AD4"/>
    <w:pPr>
      <w:spacing w:before="100" w:beforeAutospacing="1" w:after="100" w:afterAutospacing="1" w:line="240" w:lineRule="auto"/>
    </w:pPr>
    <w:rPr>
      <w:rFonts w:ascii="Times New Roman" w:hAnsi="Times New Roman" w:cs="Times New Roman"/>
      <w:sz w:val="24"/>
      <w:szCs w:val="24"/>
    </w:rPr>
  </w:style>
  <w:style w:type="character" w:customStyle="1" w:styleId="st1">
    <w:name w:val="st1"/>
    <w:basedOn w:val="DefaultParagraphFont"/>
    <w:rsid w:val="00A817E3"/>
  </w:style>
  <w:style w:type="character" w:styleId="Emphasis">
    <w:name w:val="Emphasis"/>
    <w:basedOn w:val="DefaultParagraphFont"/>
    <w:uiPriority w:val="20"/>
    <w:qFormat/>
    <w:rsid w:val="00A817E3"/>
    <w:rPr>
      <w:b/>
      <w:bCs/>
      <w:i w:val="0"/>
      <w:iCs w:val="0"/>
    </w:rPr>
  </w:style>
  <w:style w:type="paragraph" w:styleId="Revision">
    <w:name w:val="Revision"/>
    <w:hidden/>
    <w:uiPriority w:val="99"/>
    <w:semiHidden/>
    <w:rsid w:val="00DC4B86"/>
    <w:pPr>
      <w:spacing w:after="0" w:line="240" w:lineRule="auto"/>
    </w:pPr>
  </w:style>
  <w:style w:type="character" w:customStyle="1" w:styleId="rpc71">
    <w:name w:val="_rpc_71"/>
    <w:basedOn w:val="DefaultParagraphFont"/>
    <w:rsid w:val="00441A90"/>
  </w:style>
  <w:style w:type="table" w:styleId="TableGrid">
    <w:name w:val="Table Grid"/>
    <w:basedOn w:val="TableNormal"/>
    <w:uiPriority w:val="39"/>
    <w:rsid w:val="00422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87033"/>
    <w:pPr>
      <w:spacing w:after="0" w:line="240" w:lineRule="auto"/>
    </w:pPr>
  </w:style>
  <w:style w:type="character" w:styleId="Hyperlink">
    <w:name w:val="Hyperlink"/>
    <w:basedOn w:val="DefaultParagraphFont"/>
    <w:uiPriority w:val="99"/>
    <w:unhideWhenUsed/>
    <w:rsid w:val="001A52AF"/>
    <w:rPr>
      <w:color w:val="0563C1" w:themeColor="hyperlink"/>
      <w:u w:val="single"/>
    </w:rPr>
  </w:style>
  <w:style w:type="character" w:styleId="FollowedHyperlink">
    <w:name w:val="FollowedHyperlink"/>
    <w:basedOn w:val="DefaultParagraphFont"/>
    <w:uiPriority w:val="99"/>
    <w:semiHidden/>
    <w:unhideWhenUsed/>
    <w:rsid w:val="00CF664B"/>
    <w:rPr>
      <w:color w:val="954F72" w:themeColor="followedHyperlink"/>
      <w:u w:val="single"/>
    </w:rPr>
  </w:style>
  <w:style w:type="character" w:styleId="Strong">
    <w:name w:val="Strong"/>
    <w:basedOn w:val="DefaultParagraphFont"/>
    <w:uiPriority w:val="22"/>
    <w:qFormat/>
    <w:rsid w:val="006E45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6688">
      <w:bodyDiv w:val="1"/>
      <w:marLeft w:val="0"/>
      <w:marRight w:val="0"/>
      <w:marTop w:val="0"/>
      <w:marBottom w:val="0"/>
      <w:divBdr>
        <w:top w:val="none" w:sz="0" w:space="0" w:color="auto"/>
        <w:left w:val="none" w:sz="0" w:space="0" w:color="auto"/>
        <w:bottom w:val="none" w:sz="0" w:space="0" w:color="auto"/>
        <w:right w:val="none" w:sz="0" w:space="0" w:color="auto"/>
      </w:divBdr>
    </w:div>
    <w:div w:id="368845825">
      <w:bodyDiv w:val="1"/>
      <w:marLeft w:val="0"/>
      <w:marRight w:val="0"/>
      <w:marTop w:val="0"/>
      <w:marBottom w:val="0"/>
      <w:divBdr>
        <w:top w:val="none" w:sz="0" w:space="0" w:color="auto"/>
        <w:left w:val="none" w:sz="0" w:space="0" w:color="auto"/>
        <w:bottom w:val="none" w:sz="0" w:space="0" w:color="auto"/>
        <w:right w:val="none" w:sz="0" w:space="0" w:color="auto"/>
      </w:divBdr>
    </w:div>
    <w:div w:id="609168576">
      <w:bodyDiv w:val="1"/>
      <w:marLeft w:val="0"/>
      <w:marRight w:val="0"/>
      <w:marTop w:val="0"/>
      <w:marBottom w:val="0"/>
      <w:divBdr>
        <w:top w:val="none" w:sz="0" w:space="0" w:color="auto"/>
        <w:left w:val="none" w:sz="0" w:space="0" w:color="auto"/>
        <w:bottom w:val="none" w:sz="0" w:space="0" w:color="auto"/>
        <w:right w:val="none" w:sz="0" w:space="0" w:color="auto"/>
      </w:divBdr>
    </w:div>
    <w:div w:id="636880626">
      <w:bodyDiv w:val="1"/>
      <w:marLeft w:val="0"/>
      <w:marRight w:val="0"/>
      <w:marTop w:val="0"/>
      <w:marBottom w:val="0"/>
      <w:divBdr>
        <w:top w:val="none" w:sz="0" w:space="0" w:color="auto"/>
        <w:left w:val="none" w:sz="0" w:space="0" w:color="auto"/>
        <w:bottom w:val="none" w:sz="0" w:space="0" w:color="auto"/>
        <w:right w:val="none" w:sz="0" w:space="0" w:color="auto"/>
      </w:divBdr>
      <w:divsChild>
        <w:div w:id="500894083">
          <w:marLeft w:val="720"/>
          <w:marRight w:val="0"/>
          <w:marTop w:val="168"/>
          <w:marBottom w:val="0"/>
          <w:divBdr>
            <w:top w:val="none" w:sz="0" w:space="0" w:color="auto"/>
            <w:left w:val="none" w:sz="0" w:space="0" w:color="auto"/>
            <w:bottom w:val="none" w:sz="0" w:space="0" w:color="auto"/>
            <w:right w:val="none" w:sz="0" w:space="0" w:color="auto"/>
          </w:divBdr>
        </w:div>
        <w:div w:id="231084373">
          <w:marLeft w:val="720"/>
          <w:marRight w:val="0"/>
          <w:marTop w:val="168"/>
          <w:marBottom w:val="0"/>
          <w:divBdr>
            <w:top w:val="none" w:sz="0" w:space="0" w:color="auto"/>
            <w:left w:val="none" w:sz="0" w:space="0" w:color="auto"/>
            <w:bottom w:val="none" w:sz="0" w:space="0" w:color="auto"/>
            <w:right w:val="none" w:sz="0" w:space="0" w:color="auto"/>
          </w:divBdr>
        </w:div>
        <w:div w:id="735276063">
          <w:marLeft w:val="720"/>
          <w:marRight w:val="0"/>
          <w:marTop w:val="168"/>
          <w:marBottom w:val="0"/>
          <w:divBdr>
            <w:top w:val="none" w:sz="0" w:space="0" w:color="auto"/>
            <w:left w:val="none" w:sz="0" w:space="0" w:color="auto"/>
            <w:bottom w:val="none" w:sz="0" w:space="0" w:color="auto"/>
            <w:right w:val="none" w:sz="0" w:space="0" w:color="auto"/>
          </w:divBdr>
        </w:div>
        <w:div w:id="367684495">
          <w:marLeft w:val="720"/>
          <w:marRight w:val="0"/>
          <w:marTop w:val="168"/>
          <w:marBottom w:val="0"/>
          <w:divBdr>
            <w:top w:val="none" w:sz="0" w:space="0" w:color="auto"/>
            <w:left w:val="none" w:sz="0" w:space="0" w:color="auto"/>
            <w:bottom w:val="none" w:sz="0" w:space="0" w:color="auto"/>
            <w:right w:val="none" w:sz="0" w:space="0" w:color="auto"/>
          </w:divBdr>
        </w:div>
        <w:div w:id="60448565">
          <w:marLeft w:val="720"/>
          <w:marRight w:val="0"/>
          <w:marTop w:val="168"/>
          <w:marBottom w:val="0"/>
          <w:divBdr>
            <w:top w:val="none" w:sz="0" w:space="0" w:color="auto"/>
            <w:left w:val="none" w:sz="0" w:space="0" w:color="auto"/>
            <w:bottom w:val="none" w:sz="0" w:space="0" w:color="auto"/>
            <w:right w:val="none" w:sz="0" w:space="0" w:color="auto"/>
          </w:divBdr>
        </w:div>
      </w:divsChild>
    </w:div>
    <w:div w:id="680426946">
      <w:bodyDiv w:val="1"/>
      <w:marLeft w:val="0"/>
      <w:marRight w:val="0"/>
      <w:marTop w:val="0"/>
      <w:marBottom w:val="0"/>
      <w:divBdr>
        <w:top w:val="none" w:sz="0" w:space="0" w:color="auto"/>
        <w:left w:val="none" w:sz="0" w:space="0" w:color="auto"/>
        <w:bottom w:val="none" w:sz="0" w:space="0" w:color="auto"/>
        <w:right w:val="none" w:sz="0" w:space="0" w:color="auto"/>
      </w:divBdr>
    </w:div>
    <w:div w:id="731343665">
      <w:bodyDiv w:val="1"/>
      <w:marLeft w:val="0"/>
      <w:marRight w:val="0"/>
      <w:marTop w:val="0"/>
      <w:marBottom w:val="0"/>
      <w:divBdr>
        <w:top w:val="none" w:sz="0" w:space="0" w:color="auto"/>
        <w:left w:val="none" w:sz="0" w:space="0" w:color="auto"/>
        <w:bottom w:val="none" w:sz="0" w:space="0" w:color="auto"/>
        <w:right w:val="none" w:sz="0" w:space="0" w:color="auto"/>
      </w:divBdr>
    </w:div>
    <w:div w:id="799029037">
      <w:bodyDiv w:val="1"/>
      <w:marLeft w:val="0"/>
      <w:marRight w:val="0"/>
      <w:marTop w:val="0"/>
      <w:marBottom w:val="0"/>
      <w:divBdr>
        <w:top w:val="none" w:sz="0" w:space="0" w:color="auto"/>
        <w:left w:val="none" w:sz="0" w:space="0" w:color="auto"/>
        <w:bottom w:val="none" w:sz="0" w:space="0" w:color="auto"/>
        <w:right w:val="none" w:sz="0" w:space="0" w:color="auto"/>
      </w:divBdr>
    </w:div>
    <w:div w:id="927347951">
      <w:bodyDiv w:val="1"/>
      <w:marLeft w:val="0"/>
      <w:marRight w:val="0"/>
      <w:marTop w:val="0"/>
      <w:marBottom w:val="0"/>
      <w:divBdr>
        <w:top w:val="none" w:sz="0" w:space="0" w:color="auto"/>
        <w:left w:val="none" w:sz="0" w:space="0" w:color="auto"/>
        <w:bottom w:val="none" w:sz="0" w:space="0" w:color="auto"/>
        <w:right w:val="none" w:sz="0" w:space="0" w:color="auto"/>
      </w:divBdr>
    </w:div>
    <w:div w:id="991178929">
      <w:bodyDiv w:val="1"/>
      <w:marLeft w:val="0"/>
      <w:marRight w:val="0"/>
      <w:marTop w:val="0"/>
      <w:marBottom w:val="0"/>
      <w:divBdr>
        <w:top w:val="none" w:sz="0" w:space="0" w:color="auto"/>
        <w:left w:val="none" w:sz="0" w:space="0" w:color="auto"/>
        <w:bottom w:val="none" w:sz="0" w:space="0" w:color="auto"/>
        <w:right w:val="none" w:sz="0" w:space="0" w:color="auto"/>
      </w:divBdr>
    </w:div>
    <w:div w:id="1147547572">
      <w:bodyDiv w:val="1"/>
      <w:marLeft w:val="0"/>
      <w:marRight w:val="0"/>
      <w:marTop w:val="0"/>
      <w:marBottom w:val="0"/>
      <w:divBdr>
        <w:top w:val="none" w:sz="0" w:space="0" w:color="auto"/>
        <w:left w:val="none" w:sz="0" w:space="0" w:color="auto"/>
        <w:bottom w:val="none" w:sz="0" w:space="0" w:color="auto"/>
        <w:right w:val="none" w:sz="0" w:space="0" w:color="auto"/>
      </w:divBdr>
    </w:div>
    <w:div w:id="1203133422">
      <w:bodyDiv w:val="1"/>
      <w:marLeft w:val="0"/>
      <w:marRight w:val="0"/>
      <w:marTop w:val="0"/>
      <w:marBottom w:val="0"/>
      <w:divBdr>
        <w:top w:val="none" w:sz="0" w:space="0" w:color="auto"/>
        <w:left w:val="none" w:sz="0" w:space="0" w:color="auto"/>
        <w:bottom w:val="none" w:sz="0" w:space="0" w:color="auto"/>
        <w:right w:val="none" w:sz="0" w:space="0" w:color="auto"/>
      </w:divBdr>
      <w:divsChild>
        <w:div w:id="496069299">
          <w:marLeft w:val="0"/>
          <w:marRight w:val="0"/>
          <w:marTop w:val="0"/>
          <w:marBottom w:val="0"/>
          <w:divBdr>
            <w:top w:val="none" w:sz="0" w:space="0" w:color="auto"/>
            <w:left w:val="none" w:sz="0" w:space="0" w:color="auto"/>
            <w:bottom w:val="none" w:sz="0" w:space="0" w:color="auto"/>
            <w:right w:val="none" w:sz="0" w:space="0" w:color="auto"/>
          </w:divBdr>
        </w:div>
        <w:div w:id="170219374">
          <w:marLeft w:val="0"/>
          <w:marRight w:val="0"/>
          <w:marTop w:val="0"/>
          <w:marBottom w:val="0"/>
          <w:divBdr>
            <w:top w:val="none" w:sz="0" w:space="0" w:color="auto"/>
            <w:left w:val="none" w:sz="0" w:space="0" w:color="auto"/>
            <w:bottom w:val="none" w:sz="0" w:space="0" w:color="auto"/>
            <w:right w:val="none" w:sz="0" w:space="0" w:color="auto"/>
          </w:divBdr>
        </w:div>
        <w:div w:id="1240601136">
          <w:marLeft w:val="0"/>
          <w:marRight w:val="0"/>
          <w:marTop w:val="0"/>
          <w:marBottom w:val="0"/>
          <w:divBdr>
            <w:top w:val="none" w:sz="0" w:space="0" w:color="auto"/>
            <w:left w:val="none" w:sz="0" w:space="0" w:color="auto"/>
            <w:bottom w:val="none" w:sz="0" w:space="0" w:color="auto"/>
            <w:right w:val="none" w:sz="0" w:space="0" w:color="auto"/>
          </w:divBdr>
        </w:div>
        <w:div w:id="1039160264">
          <w:marLeft w:val="0"/>
          <w:marRight w:val="0"/>
          <w:marTop w:val="0"/>
          <w:marBottom w:val="0"/>
          <w:divBdr>
            <w:top w:val="none" w:sz="0" w:space="0" w:color="auto"/>
            <w:left w:val="none" w:sz="0" w:space="0" w:color="auto"/>
            <w:bottom w:val="none" w:sz="0" w:space="0" w:color="auto"/>
            <w:right w:val="none" w:sz="0" w:space="0" w:color="auto"/>
          </w:divBdr>
        </w:div>
        <w:div w:id="1074475942">
          <w:marLeft w:val="0"/>
          <w:marRight w:val="0"/>
          <w:marTop w:val="0"/>
          <w:marBottom w:val="0"/>
          <w:divBdr>
            <w:top w:val="none" w:sz="0" w:space="0" w:color="auto"/>
            <w:left w:val="none" w:sz="0" w:space="0" w:color="auto"/>
            <w:bottom w:val="none" w:sz="0" w:space="0" w:color="auto"/>
            <w:right w:val="none" w:sz="0" w:space="0" w:color="auto"/>
          </w:divBdr>
        </w:div>
        <w:div w:id="121004827">
          <w:marLeft w:val="0"/>
          <w:marRight w:val="0"/>
          <w:marTop w:val="0"/>
          <w:marBottom w:val="0"/>
          <w:divBdr>
            <w:top w:val="none" w:sz="0" w:space="0" w:color="auto"/>
            <w:left w:val="none" w:sz="0" w:space="0" w:color="auto"/>
            <w:bottom w:val="none" w:sz="0" w:space="0" w:color="auto"/>
            <w:right w:val="none" w:sz="0" w:space="0" w:color="auto"/>
          </w:divBdr>
        </w:div>
        <w:div w:id="994070616">
          <w:marLeft w:val="0"/>
          <w:marRight w:val="0"/>
          <w:marTop w:val="0"/>
          <w:marBottom w:val="0"/>
          <w:divBdr>
            <w:top w:val="none" w:sz="0" w:space="0" w:color="auto"/>
            <w:left w:val="none" w:sz="0" w:space="0" w:color="auto"/>
            <w:bottom w:val="none" w:sz="0" w:space="0" w:color="auto"/>
            <w:right w:val="none" w:sz="0" w:space="0" w:color="auto"/>
          </w:divBdr>
        </w:div>
        <w:div w:id="1596279720">
          <w:marLeft w:val="0"/>
          <w:marRight w:val="0"/>
          <w:marTop w:val="0"/>
          <w:marBottom w:val="0"/>
          <w:divBdr>
            <w:top w:val="none" w:sz="0" w:space="0" w:color="auto"/>
            <w:left w:val="none" w:sz="0" w:space="0" w:color="auto"/>
            <w:bottom w:val="none" w:sz="0" w:space="0" w:color="auto"/>
            <w:right w:val="none" w:sz="0" w:space="0" w:color="auto"/>
          </w:divBdr>
        </w:div>
        <w:div w:id="231307291">
          <w:marLeft w:val="0"/>
          <w:marRight w:val="0"/>
          <w:marTop w:val="0"/>
          <w:marBottom w:val="0"/>
          <w:divBdr>
            <w:top w:val="none" w:sz="0" w:space="0" w:color="auto"/>
            <w:left w:val="none" w:sz="0" w:space="0" w:color="auto"/>
            <w:bottom w:val="none" w:sz="0" w:space="0" w:color="auto"/>
            <w:right w:val="none" w:sz="0" w:space="0" w:color="auto"/>
          </w:divBdr>
        </w:div>
        <w:div w:id="1105032402">
          <w:marLeft w:val="0"/>
          <w:marRight w:val="0"/>
          <w:marTop w:val="0"/>
          <w:marBottom w:val="0"/>
          <w:divBdr>
            <w:top w:val="none" w:sz="0" w:space="0" w:color="auto"/>
            <w:left w:val="none" w:sz="0" w:space="0" w:color="auto"/>
            <w:bottom w:val="none" w:sz="0" w:space="0" w:color="auto"/>
            <w:right w:val="none" w:sz="0" w:space="0" w:color="auto"/>
          </w:divBdr>
        </w:div>
        <w:div w:id="1057901275">
          <w:marLeft w:val="0"/>
          <w:marRight w:val="0"/>
          <w:marTop w:val="0"/>
          <w:marBottom w:val="0"/>
          <w:divBdr>
            <w:top w:val="none" w:sz="0" w:space="0" w:color="auto"/>
            <w:left w:val="none" w:sz="0" w:space="0" w:color="auto"/>
            <w:bottom w:val="none" w:sz="0" w:space="0" w:color="auto"/>
            <w:right w:val="none" w:sz="0" w:space="0" w:color="auto"/>
          </w:divBdr>
        </w:div>
      </w:divsChild>
    </w:div>
    <w:div w:id="1254633739">
      <w:bodyDiv w:val="1"/>
      <w:marLeft w:val="0"/>
      <w:marRight w:val="0"/>
      <w:marTop w:val="0"/>
      <w:marBottom w:val="0"/>
      <w:divBdr>
        <w:top w:val="none" w:sz="0" w:space="0" w:color="auto"/>
        <w:left w:val="none" w:sz="0" w:space="0" w:color="auto"/>
        <w:bottom w:val="none" w:sz="0" w:space="0" w:color="auto"/>
        <w:right w:val="none" w:sz="0" w:space="0" w:color="auto"/>
      </w:divBdr>
      <w:divsChild>
        <w:div w:id="1579245980">
          <w:marLeft w:val="0"/>
          <w:marRight w:val="0"/>
          <w:marTop w:val="0"/>
          <w:marBottom w:val="0"/>
          <w:divBdr>
            <w:top w:val="none" w:sz="0" w:space="0" w:color="auto"/>
            <w:left w:val="none" w:sz="0" w:space="0" w:color="auto"/>
            <w:bottom w:val="none" w:sz="0" w:space="0" w:color="auto"/>
            <w:right w:val="none" w:sz="0" w:space="0" w:color="auto"/>
          </w:divBdr>
          <w:divsChild>
            <w:div w:id="2163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98235">
      <w:bodyDiv w:val="1"/>
      <w:marLeft w:val="0"/>
      <w:marRight w:val="0"/>
      <w:marTop w:val="0"/>
      <w:marBottom w:val="0"/>
      <w:divBdr>
        <w:top w:val="none" w:sz="0" w:space="0" w:color="auto"/>
        <w:left w:val="none" w:sz="0" w:space="0" w:color="auto"/>
        <w:bottom w:val="none" w:sz="0" w:space="0" w:color="auto"/>
        <w:right w:val="none" w:sz="0" w:space="0" w:color="auto"/>
      </w:divBdr>
    </w:div>
    <w:div w:id="1831753304">
      <w:bodyDiv w:val="1"/>
      <w:marLeft w:val="0"/>
      <w:marRight w:val="0"/>
      <w:marTop w:val="0"/>
      <w:marBottom w:val="0"/>
      <w:divBdr>
        <w:top w:val="none" w:sz="0" w:space="0" w:color="auto"/>
        <w:left w:val="none" w:sz="0" w:space="0" w:color="auto"/>
        <w:bottom w:val="none" w:sz="0" w:space="0" w:color="auto"/>
        <w:right w:val="none" w:sz="0" w:space="0" w:color="auto"/>
      </w:divBdr>
    </w:div>
    <w:div w:id="1930233492">
      <w:bodyDiv w:val="1"/>
      <w:marLeft w:val="0"/>
      <w:marRight w:val="0"/>
      <w:marTop w:val="0"/>
      <w:marBottom w:val="0"/>
      <w:divBdr>
        <w:top w:val="none" w:sz="0" w:space="0" w:color="auto"/>
        <w:left w:val="none" w:sz="0" w:space="0" w:color="auto"/>
        <w:bottom w:val="none" w:sz="0" w:space="0" w:color="auto"/>
        <w:right w:val="none" w:sz="0" w:space="0" w:color="auto"/>
      </w:divBdr>
    </w:div>
    <w:div w:id="2098937064">
      <w:bodyDiv w:val="1"/>
      <w:marLeft w:val="0"/>
      <w:marRight w:val="0"/>
      <w:marTop w:val="0"/>
      <w:marBottom w:val="0"/>
      <w:divBdr>
        <w:top w:val="none" w:sz="0" w:space="0" w:color="auto"/>
        <w:left w:val="none" w:sz="0" w:space="0" w:color="auto"/>
        <w:bottom w:val="none" w:sz="0" w:space="0" w:color="auto"/>
        <w:right w:val="none" w:sz="0" w:space="0" w:color="auto"/>
      </w:divBdr>
      <w:divsChild>
        <w:div w:id="500850938">
          <w:marLeft w:val="288"/>
          <w:marRight w:val="0"/>
          <w:marTop w:val="151"/>
          <w:marBottom w:val="0"/>
          <w:divBdr>
            <w:top w:val="none" w:sz="0" w:space="0" w:color="auto"/>
            <w:left w:val="none" w:sz="0" w:space="0" w:color="auto"/>
            <w:bottom w:val="none" w:sz="0" w:space="0" w:color="auto"/>
            <w:right w:val="none" w:sz="0" w:space="0" w:color="auto"/>
          </w:divBdr>
        </w:div>
        <w:div w:id="981619774">
          <w:marLeft w:val="288"/>
          <w:marRight w:val="0"/>
          <w:marTop w:val="151"/>
          <w:marBottom w:val="0"/>
          <w:divBdr>
            <w:top w:val="none" w:sz="0" w:space="0" w:color="auto"/>
            <w:left w:val="none" w:sz="0" w:space="0" w:color="auto"/>
            <w:bottom w:val="none" w:sz="0" w:space="0" w:color="auto"/>
            <w:right w:val="none" w:sz="0" w:space="0" w:color="auto"/>
          </w:divBdr>
        </w:div>
        <w:div w:id="371270466">
          <w:marLeft w:val="288"/>
          <w:marRight w:val="0"/>
          <w:marTop w:val="151"/>
          <w:marBottom w:val="0"/>
          <w:divBdr>
            <w:top w:val="none" w:sz="0" w:space="0" w:color="auto"/>
            <w:left w:val="none" w:sz="0" w:space="0" w:color="auto"/>
            <w:bottom w:val="none" w:sz="0" w:space="0" w:color="auto"/>
            <w:right w:val="none" w:sz="0" w:space="0" w:color="auto"/>
          </w:divBdr>
        </w:div>
        <w:div w:id="650795491">
          <w:marLeft w:val="288"/>
          <w:marRight w:val="0"/>
          <w:marTop w:val="151"/>
          <w:marBottom w:val="0"/>
          <w:divBdr>
            <w:top w:val="none" w:sz="0" w:space="0" w:color="auto"/>
            <w:left w:val="none" w:sz="0" w:space="0" w:color="auto"/>
            <w:bottom w:val="none" w:sz="0" w:space="0" w:color="auto"/>
            <w:right w:val="none" w:sz="0" w:space="0" w:color="auto"/>
          </w:divBdr>
        </w:div>
      </w:divsChild>
    </w:div>
    <w:div w:id="211046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agencystandingcommittee.org/reference-group-risk-early-warning-and-preparedness/documents/index-risk-management-briefing-note" TargetMode="External"/><Relationship Id="rId18" Type="http://schemas.openxmlformats.org/officeDocument/2006/relationships/hyperlink" Target="https://interagencystandingcommittee.org/reference-group-risk-early-warning-and-preparedness/documents/index-risk-management-briefing-not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nteragencystandingcommittee.org/reference-group-risk-early-warning-and-preparedness/documents/simulations-workstream-update-13-oct" TargetMode="External"/><Relationship Id="rId7" Type="http://schemas.openxmlformats.org/officeDocument/2006/relationships/endnotes" Target="endnotes.xml"/><Relationship Id="rId12" Type="http://schemas.openxmlformats.org/officeDocument/2006/relationships/hyperlink" Target="https://interagencystandingcommittee.org/reference-group-early-warning-and-preparedness/meetings/global-preparedness-partnership-update" TargetMode="External"/><Relationship Id="rId17" Type="http://schemas.openxmlformats.org/officeDocument/2006/relationships/hyperlink" Target="http://www.inform-index.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eragencystandingcommittee.org/reference-group-early-warning-and-preparedness/documents/ew-workstream-update-risk-ew-and-ea-sub" TargetMode="External"/><Relationship Id="rId20" Type="http://schemas.openxmlformats.org/officeDocument/2006/relationships/hyperlink" Target="https://www.humanitarianresponse.info/en/coordination/preparedn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agencystandingcommittee.org/reference-group-risk-early-warning-and-preparedness/news/draft-rg-rewp-work-plan-2016-2017"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nteragencystandingcommittee.org/reference-group-risk-early-warning-and-preparedness/content/iasc-early-warning-early-action-and" TargetMode="External"/><Relationship Id="rId23" Type="http://schemas.openxmlformats.org/officeDocument/2006/relationships/hyperlink" Target="https://interagencystandingcommittee.org/reference-group-risk-early-warning-and-preparedness/documents/alert-flyer" TargetMode="External"/><Relationship Id="rId10" Type="http://schemas.openxmlformats.org/officeDocument/2006/relationships/hyperlink" Target="https://interagencystandingcommittee.org/reference-group-risk-early-warning-and-preparedness/meetings/rg-risk-early-warning-and-preparedness" TargetMode="External"/><Relationship Id="rId19" Type="http://schemas.openxmlformats.org/officeDocument/2006/relationships/hyperlink" Target="https://interagencystandingcommittee.org/reference-group-risk-early-warning-and-preparedness/documents/presentation-emergency-response" TargetMode="External"/><Relationship Id="rId4" Type="http://schemas.openxmlformats.org/officeDocument/2006/relationships/settings" Target="settings.xml"/><Relationship Id="rId9" Type="http://schemas.openxmlformats.org/officeDocument/2006/relationships/hyperlink" Target="https://interagencystandingcommittee.org/reference-group-risk-early-warning-and-preparedness" TargetMode="External"/><Relationship Id="rId14" Type="http://schemas.openxmlformats.org/officeDocument/2006/relationships/hyperlink" Target="https://interagencystandingcommittee.org/reference-group-risk-early-warning-and-preparedness/documents/alert-flyer" TargetMode="External"/><Relationship Id="rId22" Type="http://schemas.openxmlformats.org/officeDocument/2006/relationships/hyperlink" Target="https://interagencystandingcommittee.org/reference-group-risk-early-warning-and-preparedness/documents/return-investment-emer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9AA0B-F1CB-4128-84D8-9C29B37DE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4</Pages>
  <Words>1842</Words>
  <Characters>10501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IASC Reference Group REWP - Meeting Minutes - 13 October 2016</vt:lpstr>
    </vt:vector>
  </TitlesOfParts>
  <Manager>jo.scheuer@undp.org</Manager>
  <Company>UNDP BPPS CDT</Company>
  <LinksUpToDate>false</LinksUpToDate>
  <CharactersWithSpaces>12319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IASC Reference Group REWP - Meeting Minutes - 13 October 2016</dc:title>
  <dc:subject/>
  <dc:creator>patrick.gremillet@undp.org;anthony.craig@wfp.org;johanna.tahtinen@undp.org</dc:creator>
  <cp:keywords>risk; early warning; preparedness</cp:keywords>
  <dc:description>Reference Group on Risk, Early Warning and Preparedness - 3rd Meeting - October 2016
</dc:description>
  <cp:lastModifiedBy>Patrick Gremillet</cp:lastModifiedBy>
  <cp:revision>18</cp:revision>
  <dcterms:created xsi:type="dcterms:W3CDTF">2016-10-18T15:18:00Z</dcterms:created>
  <dcterms:modified xsi:type="dcterms:W3CDTF">2016-10-28T07:44:00Z</dcterms:modified>
  <cp:category>Meeting Minutes</cp:category>
  <cp:contentStatus>Final</cp:contentStatus>
</cp:coreProperties>
</file>