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43280" w14:textId="77777777" w:rsidR="001F7C4A" w:rsidRDefault="001F7C4A" w:rsidP="005B0A6D">
      <w:pPr>
        <w:spacing w:before="0"/>
        <w:rPr>
          <w:sz w:val="20"/>
          <w:szCs w:val="20"/>
        </w:rPr>
      </w:pPr>
    </w:p>
    <w:p w14:paraId="39121053" w14:textId="77777777" w:rsidR="00AD1B22" w:rsidRDefault="00AD1B22" w:rsidP="00AD1B22">
      <w:pPr>
        <w:spacing w:line="240" w:lineRule="auto"/>
        <w:ind w:left="720" w:hanging="720"/>
        <w:jc w:val="center"/>
        <w:rPr>
          <w:szCs w:val="22"/>
        </w:rPr>
      </w:pPr>
      <w:r>
        <w:rPr>
          <w:smallCaps/>
          <w:sz w:val="24"/>
        </w:rPr>
        <w:t xml:space="preserve">Inter-Agency Standing Committee </w:t>
      </w:r>
    </w:p>
    <w:p w14:paraId="0508FFFF" w14:textId="77777777" w:rsidR="00AD1B22" w:rsidRDefault="00AD1B22" w:rsidP="00AD1B22">
      <w:pPr>
        <w:spacing w:line="240" w:lineRule="auto"/>
        <w:jc w:val="center"/>
      </w:pPr>
      <w:r>
        <w:rPr>
          <w:smallCaps/>
          <w:sz w:val="24"/>
        </w:rPr>
        <w:t>91</w:t>
      </w:r>
      <w:r>
        <w:rPr>
          <w:smallCaps/>
          <w:sz w:val="24"/>
          <w:vertAlign w:val="superscript"/>
        </w:rPr>
        <w:t>st</w:t>
      </w:r>
      <w:r>
        <w:rPr>
          <w:smallCaps/>
          <w:sz w:val="24"/>
        </w:rPr>
        <w:t xml:space="preserve"> IASC Working Group Meeting</w:t>
      </w:r>
    </w:p>
    <w:p w14:paraId="455183D2" w14:textId="1E14B600" w:rsidR="00AD1B22" w:rsidRDefault="00AD1B22" w:rsidP="00AA1D51">
      <w:pPr>
        <w:spacing w:before="360" w:line="240" w:lineRule="auto"/>
        <w:jc w:val="center"/>
      </w:pPr>
      <w:r>
        <w:rPr>
          <w:b/>
          <w:sz w:val="36"/>
          <w:szCs w:val="36"/>
        </w:rPr>
        <w:t>Agenda</w:t>
      </w:r>
    </w:p>
    <w:p w14:paraId="633AF33E" w14:textId="77777777" w:rsidR="00AD1B22" w:rsidRDefault="00AD1B22" w:rsidP="00AA1D51">
      <w:pPr>
        <w:spacing w:line="240" w:lineRule="auto"/>
        <w:jc w:val="center"/>
      </w:pPr>
      <w:r>
        <w:rPr>
          <w:smallCaps/>
          <w:sz w:val="24"/>
        </w:rPr>
        <w:t>25-26 October 2016</w:t>
      </w:r>
    </w:p>
    <w:p w14:paraId="67927733" w14:textId="77777777" w:rsidR="00AD1B22" w:rsidRDefault="00AD1B22" w:rsidP="00AD1B22">
      <w:pPr>
        <w:spacing w:line="240" w:lineRule="auto"/>
        <w:jc w:val="center"/>
        <w:rPr>
          <w:sz w:val="24"/>
        </w:rPr>
      </w:pPr>
      <w:r>
        <w:rPr>
          <w:sz w:val="24"/>
        </w:rPr>
        <w:t>Host: OCHA, New York</w:t>
      </w:r>
    </w:p>
    <w:p w14:paraId="78F3CC05" w14:textId="77777777" w:rsidR="00AD1B22" w:rsidRDefault="00AD1B22" w:rsidP="005B0A6D">
      <w:pPr>
        <w:spacing w:before="0"/>
        <w:rPr>
          <w:sz w:val="20"/>
          <w:szCs w:val="20"/>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7181"/>
      </w:tblGrid>
      <w:tr w:rsidR="001F7C4A" w:rsidRPr="005B0A6D" w14:paraId="01782CCD" w14:textId="77777777" w:rsidTr="2D7792BA">
        <w:trPr>
          <w:jc w:val="center"/>
        </w:trPr>
        <w:tc>
          <w:tcPr>
            <w:tcW w:w="1714" w:type="dxa"/>
            <w:shd w:val="clear" w:color="auto" w:fill="C0C0C0"/>
          </w:tcPr>
          <w:p w14:paraId="3BE6DC9E" w14:textId="77777777" w:rsidR="001F7C4A" w:rsidRPr="005B0A6D" w:rsidRDefault="001F7C4A" w:rsidP="00CB080F">
            <w:pPr>
              <w:pStyle w:val="TableHead"/>
              <w:spacing w:before="0" w:after="0"/>
              <w:rPr>
                <w:sz w:val="20"/>
                <w:szCs w:val="20"/>
              </w:rPr>
            </w:pPr>
            <w:r w:rsidRPr="005B0A6D">
              <w:rPr>
                <w:sz w:val="20"/>
                <w:szCs w:val="20"/>
              </w:rPr>
              <w:t>Time</w:t>
            </w:r>
          </w:p>
        </w:tc>
        <w:tc>
          <w:tcPr>
            <w:tcW w:w="7181" w:type="dxa"/>
            <w:shd w:val="clear" w:color="auto" w:fill="C0C0C0"/>
          </w:tcPr>
          <w:p w14:paraId="22AA7C88" w14:textId="77777777" w:rsidR="001F7C4A" w:rsidRPr="00AD1B22" w:rsidRDefault="00AD1B22" w:rsidP="00AD1B22">
            <w:pPr>
              <w:spacing w:before="0" w:after="240"/>
              <w:rPr>
                <w:b/>
                <w:bCs/>
              </w:rPr>
            </w:pPr>
            <w:r w:rsidRPr="00AD1B22">
              <w:rPr>
                <w:b/>
                <w:bCs/>
              </w:rPr>
              <w:t>Day 1: Tuesday, 25 October 2016</w:t>
            </w:r>
          </w:p>
        </w:tc>
      </w:tr>
      <w:tr w:rsidR="001F7C4A" w:rsidRPr="005B0A6D" w14:paraId="75E24BCA" w14:textId="77777777" w:rsidTr="2D7792BA">
        <w:trPr>
          <w:jc w:val="center"/>
        </w:trPr>
        <w:tc>
          <w:tcPr>
            <w:tcW w:w="1714" w:type="dxa"/>
          </w:tcPr>
          <w:p w14:paraId="7A5B5B35" w14:textId="7B8EC85D" w:rsidR="001F7C4A" w:rsidRPr="006C71B7" w:rsidRDefault="00F8539C" w:rsidP="001A4850">
            <w:pPr>
              <w:pStyle w:val="TableText"/>
              <w:spacing w:before="0" w:after="0"/>
              <w:rPr>
                <w:b/>
                <w:bCs w:val="0"/>
                <w:sz w:val="20"/>
                <w:u w:val="double"/>
              </w:rPr>
            </w:pPr>
            <w:r>
              <w:rPr>
                <w:b/>
                <w:bCs w:val="0"/>
                <w:color w:val="0070C0"/>
                <w:sz w:val="20"/>
                <w:lang w:val="es-ES"/>
              </w:rPr>
              <w:t>0</w:t>
            </w:r>
            <w:r w:rsidR="001A4850">
              <w:rPr>
                <w:b/>
                <w:bCs w:val="0"/>
                <w:color w:val="0070C0"/>
                <w:sz w:val="20"/>
                <w:lang w:val="es-ES"/>
              </w:rPr>
              <w:t>8</w:t>
            </w:r>
            <w:r w:rsidR="00AD1B22" w:rsidRPr="006C71B7">
              <w:rPr>
                <w:b/>
                <w:bCs w:val="0"/>
                <w:color w:val="0070C0"/>
                <w:sz w:val="20"/>
                <w:lang w:val="es-ES"/>
              </w:rPr>
              <w:t>:</w:t>
            </w:r>
            <w:r w:rsidR="001A4850">
              <w:rPr>
                <w:b/>
                <w:bCs w:val="0"/>
                <w:color w:val="0070C0"/>
                <w:sz w:val="20"/>
                <w:lang w:val="es-ES"/>
              </w:rPr>
              <w:t>45</w:t>
            </w:r>
            <w:r w:rsidR="00AD1B22" w:rsidRPr="006C71B7">
              <w:rPr>
                <w:b/>
                <w:bCs w:val="0"/>
                <w:color w:val="0070C0"/>
                <w:sz w:val="20"/>
                <w:lang w:val="es-ES"/>
              </w:rPr>
              <w:t xml:space="preserve"> – </w:t>
            </w:r>
            <w:r>
              <w:rPr>
                <w:b/>
                <w:bCs w:val="0"/>
                <w:color w:val="0070C0"/>
                <w:sz w:val="20"/>
                <w:lang w:val="es-ES"/>
              </w:rPr>
              <w:t>0</w:t>
            </w:r>
            <w:r w:rsidR="00AD1B22" w:rsidRPr="006C71B7">
              <w:rPr>
                <w:b/>
                <w:bCs w:val="0"/>
                <w:color w:val="0070C0"/>
                <w:sz w:val="20"/>
                <w:lang w:val="es-ES"/>
              </w:rPr>
              <w:t>9:</w:t>
            </w:r>
            <w:r w:rsidR="001A4850">
              <w:rPr>
                <w:b/>
                <w:bCs w:val="0"/>
                <w:color w:val="0070C0"/>
                <w:sz w:val="20"/>
                <w:lang w:val="es-ES"/>
              </w:rPr>
              <w:t>15</w:t>
            </w:r>
          </w:p>
        </w:tc>
        <w:tc>
          <w:tcPr>
            <w:tcW w:w="7181" w:type="dxa"/>
          </w:tcPr>
          <w:p w14:paraId="1DC6FCF0" w14:textId="77777777" w:rsidR="001F7C4A" w:rsidRPr="00D001CE" w:rsidRDefault="00AD1B22" w:rsidP="00AD1B22">
            <w:pPr>
              <w:spacing w:before="0" w:after="240"/>
              <w:rPr>
                <w:b/>
                <w:szCs w:val="22"/>
              </w:rPr>
            </w:pPr>
            <w:r w:rsidRPr="00D001CE">
              <w:rPr>
                <w:b/>
                <w:color w:val="0070C0"/>
                <w:szCs w:val="22"/>
              </w:rPr>
              <w:t>Arrival with Coffee / Tea</w:t>
            </w:r>
          </w:p>
        </w:tc>
      </w:tr>
      <w:tr w:rsidR="001F7C4A" w:rsidRPr="005B0A6D" w14:paraId="067B761B" w14:textId="77777777" w:rsidTr="2D7792BA">
        <w:trPr>
          <w:jc w:val="center"/>
        </w:trPr>
        <w:tc>
          <w:tcPr>
            <w:tcW w:w="1714" w:type="dxa"/>
          </w:tcPr>
          <w:p w14:paraId="058284F7" w14:textId="19E20385" w:rsidR="001F7C4A" w:rsidRPr="006C71B7" w:rsidRDefault="00F8539C" w:rsidP="001A4850">
            <w:pPr>
              <w:pStyle w:val="TableText"/>
              <w:spacing w:before="0" w:after="0"/>
              <w:rPr>
                <w:b/>
                <w:sz w:val="20"/>
              </w:rPr>
            </w:pPr>
            <w:r>
              <w:rPr>
                <w:b/>
                <w:bCs w:val="0"/>
                <w:sz w:val="20"/>
              </w:rPr>
              <w:t>0</w:t>
            </w:r>
            <w:r w:rsidR="001A4850">
              <w:rPr>
                <w:b/>
                <w:bCs w:val="0"/>
                <w:sz w:val="20"/>
              </w:rPr>
              <w:t>9:15</w:t>
            </w:r>
            <w:r w:rsidR="00D001CE" w:rsidRPr="006C71B7">
              <w:rPr>
                <w:b/>
                <w:bCs w:val="0"/>
                <w:sz w:val="20"/>
              </w:rPr>
              <w:t xml:space="preserve"> – </w:t>
            </w:r>
            <w:r>
              <w:rPr>
                <w:b/>
                <w:bCs w:val="0"/>
                <w:sz w:val="20"/>
              </w:rPr>
              <w:t>0</w:t>
            </w:r>
            <w:r w:rsidR="008876CC" w:rsidRPr="006C71B7">
              <w:rPr>
                <w:b/>
                <w:bCs w:val="0"/>
                <w:sz w:val="20"/>
              </w:rPr>
              <w:t>9:</w:t>
            </w:r>
            <w:r w:rsidR="001A4850">
              <w:rPr>
                <w:b/>
                <w:bCs w:val="0"/>
                <w:sz w:val="20"/>
              </w:rPr>
              <w:t>30</w:t>
            </w:r>
          </w:p>
        </w:tc>
        <w:tc>
          <w:tcPr>
            <w:tcW w:w="7181" w:type="dxa"/>
          </w:tcPr>
          <w:p w14:paraId="7B339F84" w14:textId="77777777" w:rsidR="001F7C4A" w:rsidRPr="00AD1B22" w:rsidRDefault="00AD1B22" w:rsidP="00AD1B22">
            <w:pPr>
              <w:spacing w:before="0" w:after="240"/>
              <w:rPr>
                <w:b/>
                <w:bCs/>
              </w:rPr>
            </w:pPr>
            <w:r w:rsidRPr="00AD1B22">
              <w:rPr>
                <w:b/>
                <w:bCs/>
              </w:rPr>
              <w:t>Welcoming remarks by Ms. Kyung-wha Kang, Chair of the IASC WG</w:t>
            </w:r>
          </w:p>
        </w:tc>
      </w:tr>
      <w:tr w:rsidR="001F7C4A" w:rsidRPr="005B0A6D" w14:paraId="193A3C13" w14:textId="77777777" w:rsidTr="2D7792BA">
        <w:trPr>
          <w:jc w:val="center"/>
        </w:trPr>
        <w:tc>
          <w:tcPr>
            <w:tcW w:w="1714" w:type="dxa"/>
          </w:tcPr>
          <w:p w14:paraId="496E93B1" w14:textId="30C6B34D" w:rsidR="00AD1B22" w:rsidRPr="006C71B7" w:rsidRDefault="00F8539C" w:rsidP="001A4850">
            <w:pPr>
              <w:pStyle w:val="TableText"/>
              <w:spacing w:before="0" w:after="0"/>
              <w:rPr>
                <w:b/>
                <w:bCs w:val="0"/>
                <w:sz w:val="20"/>
              </w:rPr>
            </w:pPr>
            <w:r>
              <w:rPr>
                <w:b/>
                <w:bCs w:val="0"/>
                <w:sz w:val="20"/>
              </w:rPr>
              <w:t>0</w:t>
            </w:r>
            <w:r w:rsidR="008876CC" w:rsidRPr="006C71B7">
              <w:rPr>
                <w:b/>
                <w:bCs w:val="0"/>
                <w:sz w:val="20"/>
              </w:rPr>
              <w:t>9:</w:t>
            </w:r>
            <w:r w:rsidR="001A4850">
              <w:rPr>
                <w:b/>
                <w:bCs w:val="0"/>
                <w:sz w:val="20"/>
              </w:rPr>
              <w:t>30</w:t>
            </w:r>
            <w:r w:rsidR="008876CC" w:rsidRPr="006C71B7">
              <w:rPr>
                <w:b/>
                <w:bCs w:val="0"/>
                <w:sz w:val="20"/>
              </w:rPr>
              <w:t xml:space="preserve"> </w:t>
            </w:r>
            <w:r w:rsidR="00AD1B22" w:rsidRPr="006C71B7">
              <w:rPr>
                <w:b/>
                <w:bCs w:val="0"/>
                <w:sz w:val="20"/>
              </w:rPr>
              <w:t>– 10:</w:t>
            </w:r>
            <w:r w:rsidR="001A4850">
              <w:rPr>
                <w:b/>
                <w:bCs w:val="0"/>
                <w:sz w:val="20"/>
              </w:rPr>
              <w:t>00</w:t>
            </w:r>
          </w:p>
          <w:p w14:paraId="3224DBBF" w14:textId="77777777" w:rsidR="001F7C4A" w:rsidRPr="006C71B7" w:rsidRDefault="001F7C4A" w:rsidP="00AD1B22">
            <w:pPr>
              <w:pStyle w:val="TableText"/>
              <w:spacing w:before="0" w:after="0"/>
              <w:rPr>
                <w:sz w:val="20"/>
                <w:lang w:val="es-ES"/>
              </w:rPr>
            </w:pPr>
          </w:p>
        </w:tc>
        <w:tc>
          <w:tcPr>
            <w:tcW w:w="7181" w:type="dxa"/>
          </w:tcPr>
          <w:p w14:paraId="4B0EFE2F" w14:textId="69C7BD31" w:rsidR="001F7C4A" w:rsidRPr="00AD1B22" w:rsidRDefault="00F52112" w:rsidP="00C23008">
            <w:pPr>
              <w:spacing w:before="0" w:after="240"/>
            </w:pPr>
            <w:r>
              <w:rPr>
                <w:b/>
                <w:bCs/>
              </w:rPr>
              <w:t xml:space="preserve">Keynote </w:t>
            </w:r>
            <w:r w:rsidR="00AD1B22" w:rsidRPr="00AD1B22">
              <w:rPr>
                <w:b/>
                <w:bCs/>
              </w:rPr>
              <w:t xml:space="preserve">remarks </w:t>
            </w:r>
            <w:r>
              <w:rPr>
                <w:b/>
                <w:bCs/>
              </w:rPr>
              <w:t>and interaction with</w:t>
            </w:r>
            <w:r w:rsidR="00AD1B22" w:rsidRPr="00AD1B22">
              <w:rPr>
                <w:b/>
                <w:bCs/>
              </w:rPr>
              <w:t xml:space="preserve"> Mr. Jan Eliasson, Deputy Secretary-General of the UN</w:t>
            </w:r>
            <w:r w:rsidR="004917DD">
              <w:rPr>
                <w:b/>
                <w:bCs/>
              </w:rPr>
              <w:t xml:space="preserve"> </w:t>
            </w:r>
          </w:p>
        </w:tc>
      </w:tr>
      <w:tr w:rsidR="00CC4CB0" w:rsidRPr="005B0A6D" w14:paraId="3D7BF78A" w14:textId="77777777" w:rsidTr="2D7792BA">
        <w:trPr>
          <w:jc w:val="center"/>
        </w:trPr>
        <w:tc>
          <w:tcPr>
            <w:tcW w:w="1714" w:type="dxa"/>
          </w:tcPr>
          <w:p w14:paraId="76E514B1" w14:textId="73E150C2" w:rsidR="00CC4CB0" w:rsidRDefault="00CC4CB0" w:rsidP="001A4850">
            <w:pPr>
              <w:pStyle w:val="TableText"/>
              <w:spacing w:before="0" w:after="0"/>
              <w:rPr>
                <w:b/>
                <w:bCs w:val="0"/>
                <w:sz w:val="20"/>
              </w:rPr>
            </w:pPr>
            <w:r>
              <w:rPr>
                <w:b/>
                <w:bCs w:val="0"/>
                <w:sz w:val="20"/>
              </w:rPr>
              <w:t>10:00-10:15</w:t>
            </w:r>
          </w:p>
        </w:tc>
        <w:tc>
          <w:tcPr>
            <w:tcW w:w="7181" w:type="dxa"/>
          </w:tcPr>
          <w:p w14:paraId="4D57D465" w14:textId="0AF1A8B1" w:rsidR="00CC4CB0" w:rsidRDefault="00CC4CB0" w:rsidP="00CC4CB0">
            <w:pPr>
              <w:spacing w:before="0" w:after="240"/>
              <w:rPr>
                <w:b/>
                <w:bCs/>
              </w:rPr>
            </w:pPr>
            <w:r>
              <w:rPr>
                <w:b/>
                <w:bCs/>
                <w:szCs w:val="22"/>
              </w:rPr>
              <w:t>Continuation of w</w:t>
            </w:r>
            <w:r w:rsidRPr="00A81C69">
              <w:rPr>
                <w:b/>
                <w:bCs/>
                <w:szCs w:val="22"/>
              </w:rPr>
              <w:t xml:space="preserve">elcoming remarks </w:t>
            </w:r>
            <w:r w:rsidRPr="00AD1B22">
              <w:rPr>
                <w:b/>
                <w:bCs/>
              </w:rPr>
              <w:t>by Ms. Kyung-wha Kang, Chair of the IASC WG</w:t>
            </w:r>
          </w:p>
        </w:tc>
      </w:tr>
      <w:tr w:rsidR="001F7C4A" w:rsidRPr="005B0A6D" w14:paraId="329593E2" w14:textId="77777777" w:rsidTr="2D7792BA">
        <w:trPr>
          <w:jc w:val="center"/>
        </w:trPr>
        <w:tc>
          <w:tcPr>
            <w:tcW w:w="1714" w:type="dxa"/>
            <w:tcBorders>
              <w:bottom w:val="single" w:sz="4" w:space="0" w:color="auto"/>
            </w:tcBorders>
          </w:tcPr>
          <w:p w14:paraId="6A1F6710" w14:textId="572DFD98" w:rsidR="001F7C4A" w:rsidRPr="006C71B7" w:rsidRDefault="00D001CE" w:rsidP="00F43B42">
            <w:pPr>
              <w:pStyle w:val="TableText"/>
              <w:spacing w:before="0" w:after="0"/>
              <w:rPr>
                <w:b/>
                <w:bCs w:val="0"/>
                <w:sz w:val="20"/>
              </w:rPr>
            </w:pPr>
            <w:r w:rsidRPr="006C71B7">
              <w:rPr>
                <w:b/>
                <w:bCs w:val="0"/>
                <w:sz w:val="20"/>
              </w:rPr>
              <w:t>10:</w:t>
            </w:r>
            <w:r w:rsidR="00CC4CB0">
              <w:rPr>
                <w:b/>
                <w:bCs w:val="0"/>
                <w:sz w:val="20"/>
              </w:rPr>
              <w:t>15</w:t>
            </w:r>
            <w:r w:rsidR="00AD1B22" w:rsidRPr="006C71B7">
              <w:rPr>
                <w:b/>
                <w:bCs w:val="0"/>
                <w:sz w:val="20"/>
              </w:rPr>
              <w:t>-</w:t>
            </w:r>
            <w:r w:rsidR="002C37BB">
              <w:rPr>
                <w:b/>
                <w:bCs w:val="0"/>
                <w:sz w:val="20"/>
              </w:rPr>
              <w:t>1</w:t>
            </w:r>
            <w:r w:rsidR="00F43B42">
              <w:rPr>
                <w:b/>
                <w:bCs w:val="0"/>
                <w:sz w:val="20"/>
              </w:rPr>
              <w:t>2</w:t>
            </w:r>
            <w:r w:rsidR="002C37BB">
              <w:rPr>
                <w:b/>
                <w:bCs w:val="0"/>
                <w:sz w:val="20"/>
              </w:rPr>
              <w:t>:</w:t>
            </w:r>
            <w:r w:rsidR="00F43B42">
              <w:rPr>
                <w:b/>
                <w:bCs w:val="0"/>
                <w:sz w:val="20"/>
              </w:rPr>
              <w:t>0</w:t>
            </w:r>
            <w:r w:rsidR="002C37BB">
              <w:rPr>
                <w:b/>
                <w:bCs w:val="0"/>
                <w:sz w:val="20"/>
              </w:rPr>
              <w:t>0</w:t>
            </w:r>
          </w:p>
          <w:p w14:paraId="483409EB" w14:textId="4EB38B55" w:rsidR="00CA5AD2" w:rsidRDefault="00CA5AD2" w:rsidP="001A4850">
            <w:pPr>
              <w:pStyle w:val="TableText"/>
              <w:spacing w:before="0" w:after="0"/>
              <w:rPr>
                <w:sz w:val="20"/>
              </w:rPr>
            </w:pPr>
            <w:r w:rsidRPr="006C71B7">
              <w:rPr>
                <w:sz w:val="20"/>
              </w:rPr>
              <w:t>(</w:t>
            </w:r>
            <w:r w:rsidR="00F43B42">
              <w:rPr>
                <w:sz w:val="20"/>
              </w:rPr>
              <w:t>105</w:t>
            </w:r>
            <w:r w:rsidR="00C42CBD">
              <w:rPr>
                <w:sz w:val="20"/>
              </w:rPr>
              <w:t xml:space="preserve"> m</w:t>
            </w:r>
            <w:r w:rsidRPr="006C71B7">
              <w:rPr>
                <w:sz w:val="20"/>
              </w:rPr>
              <w:t>in</w:t>
            </w:r>
            <w:r w:rsidR="00C42CBD">
              <w:rPr>
                <w:sz w:val="20"/>
              </w:rPr>
              <w:t>s</w:t>
            </w:r>
            <w:r w:rsidRPr="006C71B7">
              <w:rPr>
                <w:sz w:val="20"/>
              </w:rPr>
              <w:t>)</w:t>
            </w:r>
          </w:p>
          <w:p w14:paraId="33EE0233" w14:textId="77777777" w:rsidR="005B479A" w:rsidRDefault="005B479A" w:rsidP="00565B83">
            <w:pPr>
              <w:pStyle w:val="TableText"/>
              <w:spacing w:before="0" w:after="0"/>
              <w:rPr>
                <w:sz w:val="20"/>
              </w:rPr>
            </w:pPr>
          </w:p>
          <w:p w14:paraId="4CD73FC9" w14:textId="77777777" w:rsidR="005B479A" w:rsidRDefault="005B479A" w:rsidP="00565B83">
            <w:pPr>
              <w:pStyle w:val="TableText"/>
              <w:spacing w:before="0" w:after="0"/>
              <w:rPr>
                <w:sz w:val="20"/>
              </w:rPr>
            </w:pPr>
          </w:p>
          <w:p w14:paraId="78B6D304" w14:textId="77777777" w:rsidR="005B479A" w:rsidRDefault="005B479A" w:rsidP="00565B83">
            <w:pPr>
              <w:pStyle w:val="TableText"/>
              <w:spacing w:before="0" w:after="0"/>
              <w:rPr>
                <w:sz w:val="20"/>
              </w:rPr>
            </w:pPr>
          </w:p>
          <w:p w14:paraId="3B700BC4" w14:textId="3FE92456" w:rsidR="005B479A" w:rsidRDefault="00090062" w:rsidP="00F43B42">
            <w:pPr>
              <w:pStyle w:val="TableText"/>
              <w:spacing w:before="0" w:after="0"/>
              <w:rPr>
                <w:sz w:val="20"/>
              </w:rPr>
            </w:pPr>
            <w:r>
              <w:rPr>
                <w:sz w:val="20"/>
              </w:rPr>
              <w:t xml:space="preserve">   10:</w:t>
            </w:r>
            <w:r w:rsidR="00F43B42">
              <w:rPr>
                <w:sz w:val="20"/>
              </w:rPr>
              <w:t>15</w:t>
            </w:r>
            <w:r>
              <w:rPr>
                <w:sz w:val="20"/>
              </w:rPr>
              <w:t>-10:45</w:t>
            </w:r>
            <w:r w:rsidR="005B479A">
              <w:rPr>
                <w:sz w:val="20"/>
              </w:rPr>
              <w:t xml:space="preserve"> </w:t>
            </w:r>
          </w:p>
          <w:p w14:paraId="1E67C983" w14:textId="61DAC34B" w:rsidR="005B479A" w:rsidRDefault="001A4850" w:rsidP="00F43B42">
            <w:pPr>
              <w:pStyle w:val="TableText"/>
              <w:spacing w:before="0" w:after="0"/>
              <w:rPr>
                <w:sz w:val="20"/>
              </w:rPr>
            </w:pPr>
            <w:r>
              <w:rPr>
                <w:sz w:val="20"/>
              </w:rPr>
              <w:t xml:space="preserve">    </w:t>
            </w:r>
            <w:r w:rsidR="00F43B42">
              <w:rPr>
                <w:sz w:val="20"/>
              </w:rPr>
              <w:t>(30</w:t>
            </w:r>
            <w:r w:rsidR="005B479A">
              <w:rPr>
                <w:sz w:val="20"/>
              </w:rPr>
              <w:t xml:space="preserve"> mins)</w:t>
            </w:r>
          </w:p>
          <w:p w14:paraId="00EF18EC" w14:textId="77777777" w:rsidR="00891327" w:rsidRDefault="00891327" w:rsidP="00565B83">
            <w:pPr>
              <w:pStyle w:val="TableText"/>
              <w:spacing w:before="0" w:after="0"/>
              <w:rPr>
                <w:sz w:val="20"/>
              </w:rPr>
            </w:pPr>
          </w:p>
          <w:p w14:paraId="3F8F6587" w14:textId="77777777" w:rsidR="005B479A" w:rsidRDefault="005B479A" w:rsidP="00565B83">
            <w:pPr>
              <w:pStyle w:val="TableText"/>
              <w:spacing w:before="0" w:after="0"/>
              <w:rPr>
                <w:sz w:val="20"/>
              </w:rPr>
            </w:pPr>
          </w:p>
          <w:p w14:paraId="7B36BDA3" w14:textId="77777777" w:rsidR="005B479A" w:rsidRDefault="005B479A" w:rsidP="00565B83">
            <w:pPr>
              <w:pStyle w:val="TableText"/>
              <w:spacing w:before="0" w:after="0"/>
              <w:rPr>
                <w:sz w:val="20"/>
              </w:rPr>
            </w:pPr>
          </w:p>
          <w:p w14:paraId="7E160EFF" w14:textId="77777777" w:rsidR="005B479A" w:rsidRDefault="005B479A" w:rsidP="00565B83">
            <w:pPr>
              <w:pStyle w:val="TableText"/>
              <w:spacing w:before="0" w:after="0"/>
              <w:rPr>
                <w:sz w:val="20"/>
              </w:rPr>
            </w:pPr>
          </w:p>
          <w:p w14:paraId="2F4A4559" w14:textId="77777777" w:rsidR="005B479A" w:rsidRDefault="005B479A" w:rsidP="00565B83">
            <w:pPr>
              <w:pStyle w:val="TableText"/>
              <w:spacing w:before="0" w:after="0"/>
              <w:rPr>
                <w:sz w:val="20"/>
              </w:rPr>
            </w:pPr>
          </w:p>
          <w:p w14:paraId="4F5332C9" w14:textId="77777777" w:rsidR="005B479A" w:rsidRDefault="005B479A" w:rsidP="00565B83">
            <w:pPr>
              <w:pStyle w:val="TableText"/>
              <w:spacing w:before="0" w:after="0"/>
              <w:rPr>
                <w:sz w:val="20"/>
              </w:rPr>
            </w:pPr>
          </w:p>
          <w:p w14:paraId="45D01F7D" w14:textId="77777777" w:rsidR="005B479A" w:rsidRDefault="005B479A" w:rsidP="00565B83">
            <w:pPr>
              <w:pStyle w:val="TableText"/>
              <w:spacing w:before="0" w:after="0"/>
              <w:rPr>
                <w:sz w:val="20"/>
              </w:rPr>
            </w:pPr>
          </w:p>
          <w:p w14:paraId="5C54C969" w14:textId="77777777" w:rsidR="005B479A" w:rsidRDefault="005B479A" w:rsidP="00565B83">
            <w:pPr>
              <w:pStyle w:val="TableText"/>
              <w:spacing w:before="0" w:after="0"/>
              <w:rPr>
                <w:sz w:val="20"/>
              </w:rPr>
            </w:pPr>
          </w:p>
          <w:p w14:paraId="3BBFBA87" w14:textId="77777777" w:rsidR="005B479A" w:rsidRDefault="005B479A" w:rsidP="00565B83">
            <w:pPr>
              <w:pStyle w:val="TableText"/>
              <w:spacing w:before="0" w:after="0"/>
              <w:rPr>
                <w:sz w:val="20"/>
              </w:rPr>
            </w:pPr>
          </w:p>
          <w:p w14:paraId="4563B0C6" w14:textId="77777777" w:rsidR="005B479A" w:rsidRDefault="005B479A" w:rsidP="00565B83">
            <w:pPr>
              <w:pStyle w:val="TableText"/>
              <w:spacing w:before="0" w:after="0"/>
              <w:rPr>
                <w:sz w:val="20"/>
              </w:rPr>
            </w:pPr>
          </w:p>
          <w:p w14:paraId="1C816CB4" w14:textId="77777777" w:rsidR="005B479A" w:rsidRDefault="005B479A" w:rsidP="00565B83">
            <w:pPr>
              <w:pStyle w:val="TableText"/>
              <w:spacing w:before="0" w:after="0"/>
              <w:rPr>
                <w:sz w:val="20"/>
              </w:rPr>
            </w:pPr>
          </w:p>
          <w:p w14:paraId="470387EA" w14:textId="153943AB" w:rsidR="005B479A" w:rsidRDefault="005B479A" w:rsidP="00A5572A">
            <w:pPr>
              <w:pStyle w:val="TableText"/>
              <w:spacing w:before="0" w:after="0"/>
              <w:rPr>
                <w:sz w:val="20"/>
              </w:rPr>
            </w:pPr>
            <w:r>
              <w:rPr>
                <w:sz w:val="20"/>
              </w:rPr>
              <w:t xml:space="preserve">   </w:t>
            </w:r>
          </w:p>
          <w:p w14:paraId="6F9BD592" w14:textId="77777777" w:rsidR="00891327" w:rsidRDefault="00891327" w:rsidP="00565B83">
            <w:pPr>
              <w:pStyle w:val="TableText"/>
              <w:spacing w:before="0" w:after="0"/>
              <w:rPr>
                <w:sz w:val="20"/>
              </w:rPr>
            </w:pPr>
          </w:p>
          <w:p w14:paraId="485D38F4" w14:textId="77777777" w:rsidR="00891327" w:rsidRDefault="00891327" w:rsidP="00565B83">
            <w:pPr>
              <w:pStyle w:val="TableText"/>
              <w:spacing w:before="0" w:after="0"/>
              <w:rPr>
                <w:sz w:val="20"/>
              </w:rPr>
            </w:pPr>
          </w:p>
          <w:p w14:paraId="3B5EB1D9" w14:textId="77777777" w:rsidR="00891327" w:rsidRDefault="00891327" w:rsidP="00565B83">
            <w:pPr>
              <w:pStyle w:val="TableText"/>
              <w:spacing w:before="0" w:after="0"/>
              <w:rPr>
                <w:sz w:val="20"/>
              </w:rPr>
            </w:pPr>
          </w:p>
          <w:p w14:paraId="3AD99711" w14:textId="77777777" w:rsidR="00891327" w:rsidRDefault="00891327" w:rsidP="00565B83">
            <w:pPr>
              <w:pStyle w:val="TableText"/>
              <w:spacing w:before="0" w:after="0"/>
              <w:rPr>
                <w:sz w:val="20"/>
              </w:rPr>
            </w:pPr>
          </w:p>
          <w:p w14:paraId="0F6D4E0C" w14:textId="77777777" w:rsidR="00F258F9" w:rsidRDefault="00F258F9" w:rsidP="00D001CE">
            <w:pPr>
              <w:pStyle w:val="TableText"/>
              <w:spacing w:before="0" w:after="0"/>
              <w:rPr>
                <w:sz w:val="20"/>
              </w:rPr>
            </w:pPr>
          </w:p>
          <w:p w14:paraId="51C1B990" w14:textId="6BC2B58D" w:rsidR="00F258F9" w:rsidRPr="006C71B7" w:rsidRDefault="00F258F9" w:rsidP="00D001CE">
            <w:pPr>
              <w:pStyle w:val="TableText"/>
              <w:spacing w:before="0" w:after="0"/>
              <w:rPr>
                <w:b/>
                <w:sz w:val="20"/>
              </w:rPr>
            </w:pPr>
          </w:p>
        </w:tc>
        <w:tc>
          <w:tcPr>
            <w:tcW w:w="7181" w:type="dxa"/>
            <w:tcBorders>
              <w:bottom w:val="single" w:sz="4" w:space="0" w:color="auto"/>
            </w:tcBorders>
          </w:tcPr>
          <w:p w14:paraId="0FF8A09B" w14:textId="0570016E" w:rsidR="00CB080F" w:rsidRPr="00AD1B22" w:rsidRDefault="00AD1B22" w:rsidP="002133DC">
            <w:pPr>
              <w:spacing w:before="0" w:after="240"/>
              <w:rPr>
                <w:b/>
                <w:bCs/>
              </w:rPr>
            </w:pPr>
            <w:r w:rsidRPr="00AD1B22">
              <w:rPr>
                <w:b/>
                <w:bCs/>
              </w:rPr>
              <w:t xml:space="preserve">Session 1: </w:t>
            </w:r>
            <w:r w:rsidR="002133DC">
              <w:rPr>
                <w:b/>
                <w:bCs/>
              </w:rPr>
              <w:t>Upholding the Norms that Safeguard Humanity</w:t>
            </w:r>
          </w:p>
          <w:p w14:paraId="6C48C14A" w14:textId="5889D859" w:rsidR="00AD1B22" w:rsidRDefault="000A21A8" w:rsidP="00E120C3">
            <w:pPr>
              <w:spacing w:before="0"/>
            </w:pPr>
            <w:r w:rsidRPr="002A209E">
              <w:rPr>
                <w:b/>
                <w:bCs/>
              </w:rPr>
              <w:t>Session Fa</w:t>
            </w:r>
            <w:r w:rsidR="00445669">
              <w:rPr>
                <w:b/>
                <w:bCs/>
              </w:rPr>
              <w:t>cilitator</w:t>
            </w:r>
            <w:r w:rsidR="00AD1B22" w:rsidRPr="002A209E">
              <w:rPr>
                <w:b/>
                <w:bCs/>
              </w:rPr>
              <w:t>:</w:t>
            </w:r>
            <w:r w:rsidR="00AD1B22">
              <w:t xml:space="preserve"> </w:t>
            </w:r>
            <w:r w:rsidR="00BF5D2B" w:rsidRPr="00DF021B">
              <w:t>Ms. Kyung-wha Kang, Chair of the IASC WG</w:t>
            </w:r>
            <w:r w:rsidR="00DF021B">
              <w:t xml:space="preserve"> </w:t>
            </w:r>
          </w:p>
          <w:p w14:paraId="3E2C21CE" w14:textId="77777777" w:rsidR="00E120C3" w:rsidRPr="00AD1B22" w:rsidRDefault="00E120C3" w:rsidP="00E120C3">
            <w:pPr>
              <w:spacing w:before="0"/>
            </w:pPr>
          </w:p>
          <w:p w14:paraId="3E19A14B" w14:textId="168F45E9" w:rsidR="004162D0" w:rsidRDefault="005B479A" w:rsidP="00FF30E3">
            <w:pPr>
              <w:spacing w:before="0" w:after="240"/>
            </w:pPr>
            <w:r>
              <w:rPr>
                <w:b/>
                <w:bCs/>
              </w:rPr>
              <w:t>Safeguarding h</w:t>
            </w:r>
            <w:r w:rsidR="00891327">
              <w:rPr>
                <w:b/>
                <w:bCs/>
              </w:rPr>
              <w:t>uman r</w:t>
            </w:r>
            <w:r w:rsidR="00891327" w:rsidRPr="00891327">
              <w:rPr>
                <w:b/>
                <w:bCs/>
              </w:rPr>
              <w:t>ights:</w:t>
            </w:r>
            <w:r w:rsidR="00891327">
              <w:t xml:space="preserve"> </w:t>
            </w:r>
            <w:r w:rsidR="00C93970">
              <w:t>As</w:t>
            </w:r>
            <w:r w:rsidR="002970D1">
              <w:t xml:space="preserve"> flagrant</w:t>
            </w:r>
            <w:r w:rsidR="000A21A8">
              <w:t xml:space="preserve"> abuses of human rights in multiple contexts</w:t>
            </w:r>
            <w:r w:rsidR="00C93970">
              <w:t xml:space="preserve"> continue</w:t>
            </w:r>
            <w:r w:rsidR="000A21A8">
              <w:t>, impacting</w:t>
            </w:r>
            <w:r w:rsidR="002970D1">
              <w:t xml:space="preserve"> on people and vital services for</w:t>
            </w:r>
            <w:r w:rsidR="000A21A8">
              <w:t xml:space="preserve"> them, </w:t>
            </w:r>
            <w:r w:rsidR="00216F87">
              <w:t xml:space="preserve">and </w:t>
            </w:r>
            <w:r w:rsidR="000A21A8">
              <w:t>in the light of WHS Commitments</w:t>
            </w:r>
            <w:r w:rsidR="00C93970">
              <w:t xml:space="preserve"> to reinforce respect for IHL</w:t>
            </w:r>
            <w:r w:rsidR="00422BCF">
              <w:t xml:space="preserve"> </w:t>
            </w:r>
            <w:r w:rsidR="00FF30E3">
              <w:t xml:space="preserve">and to </w:t>
            </w:r>
            <w:r w:rsidR="000A21A8">
              <w:t>uphold the norms that safeguard humanity</w:t>
            </w:r>
            <w:r w:rsidR="00C93970">
              <w:t xml:space="preserve"> and tackle</w:t>
            </w:r>
            <w:r w:rsidR="00E44FB5">
              <w:t xml:space="preserve"> impunity</w:t>
            </w:r>
            <w:r w:rsidR="000A21A8">
              <w:t xml:space="preserve">, this session will provide </w:t>
            </w:r>
            <w:r w:rsidR="004162D0">
              <w:t xml:space="preserve">an update on the current state of play </w:t>
            </w:r>
            <w:r w:rsidR="000A21A8">
              <w:t>on</w:t>
            </w:r>
            <w:r w:rsidR="00E75185">
              <w:t xml:space="preserve"> implementing Human </w:t>
            </w:r>
            <w:r w:rsidR="004162D0">
              <w:t>Rights Up Front</w:t>
            </w:r>
            <w:r w:rsidR="00623030">
              <w:t xml:space="preserve"> and the Centrality of Protection</w:t>
            </w:r>
            <w:r w:rsidR="00E75185">
              <w:t>. The discussion will focus on</w:t>
            </w:r>
            <w:r w:rsidR="00B8790B" w:rsidRPr="00AD1B22">
              <w:t xml:space="preserve"> </w:t>
            </w:r>
            <w:r w:rsidR="00B8790B">
              <w:t xml:space="preserve">how the </w:t>
            </w:r>
            <w:r w:rsidR="00FF30E3">
              <w:t xml:space="preserve">Human </w:t>
            </w:r>
            <w:r w:rsidR="001341AA">
              <w:t xml:space="preserve">Rights Up Front </w:t>
            </w:r>
            <w:r w:rsidR="00B8790B">
              <w:t xml:space="preserve">Initiative </w:t>
            </w:r>
            <w:r w:rsidR="00623030">
              <w:t xml:space="preserve">and the Centrality </w:t>
            </w:r>
            <w:r w:rsidR="00FF30E3">
              <w:t xml:space="preserve">of </w:t>
            </w:r>
            <w:r w:rsidR="00623030">
              <w:t>Protect</w:t>
            </w:r>
            <w:r w:rsidR="00FF30E3">
              <w:t>ion</w:t>
            </w:r>
            <w:r w:rsidR="00623030">
              <w:t xml:space="preserve"> translate</w:t>
            </w:r>
            <w:r w:rsidR="00B8790B">
              <w:t xml:space="preserve"> into gl</w:t>
            </w:r>
            <w:r w:rsidR="007B3F28">
              <w:t>obal policy and field practice</w:t>
            </w:r>
            <w:r w:rsidR="00E75185">
              <w:t>, drawing linkages to</w:t>
            </w:r>
            <w:r w:rsidR="007B3F28">
              <w:t xml:space="preserve"> WHS commitments</w:t>
            </w:r>
            <w:r w:rsidR="00E44FB5">
              <w:t xml:space="preserve"> and the </w:t>
            </w:r>
            <w:r w:rsidR="002A209E">
              <w:t xml:space="preserve">relationship of </w:t>
            </w:r>
            <w:r w:rsidR="00E44FB5">
              <w:t>HRU</w:t>
            </w:r>
            <w:r w:rsidR="00FF30E3">
              <w:t>F</w:t>
            </w:r>
            <w:r w:rsidR="00623030">
              <w:t xml:space="preserve"> and the Centrality </w:t>
            </w:r>
            <w:r w:rsidR="00FF30E3">
              <w:t xml:space="preserve">of </w:t>
            </w:r>
            <w:r w:rsidR="00623030">
              <w:t>Protect</w:t>
            </w:r>
            <w:r w:rsidR="00FF30E3">
              <w:t>ion</w:t>
            </w:r>
            <w:r w:rsidR="00E44FB5">
              <w:t xml:space="preserve"> </w:t>
            </w:r>
            <w:r w:rsidR="002A209E">
              <w:t>with</w:t>
            </w:r>
            <w:r w:rsidR="00E44FB5">
              <w:t xml:space="preserve"> the IASC Protection Policy. </w:t>
            </w:r>
          </w:p>
          <w:p w14:paraId="0738E7E0" w14:textId="680FD7D0" w:rsidR="005B479A" w:rsidRDefault="00C93970" w:rsidP="00942CAD">
            <w:pPr>
              <w:spacing w:before="0" w:after="240"/>
            </w:pPr>
            <w:r w:rsidRPr="002C3097">
              <w:rPr>
                <w:b/>
                <w:bCs/>
              </w:rPr>
              <w:t>Presenter:</w:t>
            </w:r>
            <w:r w:rsidR="005B479A" w:rsidRPr="002C3097">
              <w:rPr>
                <w:b/>
                <w:bCs/>
              </w:rPr>
              <w:t xml:space="preserve"> </w:t>
            </w:r>
            <w:r w:rsidR="00A5572A" w:rsidRPr="002C3097">
              <w:rPr>
                <w:bCs/>
              </w:rPr>
              <w:t xml:space="preserve">Mr. </w:t>
            </w:r>
            <w:r w:rsidR="00A5572A" w:rsidRPr="002C3097">
              <w:t>Ben Majekodunmi</w:t>
            </w:r>
            <w:r w:rsidR="002C3097">
              <w:t xml:space="preserve">, </w:t>
            </w:r>
            <w:r w:rsidR="002C3097" w:rsidRPr="002C3097">
              <w:t>Ex</w:t>
            </w:r>
            <w:r w:rsidR="00C15BAA">
              <w:t>ecutive Office of the Secretary</w:t>
            </w:r>
            <w:r w:rsidR="003C0A9F">
              <w:t>-</w:t>
            </w:r>
            <w:r w:rsidR="002C3097" w:rsidRPr="002C3097">
              <w:t>General</w:t>
            </w:r>
            <w:r w:rsidR="00A5572A" w:rsidRPr="002C3097">
              <w:t xml:space="preserve"> </w:t>
            </w:r>
            <w:r w:rsidR="00FF55CC" w:rsidRPr="002C3097">
              <w:t>(</w:t>
            </w:r>
            <w:r w:rsidR="00A5572A" w:rsidRPr="002C3097">
              <w:t xml:space="preserve">video </w:t>
            </w:r>
            <w:r w:rsidR="00DD0241">
              <w:t>link</w:t>
            </w:r>
            <w:r w:rsidR="00FF55CC" w:rsidRPr="002C3097">
              <w:t>)</w:t>
            </w:r>
          </w:p>
          <w:p w14:paraId="370A51BA" w14:textId="5651BBD0" w:rsidR="001A4850" w:rsidRDefault="006972B0" w:rsidP="001A4850">
            <w:pPr>
              <w:spacing w:before="0" w:line="240" w:lineRule="auto"/>
            </w:pPr>
            <w:r w:rsidRPr="006972B0">
              <w:rPr>
                <w:b/>
                <w:bCs/>
              </w:rPr>
              <w:t>Expected outcome</w:t>
            </w:r>
            <w:r w:rsidR="001A4850" w:rsidRPr="006972B0">
              <w:rPr>
                <w:b/>
                <w:bCs/>
              </w:rPr>
              <w:t>:</w:t>
            </w:r>
            <w:r w:rsidR="001A4850">
              <w:rPr>
                <w:b/>
                <w:bCs/>
              </w:rPr>
              <w:t xml:space="preserve"> </w:t>
            </w:r>
          </w:p>
          <w:p w14:paraId="3A7AD98E" w14:textId="5CD3E2F0" w:rsidR="001A4850" w:rsidRPr="006972B0" w:rsidRDefault="006972B0" w:rsidP="006972B0">
            <w:pPr>
              <w:pStyle w:val="ListParagraph"/>
              <w:numPr>
                <w:ilvl w:val="0"/>
                <w:numId w:val="14"/>
              </w:numPr>
              <w:spacing w:before="0" w:after="240"/>
            </w:pPr>
            <w:r w:rsidRPr="006972B0">
              <w:t>Identify what support and guidance is required to implement HRUP effectively by IASC partners, including through implementation of the IASC Protection Policy.</w:t>
            </w:r>
          </w:p>
          <w:p w14:paraId="26C98581" w14:textId="77777777" w:rsidR="00AA1D51" w:rsidRDefault="00AA1D51" w:rsidP="008D2BCB">
            <w:pPr>
              <w:spacing w:before="0"/>
              <w:rPr>
                <w:b/>
                <w:bCs/>
              </w:rPr>
            </w:pPr>
            <w:r>
              <w:rPr>
                <w:b/>
                <w:bCs/>
              </w:rPr>
              <w:t xml:space="preserve">Background papers: </w:t>
            </w:r>
          </w:p>
          <w:p w14:paraId="01E27BDC" w14:textId="4359B5D0" w:rsidR="00090062" w:rsidRDefault="001019E7" w:rsidP="004E6D09">
            <w:pPr>
              <w:pStyle w:val="ListParagraph"/>
              <w:numPr>
                <w:ilvl w:val="0"/>
                <w:numId w:val="14"/>
              </w:numPr>
              <w:spacing w:before="0" w:after="240"/>
            </w:pPr>
            <w:r>
              <w:t>Video:</w:t>
            </w:r>
            <w:r w:rsidRPr="001019E7">
              <w:t>http://webtv.un.org/search/human-rights-up-front/5077276050001?term=human%20rights%20up%20front</w:t>
            </w:r>
          </w:p>
          <w:p w14:paraId="26D64938" w14:textId="70CC5BC6" w:rsidR="00F258F9" w:rsidRDefault="00F258F9" w:rsidP="004E6D09">
            <w:pPr>
              <w:pStyle w:val="ListParagraph"/>
              <w:numPr>
                <w:ilvl w:val="0"/>
                <w:numId w:val="14"/>
              </w:numPr>
              <w:spacing w:before="0" w:after="240"/>
            </w:pPr>
            <w:r>
              <w:t>Secretary-General’s Report: Outcome of the World Humanitarian Summit</w:t>
            </w:r>
          </w:p>
          <w:p w14:paraId="1D37B9DE" w14:textId="77777777" w:rsidR="00BE4C71" w:rsidRDefault="00471D47" w:rsidP="00090062">
            <w:pPr>
              <w:pStyle w:val="ListParagraph"/>
              <w:numPr>
                <w:ilvl w:val="0"/>
                <w:numId w:val="14"/>
              </w:numPr>
              <w:spacing w:before="0" w:after="240"/>
            </w:pPr>
            <w:r>
              <w:t>World Humanitarian Summit: Commitments to Action</w:t>
            </w:r>
          </w:p>
          <w:p w14:paraId="185D3AFB" w14:textId="77777777" w:rsidR="00041213" w:rsidRPr="00041213" w:rsidRDefault="00041213" w:rsidP="00090062">
            <w:pPr>
              <w:pStyle w:val="ListParagraph"/>
              <w:numPr>
                <w:ilvl w:val="0"/>
                <w:numId w:val="14"/>
              </w:numPr>
              <w:spacing w:before="0" w:after="240"/>
              <w:rPr>
                <w:rFonts w:asciiTheme="majorBidi" w:hAnsiTheme="majorBidi" w:cstheme="majorBidi"/>
                <w:szCs w:val="22"/>
              </w:rPr>
            </w:pPr>
            <w:r w:rsidRPr="00041213">
              <w:rPr>
                <w:rFonts w:asciiTheme="majorBidi" w:hAnsiTheme="majorBidi" w:cstheme="majorBidi"/>
                <w:szCs w:val="22"/>
              </w:rPr>
              <w:lastRenderedPageBreak/>
              <w:t>Human Rights up Front An Overview</w:t>
            </w:r>
          </w:p>
          <w:p w14:paraId="1F473F77" w14:textId="77777777" w:rsidR="00041213" w:rsidRPr="00041213" w:rsidRDefault="00041213" w:rsidP="00090062">
            <w:pPr>
              <w:pStyle w:val="ListParagraph"/>
              <w:numPr>
                <w:ilvl w:val="0"/>
                <w:numId w:val="14"/>
              </w:numPr>
              <w:spacing w:before="0" w:after="240"/>
              <w:rPr>
                <w:rFonts w:asciiTheme="majorBidi" w:hAnsiTheme="majorBidi" w:cstheme="majorBidi"/>
                <w:szCs w:val="22"/>
              </w:rPr>
            </w:pPr>
            <w:r w:rsidRPr="00041213">
              <w:rPr>
                <w:rFonts w:asciiTheme="majorBidi" w:hAnsiTheme="majorBidi" w:cstheme="majorBidi"/>
                <w:i/>
                <w:iCs/>
                <w:szCs w:val="22"/>
              </w:rPr>
              <w:t>The SG: Renewing our commitment to the peoples and purposes of the UN</w:t>
            </w:r>
          </w:p>
          <w:p w14:paraId="6FC254E1" w14:textId="77777777" w:rsidR="00041213" w:rsidRPr="00041213" w:rsidRDefault="00041213" w:rsidP="00090062">
            <w:pPr>
              <w:pStyle w:val="ListParagraph"/>
              <w:numPr>
                <w:ilvl w:val="0"/>
                <w:numId w:val="14"/>
              </w:numPr>
              <w:spacing w:before="0" w:after="240"/>
              <w:rPr>
                <w:rFonts w:asciiTheme="majorBidi" w:hAnsiTheme="majorBidi" w:cstheme="majorBidi"/>
                <w:szCs w:val="22"/>
              </w:rPr>
            </w:pPr>
            <w:r w:rsidRPr="00041213">
              <w:rPr>
                <w:rFonts w:asciiTheme="majorBidi" w:hAnsiTheme="majorBidi" w:cstheme="majorBidi"/>
                <w:szCs w:val="22"/>
              </w:rPr>
              <w:t>SG's April 2015 letter to Heads of AFPs on Human Rights up Front</w:t>
            </w:r>
          </w:p>
          <w:p w14:paraId="1FE6A962" w14:textId="77777777" w:rsidR="00041213" w:rsidRPr="00041213" w:rsidRDefault="00041213" w:rsidP="00090062">
            <w:pPr>
              <w:pStyle w:val="ListParagraph"/>
              <w:numPr>
                <w:ilvl w:val="0"/>
                <w:numId w:val="14"/>
              </w:numPr>
              <w:spacing w:before="0" w:after="240"/>
              <w:rPr>
                <w:rFonts w:asciiTheme="majorBidi" w:hAnsiTheme="majorBidi" w:cstheme="majorBidi"/>
                <w:szCs w:val="22"/>
              </w:rPr>
            </w:pPr>
            <w:r w:rsidRPr="00041213">
              <w:rPr>
                <w:rFonts w:asciiTheme="majorBidi" w:hAnsiTheme="majorBidi" w:cstheme="majorBidi"/>
                <w:szCs w:val="22"/>
              </w:rPr>
              <w:t>Human Rights up Front Action Plan</w:t>
            </w:r>
          </w:p>
          <w:p w14:paraId="1C137C55" w14:textId="6EFCE6DF" w:rsidR="00041213" w:rsidRPr="007B3F28" w:rsidRDefault="00041213" w:rsidP="00090062">
            <w:pPr>
              <w:pStyle w:val="ListParagraph"/>
              <w:numPr>
                <w:ilvl w:val="0"/>
                <w:numId w:val="14"/>
              </w:numPr>
              <w:spacing w:before="0" w:after="240"/>
            </w:pPr>
            <w:r w:rsidRPr="00041213">
              <w:rPr>
                <w:rFonts w:asciiTheme="majorBidi" w:hAnsiTheme="majorBidi" w:cstheme="majorBidi"/>
                <w:szCs w:val="22"/>
              </w:rPr>
              <w:t>Human Rights up Front Note for circulation</w:t>
            </w:r>
          </w:p>
        </w:tc>
      </w:tr>
      <w:tr w:rsidR="001F7C4A" w:rsidRPr="005B0A6D" w14:paraId="6ADB210B" w14:textId="77777777" w:rsidTr="2D7792BA">
        <w:trPr>
          <w:jc w:val="center"/>
        </w:trPr>
        <w:tc>
          <w:tcPr>
            <w:tcW w:w="1714" w:type="dxa"/>
            <w:shd w:val="clear" w:color="auto" w:fill="auto"/>
          </w:tcPr>
          <w:p w14:paraId="2F571820" w14:textId="453DE2E1" w:rsidR="001F7C4A" w:rsidRPr="006C71B7" w:rsidRDefault="00A5572A" w:rsidP="00A5572A">
            <w:pPr>
              <w:pStyle w:val="TableHead"/>
              <w:spacing w:before="0" w:after="0"/>
              <w:rPr>
                <w:color w:val="0070C0"/>
                <w:sz w:val="20"/>
                <w:szCs w:val="20"/>
              </w:rPr>
            </w:pPr>
            <w:r>
              <w:rPr>
                <w:color w:val="0070C0"/>
                <w:sz w:val="20"/>
                <w:szCs w:val="20"/>
              </w:rPr>
              <w:lastRenderedPageBreak/>
              <w:t>10</w:t>
            </w:r>
            <w:r w:rsidR="00D001CE" w:rsidRPr="006C71B7">
              <w:rPr>
                <w:color w:val="0070C0"/>
                <w:sz w:val="20"/>
                <w:szCs w:val="20"/>
              </w:rPr>
              <w:t>:</w:t>
            </w:r>
            <w:r>
              <w:rPr>
                <w:color w:val="0070C0"/>
                <w:sz w:val="20"/>
                <w:szCs w:val="20"/>
              </w:rPr>
              <w:t>45</w:t>
            </w:r>
            <w:r w:rsidR="008A7BC1" w:rsidRPr="006C71B7">
              <w:rPr>
                <w:color w:val="0070C0"/>
                <w:sz w:val="20"/>
                <w:szCs w:val="20"/>
              </w:rPr>
              <w:t>-1</w:t>
            </w:r>
            <w:r>
              <w:rPr>
                <w:color w:val="0070C0"/>
                <w:sz w:val="20"/>
                <w:szCs w:val="20"/>
              </w:rPr>
              <w:t>1</w:t>
            </w:r>
            <w:r w:rsidR="00BE4C71">
              <w:rPr>
                <w:color w:val="0070C0"/>
                <w:sz w:val="20"/>
                <w:szCs w:val="20"/>
              </w:rPr>
              <w:t>:</w:t>
            </w:r>
            <w:r>
              <w:rPr>
                <w:color w:val="0070C0"/>
                <w:sz w:val="20"/>
                <w:szCs w:val="20"/>
              </w:rPr>
              <w:t>15</w:t>
            </w:r>
          </w:p>
        </w:tc>
        <w:tc>
          <w:tcPr>
            <w:tcW w:w="7181" w:type="dxa"/>
            <w:shd w:val="clear" w:color="auto" w:fill="auto"/>
          </w:tcPr>
          <w:p w14:paraId="3B4540FE" w14:textId="77777777" w:rsidR="001F7C4A" w:rsidRPr="00D001CE" w:rsidRDefault="001F7C4A" w:rsidP="00D001CE">
            <w:pPr>
              <w:spacing w:before="0" w:after="240"/>
              <w:rPr>
                <w:b/>
                <w:bCs/>
                <w:color w:val="0070C0"/>
                <w:szCs w:val="22"/>
              </w:rPr>
            </w:pPr>
            <w:r w:rsidRPr="00D001CE">
              <w:rPr>
                <w:b/>
                <w:bCs/>
                <w:color w:val="0070C0"/>
                <w:szCs w:val="22"/>
              </w:rPr>
              <w:t>Coffee Break</w:t>
            </w:r>
          </w:p>
        </w:tc>
      </w:tr>
      <w:tr w:rsidR="00A5572A" w:rsidRPr="005B0A6D" w14:paraId="448BD739" w14:textId="77777777" w:rsidTr="2D7792BA">
        <w:trPr>
          <w:jc w:val="center"/>
        </w:trPr>
        <w:tc>
          <w:tcPr>
            <w:tcW w:w="1714" w:type="dxa"/>
            <w:tcBorders>
              <w:bottom w:val="single" w:sz="4" w:space="0" w:color="auto"/>
            </w:tcBorders>
          </w:tcPr>
          <w:p w14:paraId="50E5A713" w14:textId="269C1371" w:rsidR="00A5572A" w:rsidRDefault="00A5572A" w:rsidP="00A5572A">
            <w:pPr>
              <w:pStyle w:val="TableText"/>
              <w:spacing w:before="0" w:after="0"/>
              <w:rPr>
                <w:sz w:val="20"/>
              </w:rPr>
            </w:pPr>
            <w:r>
              <w:rPr>
                <w:sz w:val="20"/>
              </w:rPr>
              <w:t xml:space="preserve">   11:15-12:00</w:t>
            </w:r>
          </w:p>
          <w:p w14:paraId="15476756" w14:textId="77851FFE" w:rsidR="00A5572A" w:rsidRDefault="00A5572A" w:rsidP="00A5572A">
            <w:pPr>
              <w:pStyle w:val="TableText"/>
              <w:spacing w:before="0" w:after="0"/>
              <w:rPr>
                <w:sz w:val="20"/>
              </w:rPr>
            </w:pPr>
            <w:r>
              <w:rPr>
                <w:sz w:val="20"/>
              </w:rPr>
              <w:t xml:space="preserve">    (45 mins)</w:t>
            </w:r>
          </w:p>
          <w:p w14:paraId="4743FF44" w14:textId="77777777" w:rsidR="00A5572A" w:rsidRPr="006C71B7" w:rsidRDefault="00A5572A" w:rsidP="00CB080F">
            <w:pPr>
              <w:pStyle w:val="TableText"/>
              <w:spacing w:before="0" w:after="0"/>
              <w:rPr>
                <w:b/>
                <w:sz w:val="20"/>
              </w:rPr>
            </w:pPr>
          </w:p>
        </w:tc>
        <w:tc>
          <w:tcPr>
            <w:tcW w:w="7181" w:type="dxa"/>
            <w:tcBorders>
              <w:bottom w:val="single" w:sz="4" w:space="0" w:color="auto"/>
            </w:tcBorders>
          </w:tcPr>
          <w:p w14:paraId="12E2D741" w14:textId="23689F1F" w:rsidR="00445669" w:rsidRPr="00AD1B22" w:rsidRDefault="00445669" w:rsidP="00445669">
            <w:pPr>
              <w:spacing w:before="0" w:after="240"/>
              <w:rPr>
                <w:b/>
                <w:bCs/>
              </w:rPr>
            </w:pPr>
            <w:r w:rsidRPr="00AD1B22">
              <w:rPr>
                <w:b/>
                <w:bCs/>
              </w:rPr>
              <w:t xml:space="preserve">Session 1: </w:t>
            </w:r>
            <w:r>
              <w:rPr>
                <w:b/>
                <w:bCs/>
              </w:rPr>
              <w:t>Upholding the Norms that Safeguard Humanity</w:t>
            </w:r>
            <w:r>
              <w:rPr>
                <w:b/>
                <w:bCs/>
              </w:rPr>
              <w:t xml:space="preserve"> (continued)</w:t>
            </w:r>
          </w:p>
          <w:p w14:paraId="5A8F8A71" w14:textId="4FBF04D0" w:rsidR="00445669" w:rsidRDefault="00445669" w:rsidP="00445669">
            <w:pPr>
              <w:spacing w:before="0" w:line="240" w:lineRule="auto"/>
            </w:pPr>
            <w:r w:rsidRPr="002A209E">
              <w:rPr>
                <w:b/>
                <w:bCs/>
              </w:rPr>
              <w:t>Session Fa</w:t>
            </w:r>
            <w:r>
              <w:rPr>
                <w:b/>
                <w:bCs/>
              </w:rPr>
              <w:t>cilitator</w:t>
            </w:r>
            <w:r w:rsidRPr="002A209E">
              <w:rPr>
                <w:b/>
                <w:bCs/>
              </w:rPr>
              <w:t>:</w:t>
            </w:r>
            <w:r>
              <w:t xml:space="preserve"> </w:t>
            </w:r>
            <w:r w:rsidRPr="00DF021B">
              <w:t>Ms. Kyung-wha Kang, Chair of the IASC WG</w:t>
            </w:r>
            <w:r>
              <w:t xml:space="preserve"> </w:t>
            </w:r>
          </w:p>
          <w:p w14:paraId="390FB19A" w14:textId="77777777" w:rsidR="00445669" w:rsidRDefault="00445669" w:rsidP="00445669">
            <w:pPr>
              <w:spacing w:before="0" w:line="240" w:lineRule="auto"/>
            </w:pPr>
          </w:p>
          <w:p w14:paraId="43CC7E59" w14:textId="77777777" w:rsidR="00A5572A" w:rsidRDefault="00A5572A" w:rsidP="00445669">
            <w:pPr>
              <w:spacing w:before="0" w:line="240" w:lineRule="auto"/>
            </w:pPr>
            <w:r>
              <w:rPr>
                <w:b/>
                <w:bCs/>
              </w:rPr>
              <w:t>Enhancing advocacy and speaking out</w:t>
            </w:r>
            <w:r w:rsidRPr="00891327">
              <w:rPr>
                <w:b/>
                <w:bCs/>
              </w:rPr>
              <w:t>:</w:t>
            </w:r>
            <w:r>
              <w:t xml:space="preserve"> Building on recent strong statements by a number of IASC members, this session will discuss what more can be done to ‘speak out’ and strengthen our advocacy (independently and collectively) on key issues and concerns. Such issues include the continued attacks on aid workers and vital services, including medical facilities, challenges in achieving and safeguarding access to those in need of humanitarian assistance, and the need to reinforce respect for IHL, and to tackle impunity in the face of continued grave violations.</w:t>
            </w:r>
          </w:p>
          <w:p w14:paraId="2A1D3E28" w14:textId="77777777" w:rsidR="00445669" w:rsidRDefault="00445669" w:rsidP="00445669">
            <w:pPr>
              <w:spacing w:before="0" w:line="240" w:lineRule="auto"/>
            </w:pPr>
          </w:p>
          <w:p w14:paraId="1717F19A" w14:textId="3E55E843" w:rsidR="00A5572A" w:rsidRPr="00DF021B" w:rsidRDefault="00A5572A" w:rsidP="00B53E03">
            <w:pPr>
              <w:spacing w:before="0"/>
              <w:rPr>
                <w:b/>
                <w:bCs/>
              </w:rPr>
            </w:pPr>
            <w:r w:rsidRPr="00A15478">
              <w:rPr>
                <w:b/>
                <w:bCs/>
              </w:rPr>
              <w:t>Presenters</w:t>
            </w:r>
            <w:r>
              <w:rPr>
                <w:b/>
                <w:bCs/>
              </w:rPr>
              <w:t xml:space="preserve"> </w:t>
            </w:r>
            <w:r w:rsidR="00B53E03" w:rsidRPr="0079611A">
              <w:rPr>
                <w:bCs/>
                <w:iCs/>
              </w:rPr>
              <w:t xml:space="preserve">Ms. </w:t>
            </w:r>
            <w:r w:rsidR="00B53E03" w:rsidRPr="00964033">
              <w:rPr>
                <w:bCs/>
                <w:iCs/>
              </w:rPr>
              <w:t>Patty McIlreavy</w:t>
            </w:r>
            <w:r w:rsidR="00B53E03" w:rsidRPr="0079611A">
              <w:rPr>
                <w:bCs/>
                <w:iCs/>
              </w:rPr>
              <w:t>, InterAction</w:t>
            </w:r>
            <w:r w:rsidR="00B53E03">
              <w:rPr>
                <w:bCs/>
                <w:iCs/>
              </w:rPr>
              <w:t xml:space="preserve">; </w:t>
            </w:r>
            <w:r w:rsidRPr="00964033">
              <w:rPr>
                <w:bCs/>
                <w:iCs/>
              </w:rPr>
              <w:t xml:space="preserve">Mr. </w:t>
            </w:r>
            <w:r w:rsidRPr="0079611A">
              <w:rPr>
                <w:bCs/>
                <w:iCs/>
              </w:rPr>
              <w:t xml:space="preserve">Roberto Ricci, OHCHR </w:t>
            </w:r>
          </w:p>
          <w:p w14:paraId="0C9C6F8C" w14:textId="77777777" w:rsidR="00A5572A" w:rsidRDefault="00A5572A" w:rsidP="00A5572A">
            <w:pPr>
              <w:spacing w:line="240" w:lineRule="auto"/>
              <w:rPr>
                <w:b/>
                <w:bCs/>
              </w:rPr>
            </w:pPr>
            <w:r>
              <w:rPr>
                <w:b/>
                <w:bCs/>
              </w:rPr>
              <w:t xml:space="preserve">Expected outcomes: </w:t>
            </w:r>
          </w:p>
          <w:p w14:paraId="68701617" w14:textId="77777777" w:rsidR="00A5572A" w:rsidRPr="00A15478" w:rsidRDefault="00A5572A" w:rsidP="00A5572A">
            <w:pPr>
              <w:pStyle w:val="ListParagraph"/>
              <w:numPr>
                <w:ilvl w:val="0"/>
                <w:numId w:val="13"/>
              </w:numPr>
              <w:spacing w:before="0" w:line="240" w:lineRule="auto"/>
              <w:rPr>
                <w:szCs w:val="22"/>
              </w:rPr>
            </w:pPr>
            <w:r>
              <w:t xml:space="preserve">Identify pressing critical crises where collective advocacy (public and private) are key to successfully mitigating the risks faced by civilian populations. </w:t>
            </w:r>
          </w:p>
          <w:p w14:paraId="16A49F9C" w14:textId="5B06D182" w:rsidR="00A5572A" w:rsidRPr="00A5572A" w:rsidRDefault="00A5572A" w:rsidP="00A5572A">
            <w:pPr>
              <w:pStyle w:val="ListParagraph"/>
              <w:numPr>
                <w:ilvl w:val="0"/>
                <w:numId w:val="13"/>
              </w:numPr>
              <w:spacing w:before="0" w:after="240" w:line="240" w:lineRule="auto"/>
              <w:rPr>
                <w:szCs w:val="22"/>
              </w:rPr>
            </w:pPr>
            <w:r>
              <w:t xml:space="preserve">Identify how the IASC WG and additional key actors can better inform and mobilise advocacy on the protection issues at all levels, including by IASC Principals, through </w:t>
            </w:r>
            <w:r w:rsidRPr="00090062">
              <w:rPr>
                <w:i/>
              </w:rPr>
              <w:t xml:space="preserve">inter alia </w:t>
            </w:r>
            <w:r>
              <w:t>common/ complementary key messages enabling collective or complementary advocacy.</w:t>
            </w:r>
          </w:p>
        </w:tc>
      </w:tr>
      <w:tr w:rsidR="0098050F" w:rsidRPr="005B0A6D" w14:paraId="6196D97C" w14:textId="77777777" w:rsidTr="2D7792BA">
        <w:trPr>
          <w:jc w:val="center"/>
        </w:trPr>
        <w:tc>
          <w:tcPr>
            <w:tcW w:w="1714" w:type="dxa"/>
            <w:tcBorders>
              <w:bottom w:val="single" w:sz="4" w:space="0" w:color="auto"/>
            </w:tcBorders>
          </w:tcPr>
          <w:p w14:paraId="738F9BDA" w14:textId="474BCD98" w:rsidR="0098050F" w:rsidRDefault="00D001CE" w:rsidP="00CB080F">
            <w:pPr>
              <w:pStyle w:val="TableText"/>
              <w:spacing w:before="0" w:after="0"/>
              <w:rPr>
                <w:b/>
                <w:sz w:val="20"/>
              </w:rPr>
            </w:pPr>
            <w:r w:rsidRPr="006C71B7">
              <w:rPr>
                <w:b/>
                <w:sz w:val="20"/>
              </w:rPr>
              <w:t>1</w:t>
            </w:r>
            <w:r w:rsidR="00565B83">
              <w:rPr>
                <w:b/>
                <w:sz w:val="20"/>
              </w:rPr>
              <w:t>2</w:t>
            </w:r>
            <w:r w:rsidR="00C42CBD">
              <w:rPr>
                <w:b/>
                <w:sz w:val="20"/>
              </w:rPr>
              <w:t>:</w:t>
            </w:r>
            <w:r w:rsidR="00565B83">
              <w:rPr>
                <w:b/>
                <w:sz w:val="20"/>
              </w:rPr>
              <w:t>0</w:t>
            </w:r>
            <w:r w:rsidR="00C42CBD">
              <w:rPr>
                <w:b/>
                <w:sz w:val="20"/>
              </w:rPr>
              <w:t>0</w:t>
            </w:r>
            <w:r w:rsidRPr="006C71B7">
              <w:rPr>
                <w:b/>
                <w:sz w:val="20"/>
              </w:rPr>
              <w:t xml:space="preserve">-13:00 </w:t>
            </w:r>
          </w:p>
          <w:p w14:paraId="675AF9F2" w14:textId="421B1BC8" w:rsidR="00E75185" w:rsidRPr="006C71B7" w:rsidRDefault="00E75185" w:rsidP="00CB080F">
            <w:pPr>
              <w:pStyle w:val="TableText"/>
              <w:spacing w:before="0" w:after="0"/>
              <w:rPr>
                <w:sz w:val="20"/>
              </w:rPr>
            </w:pPr>
            <w:r>
              <w:rPr>
                <w:sz w:val="20"/>
              </w:rPr>
              <w:t>(6</w:t>
            </w:r>
            <w:r w:rsidR="00565B83">
              <w:rPr>
                <w:sz w:val="20"/>
              </w:rPr>
              <w:t>0</w:t>
            </w:r>
            <w:r w:rsidRPr="006C71B7">
              <w:rPr>
                <w:sz w:val="20"/>
              </w:rPr>
              <w:t>min)</w:t>
            </w:r>
          </w:p>
        </w:tc>
        <w:tc>
          <w:tcPr>
            <w:tcW w:w="7181" w:type="dxa"/>
            <w:tcBorders>
              <w:bottom w:val="single" w:sz="4" w:space="0" w:color="auto"/>
            </w:tcBorders>
          </w:tcPr>
          <w:p w14:paraId="2D5D7B85" w14:textId="0FBF2A09" w:rsidR="00E30D2A" w:rsidRPr="004917DD" w:rsidRDefault="00E30D2A" w:rsidP="00E30D2A">
            <w:pPr>
              <w:spacing w:before="0" w:after="240"/>
              <w:rPr>
                <w:b/>
                <w:bCs/>
              </w:rPr>
            </w:pPr>
            <w:r>
              <w:rPr>
                <w:b/>
                <w:bCs/>
              </w:rPr>
              <w:t xml:space="preserve">Session </w:t>
            </w:r>
            <w:r w:rsidR="004B47A6">
              <w:rPr>
                <w:b/>
                <w:bCs/>
              </w:rPr>
              <w:t>2</w:t>
            </w:r>
            <w:r w:rsidRPr="004917DD">
              <w:rPr>
                <w:b/>
                <w:bCs/>
              </w:rPr>
              <w:t xml:space="preserve">: </w:t>
            </w:r>
            <w:r>
              <w:rPr>
                <w:b/>
                <w:bCs/>
              </w:rPr>
              <w:t>Translating the IASC Protection Policy into Practice</w:t>
            </w:r>
          </w:p>
          <w:p w14:paraId="76586745" w14:textId="2CF36C93" w:rsidR="00E30D2A" w:rsidRPr="004A3320" w:rsidRDefault="00E30D2A" w:rsidP="00E30D2A">
            <w:pPr>
              <w:spacing w:after="240" w:line="240" w:lineRule="auto"/>
              <w:rPr>
                <w:b/>
                <w:bCs/>
                <w:szCs w:val="22"/>
              </w:rPr>
            </w:pPr>
            <w:r>
              <w:rPr>
                <w:b/>
                <w:bCs/>
              </w:rPr>
              <w:t xml:space="preserve">Session </w:t>
            </w:r>
            <w:r w:rsidRPr="00DF021B">
              <w:rPr>
                <w:b/>
                <w:bCs/>
              </w:rPr>
              <w:t xml:space="preserve">Facilitator: </w:t>
            </w:r>
            <w:r w:rsidRPr="00944306">
              <w:rPr>
                <w:szCs w:val="22"/>
              </w:rPr>
              <w:t>Ms. Afshan Khan, UNICEF</w:t>
            </w:r>
            <w:r w:rsidR="00DF021B">
              <w:rPr>
                <w:b/>
                <w:bCs/>
              </w:rPr>
              <w:t xml:space="preserve"> </w:t>
            </w:r>
          </w:p>
          <w:p w14:paraId="387EB21F" w14:textId="77777777" w:rsidR="00E30D2A" w:rsidRDefault="00E30D2A" w:rsidP="00E30D2A">
            <w:pPr>
              <w:spacing w:after="240" w:line="240" w:lineRule="auto"/>
            </w:pPr>
            <w:r>
              <w:t xml:space="preserve">Following completion of the IASC Protection Policy, the Working Group will discuss the parameters of rolling out and implementing the policy. It will reflect on next steps and the expected roles of individual agencies. It will also identify areas where there may be a need for additional support in applying and implementing the policy effectively. The Working Group will discuss the need for systematic follow up, including through the potential creation of a Protection Task Team (if discussion on this not yet completed), </w:t>
            </w:r>
            <w:r w:rsidRPr="00C42CBD">
              <w:t>and complementarity with other related policies/initiatives.</w:t>
            </w:r>
          </w:p>
          <w:p w14:paraId="6F842EA5" w14:textId="2D7792BA" w:rsidR="00E30D2A" w:rsidRPr="001019E7" w:rsidRDefault="001019E7" w:rsidP="00FF55CC">
            <w:pPr>
              <w:spacing w:before="0" w:after="240" w:line="240" w:lineRule="auto"/>
            </w:pPr>
            <w:r>
              <w:rPr>
                <w:b/>
                <w:bCs/>
              </w:rPr>
              <w:t>Presenter</w:t>
            </w:r>
            <w:r w:rsidR="00E30D2A" w:rsidRPr="004A3320">
              <w:rPr>
                <w:b/>
                <w:bCs/>
              </w:rPr>
              <w:t>:</w:t>
            </w:r>
            <w:r w:rsidR="00E30D2A">
              <w:t xml:space="preserve"> </w:t>
            </w:r>
            <w:r w:rsidR="000D414F">
              <w:rPr>
                <w:bCs/>
              </w:rPr>
              <w:t xml:space="preserve">Mr. </w:t>
            </w:r>
            <w:r w:rsidR="000D414F" w:rsidRPr="000D414F">
              <w:rPr>
                <w:rFonts w:asciiTheme="majorBidi" w:hAnsiTheme="majorBidi" w:cstheme="majorBidi"/>
                <w:szCs w:val="22"/>
                <w:lang w:val="en-US"/>
              </w:rPr>
              <w:t>Fabrizio Hochschild</w:t>
            </w:r>
            <w:r w:rsidR="000D414F">
              <w:rPr>
                <w:rFonts w:ascii="Default Sans Serif" w:hAnsi="Default Sans Serif"/>
                <w:sz w:val="20"/>
                <w:szCs w:val="20"/>
                <w:lang w:val="en-US"/>
              </w:rPr>
              <w:t xml:space="preserve"> </w:t>
            </w:r>
            <w:r w:rsidR="2D7792BA" w:rsidRPr="2D7792BA">
              <w:t>DSRSG/RC/HC for</w:t>
            </w:r>
            <w:r w:rsidR="000D414F">
              <w:rPr>
                <w:bCs/>
              </w:rPr>
              <w:t xml:space="preserve"> CAR</w:t>
            </w:r>
            <w:r w:rsidR="00FF55CC">
              <w:rPr>
                <w:bCs/>
              </w:rPr>
              <w:t xml:space="preserve"> (video link)</w:t>
            </w:r>
          </w:p>
          <w:p w14:paraId="3CFE528C" w14:textId="77777777" w:rsidR="00E30D2A" w:rsidRDefault="00E30D2A" w:rsidP="00E30D2A">
            <w:pPr>
              <w:spacing w:before="0" w:line="240" w:lineRule="auto"/>
            </w:pPr>
            <w:r>
              <w:rPr>
                <w:b/>
                <w:bCs/>
              </w:rPr>
              <w:t xml:space="preserve">Expected outcomes: </w:t>
            </w:r>
          </w:p>
          <w:p w14:paraId="03B1A033" w14:textId="77777777" w:rsidR="00E30D2A" w:rsidRPr="00C42CBD" w:rsidRDefault="00E30D2A" w:rsidP="00E30D2A">
            <w:pPr>
              <w:pStyle w:val="ListParagraph"/>
              <w:numPr>
                <w:ilvl w:val="0"/>
                <w:numId w:val="15"/>
              </w:numPr>
              <w:spacing w:before="0" w:after="240" w:line="240" w:lineRule="auto"/>
              <w:rPr>
                <w:szCs w:val="22"/>
              </w:rPr>
            </w:pPr>
            <w:r>
              <w:t xml:space="preserve">Agreement on roll-out and implementation plan of the IASC Protection </w:t>
            </w:r>
            <w:r w:rsidRPr="00C42CBD">
              <w:t xml:space="preserve">Policy; </w:t>
            </w:r>
          </w:p>
          <w:p w14:paraId="505B881D" w14:textId="77777777" w:rsidR="00E30D2A" w:rsidRPr="00C42CBD" w:rsidRDefault="00E30D2A" w:rsidP="00E30D2A">
            <w:pPr>
              <w:pStyle w:val="ListParagraph"/>
              <w:numPr>
                <w:ilvl w:val="0"/>
                <w:numId w:val="15"/>
              </w:numPr>
              <w:spacing w:after="240" w:line="240" w:lineRule="auto"/>
              <w:rPr>
                <w:szCs w:val="22"/>
              </w:rPr>
            </w:pPr>
            <w:r w:rsidRPr="00C42CBD">
              <w:t xml:space="preserve">Discussion and agreement on creation of a Protection Task Team </w:t>
            </w:r>
            <w:r w:rsidRPr="00E30D2A">
              <w:rPr>
                <w:i/>
              </w:rPr>
              <w:t>(if conclusion on this has not been reached in advance of the meeting)</w:t>
            </w:r>
            <w:r w:rsidRPr="00C42CBD">
              <w:t xml:space="preserve">. </w:t>
            </w:r>
          </w:p>
          <w:p w14:paraId="6281943A" w14:textId="2591D65D" w:rsidR="00E30D2A" w:rsidRPr="00C42CBD" w:rsidRDefault="00E30D2A" w:rsidP="00E30D2A">
            <w:pPr>
              <w:pStyle w:val="ListParagraph"/>
              <w:numPr>
                <w:ilvl w:val="0"/>
                <w:numId w:val="15"/>
              </w:numPr>
              <w:spacing w:after="240" w:line="240" w:lineRule="auto"/>
              <w:rPr>
                <w:szCs w:val="22"/>
              </w:rPr>
            </w:pPr>
            <w:r w:rsidRPr="00C42CBD">
              <w:t xml:space="preserve">Agreement on any additional guidance or support required to operational partners, including on ensuring links/complementarity with other initiatives </w:t>
            </w:r>
            <w:r w:rsidRPr="00C42CBD">
              <w:lastRenderedPageBreak/>
              <w:t xml:space="preserve">(such as HRUF, </w:t>
            </w:r>
            <w:r w:rsidR="00E87D52" w:rsidRPr="00C42CBD">
              <w:t xml:space="preserve">and </w:t>
            </w:r>
            <w:r w:rsidR="00E87D52">
              <w:t>p</w:t>
            </w:r>
            <w:r w:rsidR="00E87D52" w:rsidRPr="00C42CBD">
              <w:t xml:space="preserve">rotection of </w:t>
            </w:r>
            <w:r w:rsidR="00E87D52">
              <w:t>c</w:t>
            </w:r>
            <w:r w:rsidR="00E87D52" w:rsidRPr="00C42CBD">
              <w:t xml:space="preserve">ivilians in </w:t>
            </w:r>
            <w:r w:rsidR="00E87D52">
              <w:t>mandates of peacekeeping</w:t>
            </w:r>
            <w:r w:rsidR="00E22B11">
              <w:t xml:space="preserve"> or special political missions</w:t>
            </w:r>
            <w:r w:rsidRPr="00C42CBD">
              <w:t>).</w:t>
            </w:r>
          </w:p>
          <w:p w14:paraId="20207127" w14:textId="77777777" w:rsidR="00E30D2A" w:rsidRPr="0079053C" w:rsidRDefault="00E30D2A" w:rsidP="00E30D2A">
            <w:pPr>
              <w:spacing w:before="0" w:line="240" w:lineRule="auto"/>
              <w:rPr>
                <w:b/>
                <w:bCs/>
              </w:rPr>
            </w:pPr>
            <w:r w:rsidRPr="0079053C">
              <w:rPr>
                <w:b/>
                <w:bCs/>
              </w:rPr>
              <w:t>Background papers:</w:t>
            </w:r>
          </w:p>
          <w:p w14:paraId="17A1B738" w14:textId="5ED91717" w:rsidR="00E30D2A" w:rsidRPr="0079053C" w:rsidRDefault="00E30D2A" w:rsidP="00877CF6">
            <w:pPr>
              <w:pStyle w:val="ListParagraph"/>
              <w:numPr>
                <w:ilvl w:val="0"/>
                <w:numId w:val="16"/>
              </w:numPr>
              <w:spacing w:before="0" w:after="100" w:afterAutospacing="1" w:line="240" w:lineRule="auto"/>
              <w:rPr>
                <w:szCs w:val="22"/>
              </w:rPr>
            </w:pPr>
            <w:r w:rsidRPr="0079053C">
              <w:rPr>
                <w:szCs w:val="22"/>
              </w:rPr>
              <w:t>IASC Policy</w:t>
            </w:r>
            <w:r w:rsidR="00877CF6" w:rsidRPr="0079053C">
              <w:rPr>
                <w:szCs w:val="22"/>
              </w:rPr>
              <w:t xml:space="preserve"> on Protection in Humanitarian Action</w:t>
            </w:r>
            <w:r w:rsidRPr="0079053C">
              <w:rPr>
                <w:szCs w:val="22"/>
              </w:rPr>
              <w:t xml:space="preserve"> </w:t>
            </w:r>
          </w:p>
          <w:p w14:paraId="31FE8ED9" w14:textId="77777777" w:rsidR="00E30D2A" w:rsidRPr="0079053C" w:rsidRDefault="00E30D2A" w:rsidP="00E30D2A">
            <w:pPr>
              <w:pStyle w:val="ListParagraph"/>
              <w:numPr>
                <w:ilvl w:val="0"/>
                <w:numId w:val="16"/>
              </w:numPr>
              <w:spacing w:after="240" w:line="240" w:lineRule="auto"/>
              <w:rPr>
                <w:szCs w:val="22"/>
              </w:rPr>
            </w:pPr>
            <w:r w:rsidRPr="0079053C">
              <w:rPr>
                <w:szCs w:val="22"/>
              </w:rPr>
              <w:t xml:space="preserve">Draft Protection Policy implementation plan </w:t>
            </w:r>
          </w:p>
          <w:p w14:paraId="0DBAFAD2" w14:textId="77777777" w:rsidR="00E30D2A" w:rsidRPr="0079053C" w:rsidRDefault="00E30D2A" w:rsidP="00E30D2A">
            <w:pPr>
              <w:pStyle w:val="ListParagraph"/>
              <w:numPr>
                <w:ilvl w:val="0"/>
                <w:numId w:val="16"/>
              </w:numPr>
              <w:spacing w:after="240" w:line="240" w:lineRule="auto"/>
              <w:rPr>
                <w:szCs w:val="22"/>
              </w:rPr>
            </w:pPr>
            <w:r w:rsidRPr="0079053C">
              <w:rPr>
                <w:szCs w:val="22"/>
              </w:rPr>
              <w:t>Draft Terms of Reference Protection Task Team</w:t>
            </w:r>
          </w:p>
          <w:p w14:paraId="2833AD94" w14:textId="5934F18D" w:rsidR="00BE4C71" w:rsidRPr="00276954" w:rsidRDefault="00E30D2A" w:rsidP="00E30D2A">
            <w:pPr>
              <w:pStyle w:val="ListParagraph"/>
              <w:numPr>
                <w:ilvl w:val="0"/>
                <w:numId w:val="16"/>
              </w:numPr>
              <w:spacing w:before="0" w:after="240"/>
              <w:rPr>
                <w:b/>
                <w:bCs/>
              </w:rPr>
            </w:pPr>
            <w:r w:rsidRPr="0079053C">
              <w:rPr>
                <w:szCs w:val="22"/>
              </w:rPr>
              <w:t>Global Protection Cluster Provisional Guidance Note: Humanitarian Country Team Protection Strategies</w:t>
            </w:r>
          </w:p>
        </w:tc>
      </w:tr>
      <w:tr w:rsidR="001A55C2" w:rsidRPr="005B0A6D" w14:paraId="4807F384" w14:textId="77777777" w:rsidTr="2D7792BA">
        <w:trPr>
          <w:jc w:val="center"/>
        </w:trPr>
        <w:tc>
          <w:tcPr>
            <w:tcW w:w="1714" w:type="dxa"/>
            <w:tcBorders>
              <w:bottom w:val="single" w:sz="4" w:space="0" w:color="auto"/>
            </w:tcBorders>
          </w:tcPr>
          <w:p w14:paraId="73225843" w14:textId="66D96F58" w:rsidR="001A55C2" w:rsidRPr="006C71B7" w:rsidRDefault="00D001CE" w:rsidP="004917DD">
            <w:pPr>
              <w:spacing w:before="0" w:after="240"/>
              <w:rPr>
                <w:b/>
                <w:bCs/>
                <w:color w:val="0070C0"/>
                <w:sz w:val="20"/>
                <w:szCs w:val="20"/>
              </w:rPr>
            </w:pPr>
            <w:r w:rsidRPr="006C71B7">
              <w:rPr>
                <w:b/>
                <w:bCs/>
                <w:color w:val="0070C0"/>
                <w:sz w:val="20"/>
                <w:szCs w:val="20"/>
              </w:rPr>
              <w:lastRenderedPageBreak/>
              <w:t>13:00-14:</w:t>
            </w:r>
            <w:r w:rsidR="00B97B9D">
              <w:rPr>
                <w:b/>
                <w:bCs/>
                <w:color w:val="0070C0"/>
                <w:sz w:val="20"/>
                <w:szCs w:val="20"/>
              </w:rPr>
              <w:t>3</w:t>
            </w:r>
            <w:r w:rsidRPr="006C71B7">
              <w:rPr>
                <w:b/>
                <w:bCs/>
                <w:color w:val="0070C0"/>
                <w:sz w:val="20"/>
                <w:szCs w:val="20"/>
              </w:rPr>
              <w:t>0</w:t>
            </w:r>
          </w:p>
        </w:tc>
        <w:tc>
          <w:tcPr>
            <w:tcW w:w="7181" w:type="dxa"/>
            <w:tcBorders>
              <w:bottom w:val="single" w:sz="4" w:space="0" w:color="auto"/>
            </w:tcBorders>
          </w:tcPr>
          <w:p w14:paraId="07A109F7" w14:textId="77777777" w:rsidR="001A55C2" w:rsidRPr="00CB080F" w:rsidRDefault="00D001CE" w:rsidP="00D001CE">
            <w:pPr>
              <w:spacing w:before="0" w:after="240"/>
              <w:rPr>
                <w:sz w:val="20"/>
                <w:szCs w:val="20"/>
                <w:lang w:val="en-US"/>
              </w:rPr>
            </w:pPr>
            <w:r w:rsidRPr="00D001CE">
              <w:rPr>
                <w:b/>
                <w:bCs/>
                <w:color w:val="0070C0"/>
                <w:szCs w:val="22"/>
              </w:rPr>
              <w:t>Lunch</w:t>
            </w:r>
            <w:r w:rsidR="004917DD">
              <w:rPr>
                <w:b/>
                <w:bCs/>
                <w:color w:val="0070C0"/>
                <w:szCs w:val="22"/>
              </w:rPr>
              <w:t>, hosted by OCHA</w:t>
            </w:r>
          </w:p>
        </w:tc>
      </w:tr>
      <w:tr w:rsidR="00D366DA" w:rsidRPr="005B0A6D" w14:paraId="30C126B3" w14:textId="77777777" w:rsidTr="2D7792BA">
        <w:trPr>
          <w:jc w:val="center"/>
        </w:trPr>
        <w:tc>
          <w:tcPr>
            <w:tcW w:w="1714" w:type="dxa"/>
            <w:tcBorders>
              <w:bottom w:val="single" w:sz="4" w:space="0" w:color="auto"/>
            </w:tcBorders>
          </w:tcPr>
          <w:p w14:paraId="7415DDED" w14:textId="66AC6007" w:rsidR="00D366DA" w:rsidRPr="006C71B7" w:rsidRDefault="004917DD" w:rsidP="00CA6E1A">
            <w:pPr>
              <w:pStyle w:val="TableText"/>
              <w:spacing w:before="0" w:after="0"/>
              <w:rPr>
                <w:b/>
                <w:sz w:val="20"/>
              </w:rPr>
            </w:pPr>
            <w:r w:rsidRPr="006C71B7">
              <w:rPr>
                <w:b/>
                <w:sz w:val="20"/>
              </w:rPr>
              <w:t>14:</w:t>
            </w:r>
            <w:r w:rsidR="00B97B9D">
              <w:rPr>
                <w:b/>
                <w:sz w:val="20"/>
              </w:rPr>
              <w:t>3</w:t>
            </w:r>
            <w:r w:rsidRPr="006C71B7">
              <w:rPr>
                <w:b/>
                <w:sz w:val="20"/>
              </w:rPr>
              <w:t>0</w:t>
            </w:r>
            <w:r w:rsidR="001A55C2" w:rsidRPr="006C71B7">
              <w:rPr>
                <w:b/>
                <w:sz w:val="20"/>
              </w:rPr>
              <w:t>-1</w:t>
            </w:r>
            <w:r w:rsidR="00B97B9D">
              <w:rPr>
                <w:b/>
                <w:sz w:val="20"/>
              </w:rPr>
              <w:t>6</w:t>
            </w:r>
            <w:r w:rsidR="00EC6F0E">
              <w:rPr>
                <w:b/>
                <w:sz w:val="20"/>
              </w:rPr>
              <w:t>:</w:t>
            </w:r>
            <w:r w:rsidR="00B97B9D">
              <w:rPr>
                <w:b/>
                <w:sz w:val="20"/>
              </w:rPr>
              <w:t>0</w:t>
            </w:r>
            <w:r w:rsidR="001A55C2" w:rsidRPr="006C71B7">
              <w:rPr>
                <w:b/>
                <w:sz w:val="20"/>
              </w:rPr>
              <w:t>0</w:t>
            </w:r>
          </w:p>
          <w:p w14:paraId="05EFB82D" w14:textId="392F8AFE" w:rsidR="00CA5AD2" w:rsidRPr="006C71B7" w:rsidRDefault="00EC6F0E" w:rsidP="004917DD">
            <w:pPr>
              <w:pStyle w:val="TableText"/>
              <w:spacing w:before="0" w:after="0"/>
              <w:rPr>
                <w:bCs w:val="0"/>
                <w:sz w:val="20"/>
              </w:rPr>
            </w:pPr>
            <w:r>
              <w:rPr>
                <w:bCs w:val="0"/>
                <w:sz w:val="20"/>
              </w:rPr>
              <w:t xml:space="preserve">(90 </w:t>
            </w:r>
            <w:r w:rsidR="00CA5AD2" w:rsidRPr="006C71B7">
              <w:rPr>
                <w:bCs w:val="0"/>
                <w:sz w:val="20"/>
              </w:rPr>
              <w:t>mins)</w:t>
            </w:r>
          </w:p>
        </w:tc>
        <w:tc>
          <w:tcPr>
            <w:tcW w:w="7181" w:type="dxa"/>
            <w:tcBorders>
              <w:bottom w:val="single" w:sz="4" w:space="0" w:color="auto"/>
            </w:tcBorders>
          </w:tcPr>
          <w:p w14:paraId="272C9DBE" w14:textId="7DECD4C4" w:rsidR="00E30D2A" w:rsidRDefault="00E30D2A" w:rsidP="00E30D2A">
            <w:pPr>
              <w:spacing w:before="0" w:after="240"/>
              <w:rPr>
                <w:b/>
                <w:bCs/>
              </w:rPr>
            </w:pPr>
            <w:r>
              <w:rPr>
                <w:b/>
                <w:bCs/>
              </w:rPr>
              <w:t xml:space="preserve">Session </w:t>
            </w:r>
            <w:r w:rsidR="004B47A6">
              <w:rPr>
                <w:b/>
                <w:bCs/>
              </w:rPr>
              <w:t>3</w:t>
            </w:r>
            <w:r w:rsidRPr="00D001CE">
              <w:rPr>
                <w:b/>
                <w:bCs/>
              </w:rPr>
              <w:t xml:space="preserve">: </w:t>
            </w:r>
            <w:r>
              <w:rPr>
                <w:b/>
                <w:bCs/>
              </w:rPr>
              <w:t>Enhancing Protection for Refugees, Migrants and IDPs</w:t>
            </w:r>
          </w:p>
          <w:p w14:paraId="252014FA" w14:textId="3A741D90" w:rsidR="00E22B11" w:rsidRPr="004A3320" w:rsidRDefault="00E22B11" w:rsidP="00B00730">
            <w:pPr>
              <w:spacing w:after="240" w:line="240" w:lineRule="auto"/>
              <w:rPr>
                <w:b/>
                <w:bCs/>
                <w:szCs w:val="22"/>
              </w:rPr>
            </w:pPr>
            <w:r w:rsidRPr="00FF55CC">
              <w:rPr>
                <w:b/>
                <w:bCs/>
              </w:rPr>
              <w:t xml:space="preserve">Session Facilitator: </w:t>
            </w:r>
            <w:r w:rsidR="00FF55CC" w:rsidRPr="008A67F8">
              <w:t>Ms.</w:t>
            </w:r>
            <w:r w:rsidR="00FF55CC" w:rsidRPr="008A67F8">
              <w:rPr>
                <w:b/>
                <w:bCs/>
              </w:rPr>
              <w:t xml:space="preserve"> </w:t>
            </w:r>
            <w:r w:rsidR="00B00730">
              <w:t>Erin Kenny, UNFPA</w:t>
            </w:r>
            <w:r>
              <w:rPr>
                <w:b/>
                <w:bCs/>
              </w:rPr>
              <w:t xml:space="preserve"> </w:t>
            </w:r>
          </w:p>
          <w:p w14:paraId="75AC3EF0" w14:textId="6E385744" w:rsidR="00E30D2A" w:rsidRDefault="00E30D2A" w:rsidP="00E30D2A">
            <w:pPr>
              <w:spacing w:before="0" w:after="240"/>
            </w:pPr>
            <w:r>
              <w:t xml:space="preserve">Following the September High-Level Meeting on Refugees and Migrants, the Working Group will be informed on key outcomes including commitments reflected in the </w:t>
            </w:r>
            <w:r w:rsidRPr="006D40C4">
              <w:rPr>
                <w:i/>
                <w:iCs/>
              </w:rPr>
              <w:t>New York Declaration for Refugees and Migrants</w:t>
            </w:r>
            <w:r>
              <w:t>, UNHCR’s comprehensive refugee response, and work around countering the ‘toxic narrative on refugees and migrants’. The WG will discuss how its work and advocacy can best support realisation of key objectives, including development of the global compacts on refugees and migrant</w:t>
            </w:r>
            <w:r w:rsidR="003B2E70">
              <w:t xml:space="preserve">s, and protect refugees’, </w:t>
            </w:r>
            <w:r>
              <w:t xml:space="preserve">migrants’ </w:t>
            </w:r>
            <w:r w:rsidR="003B2E70">
              <w:t>and IDPs rights.</w:t>
            </w:r>
            <w:r w:rsidR="00DF021B">
              <w:t xml:space="preserve"> The Secretary-General has called for renewed efforts to prevent internal displacement, address the root causes and support safe, dignified and durable solutions for internally displaced people, with the aim of halving internal displacement globally by 2030.</w:t>
            </w:r>
            <w:r w:rsidR="00DF021B">
              <w:rPr>
                <w:rFonts w:ascii="Times" w:hAnsi="Times" w:cs="Times"/>
                <w:sz w:val="42"/>
                <w:szCs w:val="42"/>
                <w:lang w:val="en-US" w:eastAsia="zh-CN"/>
              </w:rPr>
              <w:t xml:space="preserve"> </w:t>
            </w:r>
            <w:r w:rsidR="003B2E70">
              <w:t xml:space="preserve">The WG will reflect on how it can support the </w:t>
            </w:r>
            <w:r w:rsidR="00DF021B">
              <w:t>action required for the ‘invisible majority’</w:t>
            </w:r>
            <w:r w:rsidR="003B2E70">
              <w:t xml:space="preserve"> to address the plight of IDPs, and reinforce their protection.</w:t>
            </w:r>
            <w:r>
              <w:t xml:space="preserve"> </w:t>
            </w:r>
          </w:p>
          <w:p w14:paraId="6BF770E0" w14:textId="632118EF" w:rsidR="00E30D2A" w:rsidRPr="00117BD9" w:rsidRDefault="00E30D2A" w:rsidP="00E30D2A">
            <w:pPr>
              <w:spacing w:before="0"/>
              <w:rPr>
                <w:b/>
                <w:bCs/>
              </w:rPr>
            </w:pPr>
            <w:r w:rsidRPr="00A15478">
              <w:rPr>
                <w:b/>
                <w:bCs/>
              </w:rPr>
              <w:t>Presenters</w:t>
            </w:r>
            <w:r w:rsidRPr="00117BD9">
              <w:rPr>
                <w:b/>
                <w:bCs/>
              </w:rPr>
              <w:t xml:space="preserve">: </w:t>
            </w:r>
          </w:p>
          <w:p w14:paraId="5D7E9155" w14:textId="7505162A" w:rsidR="003B2E70" w:rsidRPr="000875A0" w:rsidRDefault="007F264F" w:rsidP="00AB445B">
            <w:pPr>
              <w:pStyle w:val="ListParagraph"/>
              <w:numPr>
                <w:ilvl w:val="0"/>
                <w:numId w:val="14"/>
              </w:numPr>
              <w:spacing w:before="0" w:after="240"/>
            </w:pPr>
            <w:r w:rsidRPr="000875A0">
              <w:t>Mr. Chaloka Beyani</w:t>
            </w:r>
            <w:r>
              <w:t xml:space="preserve">, </w:t>
            </w:r>
            <w:r w:rsidRPr="000875A0">
              <w:t xml:space="preserve">Special Rapporteur on the </w:t>
            </w:r>
            <w:r w:rsidR="2D7792BA" w:rsidRPr="000875A0">
              <w:t>H</w:t>
            </w:r>
            <w:r w:rsidRPr="000875A0">
              <w:t xml:space="preserve">uman </w:t>
            </w:r>
            <w:r w:rsidR="2D7792BA" w:rsidRPr="000875A0">
              <w:t>R</w:t>
            </w:r>
            <w:r w:rsidRPr="000875A0">
              <w:t xml:space="preserve">ights of </w:t>
            </w:r>
            <w:r w:rsidR="2D7792BA" w:rsidRPr="000875A0">
              <w:t>I</w:t>
            </w:r>
            <w:r w:rsidRPr="000875A0">
              <w:t xml:space="preserve">nternally </w:t>
            </w:r>
            <w:r w:rsidR="2D7792BA" w:rsidRPr="000875A0">
              <w:t>D</w:t>
            </w:r>
            <w:r w:rsidRPr="000875A0">
              <w:t xml:space="preserve">isplaced </w:t>
            </w:r>
            <w:r w:rsidR="2D7792BA" w:rsidRPr="000875A0">
              <w:t>P</w:t>
            </w:r>
            <w:r w:rsidRPr="000875A0">
              <w:t>ersons</w:t>
            </w:r>
            <w:r w:rsidR="000875A0">
              <w:t>.</w:t>
            </w:r>
          </w:p>
          <w:p w14:paraId="029EF76A" w14:textId="3EE65CDF" w:rsidR="001019E7" w:rsidRDefault="00B00730" w:rsidP="00B00730">
            <w:pPr>
              <w:pStyle w:val="ListParagraph"/>
              <w:numPr>
                <w:ilvl w:val="0"/>
                <w:numId w:val="14"/>
              </w:numPr>
              <w:spacing w:before="0" w:after="240"/>
            </w:pPr>
            <w:r>
              <w:t xml:space="preserve">Ms. </w:t>
            </w:r>
            <w:r w:rsidRPr="00B00730">
              <w:t>Ninette Kelley</w:t>
            </w:r>
            <w:r w:rsidR="001019E7" w:rsidRPr="00117BD9">
              <w:t>, UNHCR</w:t>
            </w:r>
            <w:r w:rsidR="00445669">
              <w:t xml:space="preserve"> (tbc)</w:t>
            </w:r>
            <w:r w:rsidR="001019E7" w:rsidRPr="00117BD9">
              <w:t xml:space="preserve"> and Ms. Lea Matheson, IOM:</w:t>
            </w:r>
            <w:r w:rsidR="001019E7">
              <w:t xml:space="preserve"> Overview of outcomes from High-Level meeting on Refugees and Migrants and next steps </w:t>
            </w:r>
          </w:p>
          <w:p w14:paraId="12741EB6" w14:textId="77777777" w:rsidR="00E30D2A" w:rsidRDefault="00E30D2A" w:rsidP="00E30D2A">
            <w:pPr>
              <w:spacing w:line="240" w:lineRule="auto"/>
            </w:pPr>
            <w:r>
              <w:rPr>
                <w:b/>
                <w:bCs/>
              </w:rPr>
              <w:t xml:space="preserve">Expected outcomes: </w:t>
            </w:r>
          </w:p>
          <w:p w14:paraId="330F85D3" w14:textId="398D1750" w:rsidR="003B2E70" w:rsidRPr="00117BD9" w:rsidRDefault="00E30D2A" w:rsidP="009B4825">
            <w:pPr>
              <w:pStyle w:val="ListParagraph"/>
              <w:numPr>
                <w:ilvl w:val="0"/>
                <w:numId w:val="14"/>
              </w:numPr>
              <w:spacing w:before="0" w:line="240" w:lineRule="auto"/>
              <w:rPr>
                <w:szCs w:val="22"/>
              </w:rPr>
            </w:pPr>
            <w:r>
              <w:t xml:space="preserve">IASC Working Group </w:t>
            </w:r>
            <w:r w:rsidR="009B4825">
              <w:t>informed</w:t>
            </w:r>
            <w:r>
              <w:t xml:space="preserve"> on outcomes of 19 September meeting on Refugees and Migrants and required follow-up action by the IASC</w:t>
            </w:r>
            <w:r w:rsidR="00E22B11">
              <w:t>.</w:t>
            </w:r>
          </w:p>
          <w:p w14:paraId="20D395B7" w14:textId="77777777" w:rsidR="00E22B11" w:rsidRPr="00E22B11" w:rsidRDefault="00E87D52" w:rsidP="00AB445B">
            <w:pPr>
              <w:pStyle w:val="ListParagraph"/>
              <w:numPr>
                <w:ilvl w:val="0"/>
                <w:numId w:val="14"/>
              </w:numPr>
              <w:spacing w:before="0" w:after="240" w:line="240" w:lineRule="auto"/>
              <w:rPr>
                <w:szCs w:val="22"/>
              </w:rPr>
            </w:pPr>
            <w:r>
              <w:t>IASC Working Group identifies opportunities to enhance and support work on reaching underserved, vulnerable populations on the move, including IDPs and refugees</w:t>
            </w:r>
            <w:r w:rsidR="00E22B11">
              <w:t>.</w:t>
            </w:r>
          </w:p>
          <w:p w14:paraId="046E93AD" w14:textId="702351AA" w:rsidR="00E30D2A" w:rsidRPr="00A15478" w:rsidRDefault="00E30D2A" w:rsidP="00AB445B">
            <w:pPr>
              <w:pStyle w:val="ListParagraph"/>
              <w:numPr>
                <w:ilvl w:val="0"/>
                <w:numId w:val="14"/>
              </w:numPr>
              <w:spacing w:before="0" w:after="240" w:line="240" w:lineRule="auto"/>
              <w:rPr>
                <w:szCs w:val="22"/>
              </w:rPr>
            </w:pPr>
            <w:r>
              <w:t xml:space="preserve">WG explores implications </w:t>
            </w:r>
            <w:r w:rsidR="003B2E70">
              <w:t xml:space="preserve">for the </w:t>
            </w:r>
            <w:r>
              <w:t>IASC’s role</w:t>
            </w:r>
            <w:r w:rsidR="003B2E70">
              <w:t xml:space="preserve"> and policy on refugee, migrants and IDPs,</w:t>
            </w:r>
            <w:r>
              <w:t xml:space="preserve"> and identifies areas for IASC WG and member support</w:t>
            </w:r>
            <w:r w:rsidR="00E22B11">
              <w:t>.</w:t>
            </w:r>
          </w:p>
          <w:p w14:paraId="2123F737" w14:textId="77777777" w:rsidR="00E30D2A" w:rsidRDefault="00E30D2A" w:rsidP="00E30D2A">
            <w:pPr>
              <w:spacing w:before="0"/>
              <w:rPr>
                <w:b/>
                <w:bCs/>
              </w:rPr>
            </w:pPr>
            <w:r>
              <w:rPr>
                <w:b/>
                <w:bCs/>
              </w:rPr>
              <w:t xml:space="preserve">Background papers: </w:t>
            </w:r>
          </w:p>
          <w:p w14:paraId="4B14613D" w14:textId="77777777" w:rsidR="003B2E70" w:rsidRPr="008A67F8" w:rsidRDefault="00E30D2A" w:rsidP="00AB445B">
            <w:pPr>
              <w:pStyle w:val="ListParagraph"/>
              <w:numPr>
                <w:ilvl w:val="0"/>
                <w:numId w:val="14"/>
              </w:numPr>
              <w:spacing w:before="0" w:after="240"/>
              <w:rPr>
                <w:b/>
                <w:bCs/>
              </w:rPr>
            </w:pPr>
            <w:r w:rsidRPr="008A67F8">
              <w:t>New York Declaration on Refugees and Migrants 19 September High-Level Meeting</w:t>
            </w:r>
          </w:p>
          <w:p w14:paraId="6465C0B9" w14:textId="67E34364" w:rsidR="00E30D2A" w:rsidRPr="003B2E70" w:rsidRDefault="00E30D2A" w:rsidP="00AB445B">
            <w:pPr>
              <w:pStyle w:val="ListParagraph"/>
              <w:numPr>
                <w:ilvl w:val="0"/>
                <w:numId w:val="14"/>
              </w:numPr>
              <w:spacing w:before="0" w:after="240"/>
              <w:rPr>
                <w:b/>
                <w:bCs/>
              </w:rPr>
            </w:pPr>
            <w:r>
              <w:t>UNHCR Comprehensive Refugee Response</w:t>
            </w:r>
            <w:r w:rsidR="003B2E70">
              <w:t xml:space="preserve"> (CRR) Framework</w:t>
            </w:r>
          </w:p>
          <w:p w14:paraId="5557AFFB" w14:textId="77777777" w:rsidR="00330BE7" w:rsidRPr="003A5B7C" w:rsidRDefault="003B2E70" w:rsidP="00AB445B">
            <w:pPr>
              <w:pStyle w:val="ListParagraph"/>
              <w:numPr>
                <w:ilvl w:val="0"/>
                <w:numId w:val="14"/>
              </w:numPr>
              <w:spacing w:before="0" w:after="240"/>
              <w:rPr>
                <w:b/>
                <w:bCs/>
              </w:rPr>
            </w:pPr>
            <w:r>
              <w:t>Open Letter: The Invisible Majority: Helping IDPs</w:t>
            </w:r>
          </w:p>
          <w:p w14:paraId="1CA3718D" w14:textId="23391859" w:rsidR="003A5B7C" w:rsidRPr="001D0160" w:rsidRDefault="003A5B7C" w:rsidP="003A5B7C">
            <w:pPr>
              <w:pStyle w:val="ListParagraph"/>
              <w:numPr>
                <w:ilvl w:val="0"/>
                <w:numId w:val="14"/>
              </w:numPr>
              <w:spacing w:before="0" w:after="240"/>
              <w:rPr>
                <w:b/>
                <w:bCs/>
              </w:rPr>
            </w:pPr>
            <w:r w:rsidRPr="003A5B7C">
              <w:t>UNGA 71</w:t>
            </w:r>
            <w:r w:rsidRPr="003A5B7C">
              <w:rPr>
                <w:vertAlign w:val="superscript"/>
              </w:rPr>
              <w:t>st</w:t>
            </w:r>
            <w:r w:rsidRPr="003A5B7C">
              <w:t xml:space="preserve"> Rights of internally displaced persons</w:t>
            </w:r>
          </w:p>
          <w:p w14:paraId="3C6CCB5A" w14:textId="1FEAF48D" w:rsidR="001D0160" w:rsidRPr="001D0160" w:rsidRDefault="001D0160" w:rsidP="001D0160">
            <w:pPr>
              <w:pStyle w:val="ListParagraph"/>
              <w:numPr>
                <w:ilvl w:val="0"/>
                <w:numId w:val="14"/>
              </w:numPr>
              <w:spacing w:before="0" w:after="240"/>
            </w:pPr>
            <w:r w:rsidRPr="001D0160">
              <w:lastRenderedPageBreak/>
              <w:t>Press Release on New York Declaration for Refugees and Migrants</w:t>
            </w:r>
          </w:p>
          <w:p w14:paraId="464DC667" w14:textId="3ED10D3A" w:rsidR="00AB445B" w:rsidRPr="00AB445B" w:rsidRDefault="00AB445B" w:rsidP="0068414E">
            <w:pPr>
              <w:pStyle w:val="ListParagraph"/>
              <w:numPr>
                <w:ilvl w:val="0"/>
                <w:numId w:val="14"/>
              </w:numPr>
              <w:spacing w:before="0" w:after="240"/>
              <w:rPr>
                <w:szCs w:val="22"/>
              </w:rPr>
            </w:pPr>
            <w:r>
              <w:rPr>
                <w:bCs/>
              </w:rPr>
              <w:t>WHS, Leave No One Behind: A Commitment to Address Forced Displacement, High Level Leaders’ Roundtable, Core Responsibility Three of the Agenda for Humanity (May 2016).</w:t>
            </w:r>
          </w:p>
        </w:tc>
      </w:tr>
      <w:tr w:rsidR="001A55C2" w:rsidRPr="005B0A6D" w14:paraId="07A3A315" w14:textId="77777777" w:rsidTr="2D7792BA">
        <w:trPr>
          <w:jc w:val="center"/>
        </w:trPr>
        <w:tc>
          <w:tcPr>
            <w:tcW w:w="1714" w:type="dxa"/>
            <w:shd w:val="clear" w:color="auto" w:fill="auto"/>
          </w:tcPr>
          <w:p w14:paraId="7CF66D3A" w14:textId="37273AAB" w:rsidR="001A55C2" w:rsidRPr="006C71B7" w:rsidRDefault="001A55C2" w:rsidP="00CA6E1A">
            <w:pPr>
              <w:spacing w:before="0" w:after="240"/>
              <w:rPr>
                <w:b/>
                <w:bCs/>
                <w:sz w:val="20"/>
                <w:szCs w:val="20"/>
              </w:rPr>
            </w:pPr>
            <w:r w:rsidRPr="006C71B7">
              <w:rPr>
                <w:b/>
                <w:bCs/>
                <w:color w:val="0070C0"/>
                <w:sz w:val="20"/>
                <w:szCs w:val="20"/>
              </w:rPr>
              <w:lastRenderedPageBreak/>
              <w:t>1</w:t>
            </w:r>
            <w:r w:rsidR="00EC6F0E">
              <w:rPr>
                <w:b/>
                <w:bCs/>
                <w:color w:val="0070C0"/>
                <w:sz w:val="20"/>
                <w:szCs w:val="20"/>
              </w:rPr>
              <w:t>6:0</w:t>
            </w:r>
            <w:r w:rsidR="004A3320">
              <w:rPr>
                <w:b/>
                <w:bCs/>
                <w:color w:val="0070C0"/>
                <w:sz w:val="20"/>
                <w:szCs w:val="20"/>
              </w:rPr>
              <w:t>0</w:t>
            </w:r>
            <w:r w:rsidR="00623030">
              <w:rPr>
                <w:b/>
                <w:bCs/>
                <w:color w:val="0070C0"/>
                <w:sz w:val="20"/>
                <w:szCs w:val="20"/>
              </w:rPr>
              <w:t>-16:30</w:t>
            </w:r>
          </w:p>
        </w:tc>
        <w:tc>
          <w:tcPr>
            <w:tcW w:w="7181" w:type="dxa"/>
            <w:shd w:val="clear" w:color="auto" w:fill="auto"/>
          </w:tcPr>
          <w:p w14:paraId="14C93FDC" w14:textId="77777777" w:rsidR="001A55C2" w:rsidRPr="008876CC" w:rsidRDefault="008876CC" w:rsidP="00CB080F">
            <w:pPr>
              <w:pStyle w:val="TableHead"/>
              <w:spacing w:before="0" w:after="0"/>
              <w:rPr>
                <w:sz w:val="20"/>
                <w:szCs w:val="20"/>
              </w:rPr>
            </w:pPr>
            <w:r w:rsidRPr="008876CC">
              <w:rPr>
                <w:color w:val="0070C0"/>
                <w:sz w:val="22"/>
                <w:szCs w:val="22"/>
              </w:rPr>
              <w:t>Coffee Break</w:t>
            </w:r>
          </w:p>
        </w:tc>
      </w:tr>
      <w:tr w:rsidR="003F4E4B" w:rsidRPr="005B0A6D" w14:paraId="43DEDAB5" w14:textId="77777777" w:rsidTr="2D7792BA">
        <w:trPr>
          <w:jc w:val="center"/>
        </w:trPr>
        <w:tc>
          <w:tcPr>
            <w:tcW w:w="1714" w:type="dxa"/>
            <w:tcBorders>
              <w:bottom w:val="single" w:sz="4" w:space="0" w:color="auto"/>
            </w:tcBorders>
          </w:tcPr>
          <w:p w14:paraId="2BB40D09" w14:textId="7188FD9D" w:rsidR="003F4E4B" w:rsidRPr="006C71B7" w:rsidRDefault="00623030" w:rsidP="00E36AC8">
            <w:pPr>
              <w:pStyle w:val="TableText"/>
              <w:spacing w:before="0" w:after="0"/>
              <w:rPr>
                <w:b/>
                <w:sz w:val="20"/>
              </w:rPr>
            </w:pPr>
            <w:r>
              <w:rPr>
                <w:b/>
                <w:sz w:val="20"/>
              </w:rPr>
              <w:t>16:3</w:t>
            </w:r>
            <w:r w:rsidR="004A3320">
              <w:rPr>
                <w:b/>
                <w:sz w:val="20"/>
              </w:rPr>
              <w:t>0</w:t>
            </w:r>
            <w:r w:rsidR="008876CC" w:rsidRPr="006C71B7">
              <w:rPr>
                <w:b/>
                <w:sz w:val="20"/>
              </w:rPr>
              <w:t>-17:</w:t>
            </w:r>
            <w:r>
              <w:rPr>
                <w:b/>
                <w:sz w:val="20"/>
              </w:rPr>
              <w:t>3</w:t>
            </w:r>
            <w:r w:rsidR="008876CC" w:rsidRPr="006C71B7">
              <w:rPr>
                <w:b/>
                <w:sz w:val="20"/>
              </w:rPr>
              <w:t>0</w:t>
            </w:r>
          </w:p>
          <w:p w14:paraId="3564D2C9" w14:textId="38639D65" w:rsidR="00CA5AD2" w:rsidRPr="006C71B7" w:rsidRDefault="00EC6F0E" w:rsidP="00CB080F">
            <w:pPr>
              <w:pStyle w:val="TableText"/>
              <w:spacing w:before="0" w:after="0"/>
              <w:rPr>
                <w:bCs w:val="0"/>
                <w:sz w:val="20"/>
              </w:rPr>
            </w:pPr>
            <w:r>
              <w:rPr>
                <w:bCs w:val="0"/>
                <w:sz w:val="20"/>
              </w:rPr>
              <w:t>(6</w:t>
            </w:r>
            <w:r w:rsidR="004A3320">
              <w:rPr>
                <w:bCs w:val="0"/>
                <w:sz w:val="20"/>
              </w:rPr>
              <w:t xml:space="preserve">0 </w:t>
            </w:r>
            <w:r w:rsidR="00CA5AD2" w:rsidRPr="006C71B7">
              <w:rPr>
                <w:bCs w:val="0"/>
                <w:sz w:val="20"/>
              </w:rPr>
              <w:t>mins)</w:t>
            </w:r>
          </w:p>
        </w:tc>
        <w:tc>
          <w:tcPr>
            <w:tcW w:w="7181" w:type="dxa"/>
            <w:tcBorders>
              <w:bottom w:val="single" w:sz="4" w:space="0" w:color="auto"/>
            </w:tcBorders>
          </w:tcPr>
          <w:p w14:paraId="604ECBD0" w14:textId="2E634068" w:rsidR="00A70FC9" w:rsidRPr="008B1CAF" w:rsidRDefault="004547BB" w:rsidP="00CB080F">
            <w:pPr>
              <w:spacing w:before="0" w:line="240" w:lineRule="exact"/>
              <w:jc w:val="left"/>
              <w:rPr>
                <w:b/>
                <w:bCs/>
                <w:szCs w:val="22"/>
              </w:rPr>
            </w:pPr>
            <w:r>
              <w:rPr>
                <w:b/>
                <w:bCs/>
                <w:szCs w:val="22"/>
              </w:rPr>
              <w:t>Session 4</w:t>
            </w:r>
            <w:r w:rsidR="008B1CAF" w:rsidRPr="008B1CAF">
              <w:rPr>
                <w:b/>
                <w:bCs/>
                <w:szCs w:val="22"/>
              </w:rPr>
              <w:t xml:space="preserve">: Taking the Grand Bargain </w:t>
            </w:r>
            <w:r w:rsidR="004C179C">
              <w:rPr>
                <w:b/>
                <w:bCs/>
                <w:szCs w:val="22"/>
              </w:rPr>
              <w:t xml:space="preserve">Commitments </w:t>
            </w:r>
            <w:r w:rsidR="008B1CAF" w:rsidRPr="008B1CAF">
              <w:rPr>
                <w:b/>
                <w:bCs/>
                <w:szCs w:val="22"/>
              </w:rPr>
              <w:t>Forward</w:t>
            </w:r>
          </w:p>
          <w:p w14:paraId="29E99F9C" w14:textId="5129BEF2" w:rsidR="003F4E4B" w:rsidRDefault="008B1CAF" w:rsidP="00AE3F16">
            <w:pPr>
              <w:spacing w:before="240" w:after="240"/>
              <w:rPr>
                <w:b/>
                <w:bCs/>
                <w:szCs w:val="22"/>
              </w:rPr>
            </w:pPr>
            <w:r w:rsidRPr="008B1CAF">
              <w:rPr>
                <w:b/>
                <w:bCs/>
                <w:szCs w:val="22"/>
              </w:rPr>
              <w:t>Session Facilitator:</w:t>
            </w:r>
            <w:r w:rsidR="00E568B4">
              <w:rPr>
                <w:b/>
                <w:bCs/>
                <w:szCs w:val="22"/>
              </w:rPr>
              <w:t xml:space="preserve"> </w:t>
            </w:r>
            <w:r w:rsidR="00DF021B" w:rsidRPr="00944306">
              <w:rPr>
                <w:szCs w:val="22"/>
              </w:rPr>
              <w:t>Ms. G</w:t>
            </w:r>
            <w:r w:rsidR="00900B93" w:rsidRPr="00944306">
              <w:rPr>
                <w:szCs w:val="22"/>
              </w:rPr>
              <w:t>ordana Jerger, WFP</w:t>
            </w:r>
          </w:p>
          <w:p w14:paraId="59E16A26" w14:textId="61C8BE65" w:rsidR="008B1CAF" w:rsidRDefault="00EC6F0E" w:rsidP="00E83015">
            <w:pPr>
              <w:spacing w:before="0" w:after="240"/>
              <w:rPr>
                <w:szCs w:val="22"/>
              </w:rPr>
            </w:pPr>
            <w:r>
              <w:rPr>
                <w:szCs w:val="22"/>
              </w:rPr>
              <w:t xml:space="preserve">An overview of </w:t>
            </w:r>
            <w:r w:rsidR="008B1CAF">
              <w:rPr>
                <w:szCs w:val="22"/>
              </w:rPr>
              <w:t>outcomes fro</w:t>
            </w:r>
            <w:r w:rsidR="008B1CAF" w:rsidRPr="008B1CAF">
              <w:rPr>
                <w:szCs w:val="22"/>
              </w:rPr>
              <w:t xml:space="preserve">m the </w:t>
            </w:r>
            <w:r>
              <w:rPr>
                <w:szCs w:val="22"/>
              </w:rPr>
              <w:t xml:space="preserve">Grand Bargain </w:t>
            </w:r>
            <w:r w:rsidR="00E83015">
              <w:rPr>
                <w:szCs w:val="22"/>
              </w:rPr>
              <w:t xml:space="preserve">meeting in Bonn, 4-5 September </w:t>
            </w:r>
            <w:r>
              <w:rPr>
                <w:szCs w:val="22"/>
              </w:rPr>
              <w:t>will inform preliminary analysis of where and how the IASC Working Grou</w:t>
            </w:r>
            <w:r w:rsidR="00E83015">
              <w:rPr>
                <w:szCs w:val="22"/>
              </w:rPr>
              <w:t>p, and its subsidiary bodies, can contribute</w:t>
            </w:r>
            <w:r>
              <w:rPr>
                <w:szCs w:val="22"/>
              </w:rPr>
              <w:t xml:space="preserve"> to achieving the </w:t>
            </w:r>
            <w:r w:rsidR="00E83015">
              <w:rPr>
                <w:szCs w:val="22"/>
              </w:rPr>
              <w:t xml:space="preserve">GB </w:t>
            </w:r>
            <w:r>
              <w:rPr>
                <w:szCs w:val="22"/>
              </w:rPr>
              <w:t xml:space="preserve">commitments. </w:t>
            </w:r>
            <w:r w:rsidR="00E83015">
              <w:rPr>
                <w:szCs w:val="22"/>
              </w:rPr>
              <w:t xml:space="preserve">It will identify where work is already being carried forward in updated ToRs and Workplans, where gaps have already been identified and inform discussion on future priorities. </w:t>
            </w:r>
          </w:p>
          <w:p w14:paraId="6D3D20F3" w14:textId="77777777" w:rsidR="00E83015" w:rsidRDefault="004C179C" w:rsidP="004C179C">
            <w:pPr>
              <w:spacing w:before="0"/>
              <w:rPr>
                <w:b/>
                <w:bCs/>
                <w:szCs w:val="22"/>
              </w:rPr>
            </w:pPr>
            <w:r w:rsidRPr="002970D1">
              <w:rPr>
                <w:b/>
                <w:bCs/>
                <w:szCs w:val="22"/>
              </w:rPr>
              <w:t xml:space="preserve">Presenters: </w:t>
            </w:r>
          </w:p>
          <w:p w14:paraId="41867A9D" w14:textId="7708A578" w:rsidR="004C179C" w:rsidRPr="00E83015" w:rsidRDefault="00EC6F0E" w:rsidP="00E22B11">
            <w:pPr>
              <w:spacing w:before="0"/>
              <w:rPr>
                <w:b/>
                <w:bCs/>
                <w:szCs w:val="22"/>
              </w:rPr>
            </w:pPr>
            <w:r w:rsidRPr="00117BD9">
              <w:rPr>
                <w:bCs/>
                <w:szCs w:val="22"/>
              </w:rPr>
              <w:t>Ms.</w:t>
            </w:r>
            <w:r w:rsidRPr="00117BD9">
              <w:rPr>
                <w:b/>
                <w:bCs/>
                <w:szCs w:val="22"/>
              </w:rPr>
              <w:t xml:space="preserve"> </w:t>
            </w:r>
            <w:r w:rsidR="00C53A24" w:rsidRPr="00117BD9">
              <w:rPr>
                <w:szCs w:val="22"/>
              </w:rPr>
              <w:t>Melissa</w:t>
            </w:r>
            <w:r w:rsidRPr="00117BD9">
              <w:rPr>
                <w:szCs w:val="22"/>
              </w:rPr>
              <w:t xml:space="preserve"> Pitotti</w:t>
            </w:r>
            <w:r w:rsidR="00C53A24" w:rsidRPr="00117BD9">
              <w:rPr>
                <w:szCs w:val="22"/>
              </w:rPr>
              <w:t>, ICVA</w:t>
            </w:r>
            <w:r w:rsidR="00E83015">
              <w:rPr>
                <w:b/>
                <w:bCs/>
                <w:szCs w:val="22"/>
              </w:rPr>
              <w:t xml:space="preserve">: </w:t>
            </w:r>
            <w:r w:rsidR="004C179C" w:rsidRPr="00E83015">
              <w:rPr>
                <w:szCs w:val="22"/>
              </w:rPr>
              <w:t>Grand Bargain: Overview of Bo</w:t>
            </w:r>
            <w:r w:rsidR="000E324E" w:rsidRPr="00E83015">
              <w:rPr>
                <w:szCs w:val="22"/>
              </w:rPr>
              <w:t xml:space="preserve">nn outcomes and application </w:t>
            </w:r>
            <w:r w:rsidR="004547BB" w:rsidRPr="00E83015">
              <w:rPr>
                <w:szCs w:val="22"/>
              </w:rPr>
              <w:t>to</w:t>
            </w:r>
            <w:r w:rsidR="000E324E" w:rsidRPr="00E83015">
              <w:rPr>
                <w:szCs w:val="22"/>
              </w:rPr>
              <w:t xml:space="preserve"> IASC workstreams </w:t>
            </w:r>
          </w:p>
          <w:p w14:paraId="66D79A19" w14:textId="77777777" w:rsidR="00E83015" w:rsidRDefault="00E83015" w:rsidP="004C179C">
            <w:pPr>
              <w:spacing w:before="0"/>
              <w:rPr>
                <w:b/>
                <w:bCs/>
                <w:szCs w:val="22"/>
              </w:rPr>
            </w:pPr>
          </w:p>
          <w:p w14:paraId="6EADBCCF" w14:textId="1A314005" w:rsidR="004C179C" w:rsidRDefault="004C179C" w:rsidP="004C179C">
            <w:pPr>
              <w:spacing w:before="0"/>
              <w:rPr>
                <w:b/>
                <w:bCs/>
                <w:szCs w:val="22"/>
              </w:rPr>
            </w:pPr>
            <w:r w:rsidRPr="002970D1">
              <w:rPr>
                <w:b/>
                <w:bCs/>
                <w:szCs w:val="22"/>
              </w:rPr>
              <w:t>Expected Outcomes:</w:t>
            </w:r>
          </w:p>
          <w:p w14:paraId="4FB99EB4" w14:textId="76511468" w:rsidR="002A209E" w:rsidRDefault="002A209E" w:rsidP="004E6D09">
            <w:pPr>
              <w:pStyle w:val="ListParagraph"/>
              <w:numPr>
                <w:ilvl w:val="0"/>
                <w:numId w:val="19"/>
              </w:numPr>
              <w:spacing w:before="0" w:after="240"/>
              <w:rPr>
                <w:szCs w:val="22"/>
              </w:rPr>
            </w:pPr>
            <w:r w:rsidRPr="002A209E">
              <w:rPr>
                <w:szCs w:val="22"/>
              </w:rPr>
              <w:t>Shared understanding of conclusions, commitments and next steps from Grand Bargain discussions</w:t>
            </w:r>
            <w:r w:rsidR="00D76C43">
              <w:rPr>
                <w:szCs w:val="22"/>
              </w:rPr>
              <w:t xml:space="preserve"> and the implications for the </w:t>
            </w:r>
            <w:r w:rsidR="004547BB">
              <w:rPr>
                <w:szCs w:val="22"/>
              </w:rPr>
              <w:t>WG and IASC Task Teams and Reference Groups</w:t>
            </w:r>
          </w:p>
          <w:p w14:paraId="2507AD87" w14:textId="4BB253ED" w:rsidR="00E83015" w:rsidRPr="002A209E" w:rsidRDefault="00E83015" w:rsidP="004E6D09">
            <w:pPr>
              <w:pStyle w:val="ListParagraph"/>
              <w:numPr>
                <w:ilvl w:val="0"/>
                <w:numId w:val="19"/>
              </w:numPr>
              <w:spacing w:before="0" w:after="240"/>
              <w:rPr>
                <w:szCs w:val="22"/>
              </w:rPr>
            </w:pPr>
            <w:r>
              <w:rPr>
                <w:szCs w:val="22"/>
              </w:rPr>
              <w:t>Initial reflection on relevant workstreams and related prioritization for IASC Working Group, including rev</w:t>
            </w:r>
            <w:r w:rsidR="001A7DC7">
              <w:rPr>
                <w:szCs w:val="22"/>
              </w:rPr>
              <w:t>ision of WG w</w:t>
            </w:r>
            <w:r w:rsidR="00883983">
              <w:rPr>
                <w:szCs w:val="22"/>
              </w:rPr>
              <w:t>orkplan.</w:t>
            </w:r>
          </w:p>
          <w:p w14:paraId="01037785" w14:textId="4CF810B7" w:rsidR="002970D1" w:rsidRDefault="002970D1" w:rsidP="002970D1">
            <w:pPr>
              <w:spacing w:before="0"/>
              <w:rPr>
                <w:b/>
                <w:bCs/>
                <w:szCs w:val="22"/>
              </w:rPr>
            </w:pPr>
            <w:r w:rsidRPr="002970D1">
              <w:rPr>
                <w:b/>
                <w:bCs/>
                <w:szCs w:val="22"/>
              </w:rPr>
              <w:t>Background Papers:</w:t>
            </w:r>
          </w:p>
          <w:p w14:paraId="7E24DFC0" w14:textId="3E3DC974" w:rsidR="002A209E" w:rsidRDefault="006D40C4" w:rsidP="004E6D09">
            <w:pPr>
              <w:pStyle w:val="ListParagraph"/>
              <w:numPr>
                <w:ilvl w:val="0"/>
                <w:numId w:val="18"/>
              </w:numPr>
              <w:spacing w:before="0"/>
              <w:rPr>
                <w:szCs w:val="22"/>
              </w:rPr>
            </w:pPr>
            <w:r>
              <w:rPr>
                <w:szCs w:val="22"/>
              </w:rPr>
              <w:t xml:space="preserve">A </w:t>
            </w:r>
            <w:r w:rsidR="002A209E">
              <w:rPr>
                <w:szCs w:val="22"/>
              </w:rPr>
              <w:t xml:space="preserve">Grand Bargain: </w:t>
            </w:r>
            <w:r>
              <w:rPr>
                <w:szCs w:val="22"/>
              </w:rPr>
              <w:t>A Shared Commitment to Better Serve People in Need</w:t>
            </w:r>
          </w:p>
          <w:p w14:paraId="54290F4E" w14:textId="5AFC8F65" w:rsidR="004C179C" w:rsidRDefault="002970D1" w:rsidP="004E6D09">
            <w:pPr>
              <w:pStyle w:val="ListParagraph"/>
              <w:numPr>
                <w:ilvl w:val="0"/>
                <w:numId w:val="18"/>
              </w:numPr>
              <w:spacing w:before="0" w:after="240"/>
              <w:rPr>
                <w:szCs w:val="22"/>
              </w:rPr>
            </w:pPr>
            <w:r w:rsidRPr="002970D1">
              <w:rPr>
                <w:szCs w:val="22"/>
              </w:rPr>
              <w:t>Grand Bargain: Bon</w:t>
            </w:r>
            <w:r w:rsidR="001A7DC7">
              <w:rPr>
                <w:szCs w:val="22"/>
              </w:rPr>
              <w:t>n Meeting, Chair’s Summary and w</w:t>
            </w:r>
            <w:r w:rsidRPr="002970D1">
              <w:rPr>
                <w:szCs w:val="22"/>
              </w:rPr>
              <w:t>orkstream summary documents</w:t>
            </w:r>
          </w:p>
          <w:p w14:paraId="17ACA12C" w14:textId="22531933" w:rsidR="004547BB" w:rsidRDefault="004547BB" w:rsidP="001A7DC7">
            <w:pPr>
              <w:pStyle w:val="ListParagraph"/>
              <w:numPr>
                <w:ilvl w:val="0"/>
                <w:numId w:val="18"/>
              </w:numPr>
              <w:spacing w:before="0" w:after="240"/>
              <w:rPr>
                <w:szCs w:val="22"/>
              </w:rPr>
            </w:pPr>
            <w:r>
              <w:rPr>
                <w:szCs w:val="22"/>
              </w:rPr>
              <w:t xml:space="preserve">Analysis of </w:t>
            </w:r>
            <w:r w:rsidR="00E83015">
              <w:rPr>
                <w:szCs w:val="22"/>
              </w:rPr>
              <w:t xml:space="preserve">10 GB </w:t>
            </w:r>
            <w:r>
              <w:rPr>
                <w:szCs w:val="22"/>
              </w:rPr>
              <w:t>wo</w:t>
            </w:r>
            <w:r w:rsidR="00362DB8">
              <w:rPr>
                <w:szCs w:val="22"/>
              </w:rPr>
              <w:t>rkstreams</w:t>
            </w:r>
            <w:r>
              <w:rPr>
                <w:szCs w:val="22"/>
              </w:rPr>
              <w:t xml:space="preserve"> summary documents</w:t>
            </w:r>
          </w:p>
          <w:p w14:paraId="5EC2DC50" w14:textId="77777777" w:rsidR="00877CF6" w:rsidRDefault="00883983" w:rsidP="0068414E">
            <w:pPr>
              <w:pStyle w:val="ListParagraph"/>
              <w:numPr>
                <w:ilvl w:val="0"/>
                <w:numId w:val="18"/>
              </w:numPr>
              <w:spacing w:before="0" w:after="240"/>
              <w:rPr>
                <w:szCs w:val="22"/>
              </w:rPr>
            </w:pPr>
            <w:r>
              <w:rPr>
                <w:szCs w:val="22"/>
              </w:rPr>
              <w:t>TT and RG progress reports post-WHS/Grand Bargain, and Updated IASC Working Group</w:t>
            </w:r>
            <w:r w:rsidR="004547BB">
              <w:rPr>
                <w:szCs w:val="22"/>
              </w:rPr>
              <w:t xml:space="preserve"> workplan</w:t>
            </w:r>
          </w:p>
          <w:p w14:paraId="49EDD3B0" w14:textId="748AC359" w:rsidR="00F43B42" w:rsidRPr="004547BB" w:rsidRDefault="00F43B42" w:rsidP="0068414E">
            <w:pPr>
              <w:pStyle w:val="ListParagraph"/>
              <w:numPr>
                <w:ilvl w:val="0"/>
                <w:numId w:val="18"/>
              </w:numPr>
              <w:spacing w:before="0" w:after="240"/>
              <w:rPr>
                <w:szCs w:val="22"/>
              </w:rPr>
            </w:pPr>
            <w:r w:rsidRPr="00F43B42">
              <w:rPr>
                <w:szCs w:val="22"/>
              </w:rPr>
              <w:t>Mapping of Grand Bargain workstreams and IASC engagement</w:t>
            </w:r>
          </w:p>
        </w:tc>
      </w:tr>
      <w:tr w:rsidR="0098050F" w:rsidRPr="005B0A6D" w14:paraId="5602B710" w14:textId="77777777" w:rsidTr="2D7792BA">
        <w:trPr>
          <w:jc w:val="center"/>
        </w:trPr>
        <w:tc>
          <w:tcPr>
            <w:tcW w:w="1714" w:type="dxa"/>
            <w:tcBorders>
              <w:bottom w:val="single" w:sz="4" w:space="0" w:color="auto"/>
            </w:tcBorders>
            <w:shd w:val="clear" w:color="auto" w:fill="auto"/>
          </w:tcPr>
          <w:p w14:paraId="57792E70" w14:textId="1589B06D" w:rsidR="0098050F" w:rsidRPr="006C71B7" w:rsidRDefault="0098050F" w:rsidP="008876CC">
            <w:pPr>
              <w:spacing w:before="0" w:after="240"/>
              <w:rPr>
                <w:b/>
                <w:bCs/>
                <w:color w:val="0070C0"/>
                <w:sz w:val="20"/>
                <w:szCs w:val="20"/>
              </w:rPr>
            </w:pPr>
            <w:r w:rsidRPr="006C71B7">
              <w:rPr>
                <w:b/>
                <w:bCs/>
                <w:color w:val="0070C0"/>
                <w:sz w:val="20"/>
                <w:szCs w:val="20"/>
              </w:rPr>
              <w:t>19</w:t>
            </w:r>
            <w:r w:rsidR="008876CC" w:rsidRPr="006C71B7">
              <w:rPr>
                <w:b/>
                <w:bCs/>
                <w:color w:val="0070C0"/>
                <w:sz w:val="20"/>
                <w:szCs w:val="20"/>
              </w:rPr>
              <w:t>:</w:t>
            </w:r>
            <w:r w:rsidRPr="006C71B7">
              <w:rPr>
                <w:b/>
                <w:bCs/>
                <w:color w:val="0070C0"/>
                <w:sz w:val="20"/>
                <w:szCs w:val="20"/>
              </w:rPr>
              <w:t>00</w:t>
            </w:r>
          </w:p>
        </w:tc>
        <w:tc>
          <w:tcPr>
            <w:tcW w:w="7181" w:type="dxa"/>
            <w:tcBorders>
              <w:bottom w:val="single" w:sz="4" w:space="0" w:color="auto"/>
            </w:tcBorders>
            <w:shd w:val="clear" w:color="auto" w:fill="auto"/>
          </w:tcPr>
          <w:p w14:paraId="5EF772FA" w14:textId="32A458F9" w:rsidR="0098050F" w:rsidRPr="008876CC" w:rsidRDefault="0098050F" w:rsidP="008876CC">
            <w:pPr>
              <w:spacing w:before="0" w:after="240"/>
              <w:rPr>
                <w:b/>
                <w:bCs/>
                <w:color w:val="0070C0"/>
                <w:szCs w:val="22"/>
              </w:rPr>
            </w:pPr>
            <w:r w:rsidRPr="008876CC">
              <w:rPr>
                <w:b/>
                <w:bCs/>
                <w:color w:val="0070C0"/>
                <w:szCs w:val="22"/>
              </w:rPr>
              <w:t xml:space="preserve">Informal Dinner  - </w:t>
            </w:r>
            <w:r w:rsidR="00B57CEE" w:rsidRPr="00B57CEE">
              <w:rPr>
                <w:b/>
                <w:bCs/>
                <w:szCs w:val="22"/>
              </w:rPr>
              <w:t>Sip-Sak Restaurant</w:t>
            </w:r>
            <w:r w:rsidR="00B57CEE" w:rsidRPr="00B57CEE">
              <w:rPr>
                <w:szCs w:val="22"/>
              </w:rPr>
              <w:t xml:space="preserve"> located at 928 2nd Avenue, between 49th &amp; 50th Streets</w:t>
            </w:r>
          </w:p>
        </w:tc>
      </w:tr>
    </w:tbl>
    <w:p w14:paraId="4135BD46" w14:textId="77777777" w:rsidR="00CB080F" w:rsidRDefault="00CB080F" w:rsidP="00CB080F">
      <w:pPr>
        <w:spacing w:before="0"/>
        <w:rPr>
          <w:sz w:val="20"/>
          <w:szCs w:val="20"/>
        </w:rPr>
      </w:pPr>
    </w:p>
    <w:p w14:paraId="57302B04" w14:textId="77777777" w:rsidR="00934A33" w:rsidRDefault="00934A33" w:rsidP="00CB080F">
      <w:pPr>
        <w:spacing w:before="0"/>
        <w:rPr>
          <w:sz w:val="20"/>
          <w:szCs w:val="20"/>
        </w:rPr>
      </w:pPr>
    </w:p>
    <w:p w14:paraId="72040DFB" w14:textId="77777777" w:rsidR="007B2B5B" w:rsidRDefault="007B2B5B" w:rsidP="00CB080F">
      <w:pPr>
        <w:spacing w:before="0"/>
        <w:rPr>
          <w:sz w:val="20"/>
          <w:szCs w:val="20"/>
        </w:rPr>
      </w:pPr>
    </w:p>
    <w:p w14:paraId="20995DE2" w14:textId="77777777" w:rsidR="007B2B5B" w:rsidRDefault="007B2B5B" w:rsidP="00CB080F">
      <w:pPr>
        <w:spacing w:before="0"/>
        <w:rPr>
          <w:sz w:val="20"/>
          <w:szCs w:val="20"/>
        </w:rPr>
      </w:pPr>
    </w:p>
    <w:p w14:paraId="36B358C8" w14:textId="77777777" w:rsidR="007B2B5B" w:rsidRDefault="007B2B5B" w:rsidP="00CB080F">
      <w:pPr>
        <w:spacing w:before="0"/>
        <w:rPr>
          <w:sz w:val="20"/>
          <w:szCs w:val="20"/>
        </w:rPr>
      </w:pPr>
    </w:p>
    <w:p w14:paraId="1961B48B" w14:textId="77777777" w:rsidR="007B2B5B" w:rsidRDefault="007B2B5B" w:rsidP="00CB080F">
      <w:pPr>
        <w:spacing w:before="0"/>
        <w:rPr>
          <w:sz w:val="20"/>
          <w:szCs w:val="20"/>
        </w:rPr>
      </w:pPr>
    </w:p>
    <w:p w14:paraId="545801B3" w14:textId="77777777" w:rsidR="007B2B5B" w:rsidRDefault="007B2B5B" w:rsidP="00CB080F">
      <w:pPr>
        <w:spacing w:before="0"/>
        <w:rPr>
          <w:sz w:val="20"/>
          <w:szCs w:val="20"/>
        </w:rPr>
      </w:pPr>
    </w:p>
    <w:p w14:paraId="4F461BA0" w14:textId="77777777" w:rsidR="007B2B5B" w:rsidRDefault="007B2B5B" w:rsidP="00CB080F">
      <w:pPr>
        <w:spacing w:before="0"/>
        <w:rPr>
          <w:sz w:val="20"/>
          <w:szCs w:val="20"/>
        </w:rPr>
      </w:pPr>
    </w:p>
    <w:p w14:paraId="4F9E9CAB" w14:textId="77777777" w:rsidR="007B2B5B" w:rsidRDefault="007B2B5B" w:rsidP="00CB080F">
      <w:pPr>
        <w:spacing w:before="0"/>
        <w:rPr>
          <w:sz w:val="20"/>
          <w:szCs w:val="20"/>
        </w:rPr>
      </w:pPr>
    </w:p>
    <w:p w14:paraId="12ED3A45" w14:textId="77777777" w:rsidR="007B2B5B" w:rsidRDefault="007B2B5B" w:rsidP="00CB080F">
      <w:pPr>
        <w:spacing w:before="0"/>
        <w:rPr>
          <w:sz w:val="20"/>
          <w:szCs w:val="20"/>
        </w:rPr>
      </w:pPr>
    </w:p>
    <w:p w14:paraId="31E11CFE" w14:textId="77777777" w:rsidR="007B2B5B" w:rsidRDefault="007B2B5B" w:rsidP="00CB080F">
      <w:pPr>
        <w:spacing w:before="0"/>
        <w:rPr>
          <w:sz w:val="20"/>
          <w:szCs w:val="20"/>
        </w:rPr>
      </w:pPr>
    </w:p>
    <w:p w14:paraId="24221165" w14:textId="77777777" w:rsidR="007B2B5B" w:rsidRDefault="007B2B5B" w:rsidP="00CB080F">
      <w:pPr>
        <w:spacing w:before="0"/>
        <w:rPr>
          <w:sz w:val="20"/>
          <w:szCs w:val="20"/>
        </w:rPr>
      </w:pPr>
    </w:p>
    <w:p w14:paraId="103362C8" w14:textId="77777777" w:rsidR="007B2B5B" w:rsidRDefault="007B2B5B" w:rsidP="00CB080F">
      <w:pPr>
        <w:spacing w:before="0"/>
        <w:rPr>
          <w:sz w:val="20"/>
          <w:szCs w:val="20"/>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7181"/>
      </w:tblGrid>
      <w:tr w:rsidR="001F7C4A" w:rsidRPr="005B0A6D" w14:paraId="22B23AF9" w14:textId="77777777" w:rsidTr="05F9DE79">
        <w:trPr>
          <w:cantSplit/>
          <w:jc w:val="center"/>
        </w:trPr>
        <w:tc>
          <w:tcPr>
            <w:tcW w:w="1708" w:type="dxa"/>
            <w:shd w:val="clear" w:color="auto" w:fill="C0C0C0"/>
          </w:tcPr>
          <w:p w14:paraId="6DEF0B65" w14:textId="77777777" w:rsidR="001F7C4A" w:rsidRPr="005B0A6D" w:rsidRDefault="001F7C4A" w:rsidP="00CB080F">
            <w:pPr>
              <w:pStyle w:val="TableText"/>
              <w:spacing w:before="0" w:after="0"/>
              <w:rPr>
                <w:b/>
                <w:bCs w:val="0"/>
                <w:sz w:val="20"/>
              </w:rPr>
            </w:pPr>
            <w:r w:rsidRPr="005B0A6D">
              <w:rPr>
                <w:b/>
                <w:bCs w:val="0"/>
                <w:sz w:val="20"/>
              </w:rPr>
              <w:t>Time</w:t>
            </w:r>
          </w:p>
        </w:tc>
        <w:tc>
          <w:tcPr>
            <w:tcW w:w="7181" w:type="dxa"/>
            <w:shd w:val="clear" w:color="auto" w:fill="C0C0C0"/>
          </w:tcPr>
          <w:p w14:paraId="069524D2" w14:textId="01999C3D" w:rsidR="001F7C4A" w:rsidRPr="001C6514" w:rsidRDefault="001C6514" w:rsidP="004B47A6">
            <w:pPr>
              <w:spacing w:before="0" w:after="240"/>
              <w:rPr>
                <w:b/>
                <w:bCs/>
              </w:rPr>
            </w:pPr>
            <w:r w:rsidRPr="001C6514">
              <w:rPr>
                <w:b/>
                <w:bCs/>
              </w:rPr>
              <w:t xml:space="preserve">Day 2:Wednesday, 26 October 2016 </w:t>
            </w:r>
          </w:p>
        </w:tc>
      </w:tr>
      <w:tr w:rsidR="00300055" w:rsidRPr="005B0A6D" w14:paraId="30F18D74" w14:textId="77777777" w:rsidTr="05F9DE79">
        <w:trPr>
          <w:cantSplit/>
          <w:jc w:val="center"/>
        </w:trPr>
        <w:tc>
          <w:tcPr>
            <w:tcW w:w="1708" w:type="dxa"/>
            <w:tcBorders>
              <w:bottom w:val="single" w:sz="4" w:space="0" w:color="auto"/>
            </w:tcBorders>
          </w:tcPr>
          <w:p w14:paraId="2A8D1C27" w14:textId="1CC9A067" w:rsidR="00300055" w:rsidRPr="009F3D26" w:rsidRDefault="00F8539C" w:rsidP="00AB0E0E">
            <w:pPr>
              <w:pStyle w:val="TableText"/>
              <w:spacing w:before="0" w:after="0"/>
              <w:rPr>
                <w:b/>
                <w:sz w:val="20"/>
              </w:rPr>
            </w:pPr>
            <w:r>
              <w:rPr>
                <w:b/>
                <w:sz w:val="20"/>
              </w:rPr>
              <w:t>0</w:t>
            </w:r>
            <w:r w:rsidR="00300055" w:rsidRPr="009F3D26">
              <w:rPr>
                <w:b/>
                <w:sz w:val="20"/>
              </w:rPr>
              <w:t>9</w:t>
            </w:r>
            <w:r w:rsidR="00AB0E0E">
              <w:rPr>
                <w:b/>
                <w:sz w:val="20"/>
              </w:rPr>
              <w:t>:00-</w:t>
            </w:r>
            <w:r>
              <w:rPr>
                <w:b/>
                <w:sz w:val="20"/>
              </w:rPr>
              <w:t>0</w:t>
            </w:r>
            <w:r w:rsidR="00AB0E0E">
              <w:rPr>
                <w:b/>
                <w:sz w:val="20"/>
              </w:rPr>
              <w:t>9:</w:t>
            </w:r>
            <w:r w:rsidR="00300055" w:rsidRPr="009F3D26">
              <w:rPr>
                <w:b/>
                <w:sz w:val="20"/>
              </w:rPr>
              <w:t>15</w:t>
            </w:r>
          </w:p>
        </w:tc>
        <w:tc>
          <w:tcPr>
            <w:tcW w:w="7181" w:type="dxa"/>
            <w:tcBorders>
              <w:bottom w:val="single" w:sz="4" w:space="0" w:color="auto"/>
            </w:tcBorders>
          </w:tcPr>
          <w:p w14:paraId="027DD8C4" w14:textId="77777777" w:rsidR="00300055" w:rsidRPr="001C6514" w:rsidRDefault="00300055" w:rsidP="001C6514">
            <w:pPr>
              <w:spacing w:before="0" w:after="240"/>
              <w:rPr>
                <w:b/>
                <w:bCs/>
              </w:rPr>
            </w:pPr>
            <w:r w:rsidRPr="001C6514">
              <w:rPr>
                <w:b/>
                <w:bCs/>
              </w:rPr>
              <w:t>Summary of Day 1</w:t>
            </w:r>
          </w:p>
        </w:tc>
      </w:tr>
      <w:tr w:rsidR="001F7C4A" w:rsidRPr="005B0A6D" w14:paraId="51762DB1" w14:textId="77777777" w:rsidTr="05F9DE79">
        <w:trPr>
          <w:cantSplit/>
          <w:jc w:val="center"/>
        </w:trPr>
        <w:tc>
          <w:tcPr>
            <w:tcW w:w="1708" w:type="dxa"/>
            <w:tcBorders>
              <w:bottom w:val="single" w:sz="4" w:space="0" w:color="auto"/>
            </w:tcBorders>
          </w:tcPr>
          <w:p w14:paraId="3DCC621A" w14:textId="7E1B412B" w:rsidR="001F7C4A" w:rsidRPr="009F3D26" w:rsidRDefault="00F8539C" w:rsidP="00A11BA7">
            <w:pPr>
              <w:pStyle w:val="TableText"/>
              <w:spacing w:before="0" w:after="0"/>
              <w:rPr>
                <w:b/>
                <w:sz w:val="20"/>
              </w:rPr>
            </w:pPr>
            <w:r>
              <w:rPr>
                <w:b/>
                <w:sz w:val="20"/>
              </w:rPr>
              <w:t>0</w:t>
            </w:r>
            <w:r w:rsidR="003F2F1C" w:rsidRPr="009F3D26">
              <w:rPr>
                <w:b/>
                <w:sz w:val="20"/>
              </w:rPr>
              <w:t>9</w:t>
            </w:r>
            <w:r w:rsidR="00AB0E0E">
              <w:rPr>
                <w:b/>
                <w:sz w:val="20"/>
              </w:rPr>
              <w:t>:</w:t>
            </w:r>
            <w:r w:rsidR="00300055" w:rsidRPr="009F3D26">
              <w:rPr>
                <w:b/>
                <w:sz w:val="20"/>
              </w:rPr>
              <w:t>15-1</w:t>
            </w:r>
            <w:r w:rsidR="009371B6">
              <w:rPr>
                <w:b/>
                <w:sz w:val="20"/>
              </w:rPr>
              <w:t>0</w:t>
            </w:r>
            <w:r w:rsidR="00AB0E0E">
              <w:rPr>
                <w:b/>
                <w:sz w:val="20"/>
              </w:rPr>
              <w:t>:</w:t>
            </w:r>
            <w:r w:rsidR="00A11BA7">
              <w:rPr>
                <w:b/>
                <w:sz w:val="20"/>
              </w:rPr>
              <w:t>00</w:t>
            </w:r>
          </w:p>
          <w:p w14:paraId="64DC4A72" w14:textId="66AD762F" w:rsidR="001C6514" w:rsidRPr="009F3D26" w:rsidRDefault="009F3D26" w:rsidP="00A11BA7">
            <w:pPr>
              <w:pStyle w:val="TableText"/>
              <w:spacing w:before="0" w:after="0"/>
              <w:rPr>
                <w:bCs w:val="0"/>
                <w:sz w:val="20"/>
              </w:rPr>
            </w:pPr>
            <w:r w:rsidRPr="009F3D26">
              <w:rPr>
                <w:bCs w:val="0"/>
                <w:sz w:val="20"/>
              </w:rPr>
              <w:t>(</w:t>
            </w:r>
            <w:r w:rsidR="00A11BA7">
              <w:rPr>
                <w:bCs w:val="0"/>
                <w:sz w:val="20"/>
              </w:rPr>
              <w:t>45</w:t>
            </w:r>
            <w:r w:rsidR="009371B6">
              <w:rPr>
                <w:bCs w:val="0"/>
                <w:sz w:val="20"/>
              </w:rPr>
              <w:t xml:space="preserve"> </w:t>
            </w:r>
            <w:r w:rsidR="001C6514" w:rsidRPr="009F3D26">
              <w:rPr>
                <w:bCs w:val="0"/>
                <w:sz w:val="20"/>
              </w:rPr>
              <w:t>mins)</w:t>
            </w:r>
          </w:p>
        </w:tc>
        <w:tc>
          <w:tcPr>
            <w:tcW w:w="7181" w:type="dxa"/>
            <w:tcBorders>
              <w:bottom w:val="single" w:sz="4" w:space="0" w:color="auto"/>
            </w:tcBorders>
          </w:tcPr>
          <w:p w14:paraId="67E1EBA0" w14:textId="77777777" w:rsidR="00883983" w:rsidRDefault="009371B6" w:rsidP="00765889">
            <w:pPr>
              <w:spacing w:before="0" w:after="240"/>
              <w:rPr>
                <w:b/>
                <w:bCs/>
              </w:rPr>
            </w:pPr>
            <w:r w:rsidRPr="009F3D26">
              <w:rPr>
                <w:b/>
                <w:bCs/>
              </w:rPr>
              <w:t xml:space="preserve">Session </w:t>
            </w:r>
            <w:r w:rsidR="004547BB">
              <w:rPr>
                <w:b/>
                <w:bCs/>
              </w:rPr>
              <w:t>5</w:t>
            </w:r>
            <w:r w:rsidR="00363522">
              <w:rPr>
                <w:b/>
                <w:bCs/>
              </w:rPr>
              <w:t xml:space="preserve">: </w:t>
            </w:r>
            <w:r w:rsidR="00B832F6">
              <w:rPr>
                <w:b/>
                <w:bCs/>
              </w:rPr>
              <w:t>D</w:t>
            </w:r>
            <w:r w:rsidRPr="009F3D26">
              <w:rPr>
                <w:b/>
                <w:bCs/>
              </w:rPr>
              <w:t>ialogue with the Emergency Relief Coordinator</w:t>
            </w:r>
            <w:r w:rsidR="00C42CBD">
              <w:rPr>
                <w:b/>
                <w:bCs/>
              </w:rPr>
              <w:t xml:space="preserve"> </w:t>
            </w:r>
          </w:p>
          <w:p w14:paraId="19926225" w14:textId="611944F2" w:rsidR="00765889" w:rsidRPr="00883983" w:rsidRDefault="00765889" w:rsidP="00765889">
            <w:pPr>
              <w:spacing w:before="0" w:after="240"/>
              <w:rPr>
                <w:b/>
                <w:bCs/>
              </w:rPr>
            </w:pPr>
            <w:r>
              <w:rPr>
                <w:rFonts w:eastAsiaTheme="minorEastAsia"/>
                <w:lang w:eastAsia="zh-CN"/>
              </w:rPr>
              <w:t xml:space="preserve">The ERC will share his vision post-WHS on its impact and outcomes, highlighting the critical forums in which key WHS commitments may be supported and/or taken forward including the Working Group, other IASC bodies, and other forums that support the IASC Principals in advancing the WHS outcomes. </w:t>
            </w:r>
          </w:p>
          <w:p w14:paraId="2561DF2F" w14:textId="77777777" w:rsidR="009371B6" w:rsidRDefault="009371B6" w:rsidP="009371B6">
            <w:pPr>
              <w:spacing w:before="0"/>
            </w:pPr>
            <w:r w:rsidRPr="002970D1">
              <w:rPr>
                <w:b/>
                <w:bCs/>
              </w:rPr>
              <w:t>Expected outcomes:</w:t>
            </w:r>
            <w:r w:rsidRPr="0085142A">
              <w:t xml:space="preserve"> </w:t>
            </w:r>
            <w:r w:rsidRPr="0085142A">
              <w:tab/>
            </w:r>
          </w:p>
          <w:p w14:paraId="2DFC20D2" w14:textId="46CF2E58" w:rsidR="00765889" w:rsidRDefault="00117BD9" w:rsidP="004E6D09">
            <w:pPr>
              <w:pStyle w:val="ListParagraph"/>
              <w:numPr>
                <w:ilvl w:val="0"/>
                <w:numId w:val="18"/>
              </w:numPr>
              <w:spacing w:before="0" w:after="240"/>
            </w:pPr>
            <w:r>
              <w:t>Enhanced</w:t>
            </w:r>
            <w:r w:rsidR="00765889">
              <w:t xml:space="preserve"> understanding of the ERC’s vision of </w:t>
            </w:r>
            <w:r w:rsidR="00765889" w:rsidRPr="002A209E">
              <w:rPr>
                <w:szCs w:val="22"/>
              </w:rPr>
              <w:t xml:space="preserve">key outcomes and the </w:t>
            </w:r>
            <w:r w:rsidR="00765889">
              <w:rPr>
                <w:szCs w:val="22"/>
              </w:rPr>
              <w:t>multi-stakeholder approach to advancing those outcomes</w:t>
            </w:r>
            <w:r w:rsidR="00765889" w:rsidRPr="002A209E">
              <w:rPr>
                <w:szCs w:val="22"/>
              </w:rPr>
              <w:t>.</w:t>
            </w:r>
          </w:p>
          <w:p w14:paraId="70DE7030" w14:textId="77777777" w:rsidR="009371B6" w:rsidRPr="002970D1" w:rsidRDefault="009371B6" w:rsidP="009371B6">
            <w:pPr>
              <w:spacing w:before="0"/>
              <w:rPr>
                <w:b/>
                <w:bCs/>
              </w:rPr>
            </w:pPr>
            <w:r w:rsidRPr="002970D1">
              <w:rPr>
                <w:b/>
                <w:bCs/>
              </w:rPr>
              <w:t>Background papers:</w:t>
            </w:r>
            <w:r w:rsidRPr="002970D1">
              <w:rPr>
                <w:b/>
                <w:bCs/>
              </w:rPr>
              <w:tab/>
            </w:r>
          </w:p>
          <w:p w14:paraId="178E44B3" w14:textId="76A6EBE6" w:rsidR="00765889" w:rsidRPr="00765889" w:rsidRDefault="00765889" w:rsidP="004E6D09">
            <w:pPr>
              <w:pStyle w:val="ListParagraph"/>
              <w:numPr>
                <w:ilvl w:val="0"/>
                <w:numId w:val="18"/>
              </w:numPr>
              <w:spacing w:before="0" w:after="240"/>
              <w:rPr>
                <w:szCs w:val="22"/>
              </w:rPr>
            </w:pPr>
            <w:r>
              <w:t>Secretary-General’s Report on the Outcome o</w:t>
            </w:r>
            <w:r w:rsidR="00D0413E">
              <w:t>f the World Humanitarian Summit</w:t>
            </w:r>
          </w:p>
          <w:p w14:paraId="7DE4BCBA" w14:textId="77777777" w:rsidR="00E8475E" w:rsidRDefault="006D40C4" w:rsidP="004E6D09">
            <w:pPr>
              <w:pStyle w:val="ListParagraph"/>
              <w:numPr>
                <w:ilvl w:val="0"/>
                <w:numId w:val="18"/>
              </w:numPr>
              <w:spacing w:before="0" w:after="240"/>
              <w:rPr>
                <w:szCs w:val="22"/>
              </w:rPr>
            </w:pPr>
            <w:r>
              <w:rPr>
                <w:szCs w:val="22"/>
              </w:rPr>
              <w:t>World Humanitarian Summit: Commitments to Action</w:t>
            </w:r>
          </w:p>
          <w:p w14:paraId="4B29281A" w14:textId="77777777" w:rsidR="00E87D52" w:rsidRDefault="00E87D52" w:rsidP="00E87D52">
            <w:pPr>
              <w:pStyle w:val="ListParagraph"/>
              <w:numPr>
                <w:ilvl w:val="0"/>
                <w:numId w:val="18"/>
              </w:numPr>
              <w:spacing w:before="0" w:after="240"/>
              <w:rPr>
                <w:szCs w:val="22"/>
              </w:rPr>
            </w:pPr>
            <w:r>
              <w:rPr>
                <w:szCs w:val="22"/>
              </w:rPr>
              <w:t xml:space="preserve">June 7, 2016 IASC Principals Statement </w:t>
            </w:r>
          </w:p>
          <w:p w14:paraId="0A8CAA84" w14:textId="04F44318" w:rsidR="00E87D52" w:rsidRPr="00276954" w:rsidRDefault="00E87D52" w:rsidP="00E87D52">
            <w:pPr>
              <w:pStyle w:val="ListParagraph"/>
              <w:numPr>
                <w:ilvl w:val="0"/>
                <w:numId w:val="18"/>
              </w:numPr>
              <w:spacing w:before="0" w:after="240"/>
              <w:rPr>
                <w:szCs w:val="22"/>
              </w:rPr>
            </w:pPr>
            <w:r>
              <w:rPr>
                <w:szCs w:val="22"/>
              </w:rPr>
              <w:t>Summary Record, IASC Principals meeting June 7, 2016</w:t>
            </w:r>
          </w:p>
        </w:tc>
      </w:tr>
      <w:tr w:rsidR="001F7C4A" w:rsidRPr="005B0A6D" w14:paraId="52237C62" w14:textId="77777777" w:rsidTr="05F9DE79">
        <w:trPr>
          <w:jc w:val="center"/>
        </w:trPr>
        <w:tc>
          <w:tcPr>
            <w:tcW w:w="1708" w:type="dxa"/>
            <w:tcBorders>
              <w:bottom w:val="single" w:sz="4" w:space="0" w:color="auto"/>
            </w:tcBorders>
          </w:tcPr>
          <w:p w14:paraId="79630C03" w14:textId="04E718F4" w:rsidR="001F7C4A" w:rsidRPr="009F3D26" w:rsidRDefault="00300055" w:rsidP="00A11BA7">
            <w:pPr>
              <w:pStyle w:val="TableText"/>
              <w:spacing w:before="0" w:after="0"/>
              <w:rPr>
                <w:b/>
                <w:sz w:val="20"/>
              </w:rPr>
            </w:pPr>
            <w:r w:rsidRPr="009F3D26">
              <w:rPr>
                <w:b/>
                <w:sz w:val="20"/>
              </w:rPr>
              <w:t>1</w:t>
            </w:r>
            <w:r w:rsidR="00A11BA7">
              <w:rPr>
                <w:b/>
                <w:sz w:val="20"/>
              </w:rPr>
              <w:t>0:00</w:t>
            </w:r>
            <w:r w:rsidR="00FD7332" w:rsidRPr="009F3D26">
              <w:rPr>
                <w:b/>
                <w:sz w:val="20"/>
              </w:rPr>
              <w:t>-1</w:t>
            </w:r>
            <w:r w:rsidR="00362DB8">
              <w:rPr>
                <w:b/>
                <w:sz w:val="20"/>
              </w:rPr>
              <w:t>0:45</w:t>
            </w:r>
          </w:p>
          <w:p w14:paraId="67D0B97C" w14:textId="0B213289" w:rsidR="009F3D26" w:rsidRPr="009F3D26" w:rsidRDefault="00461333" w:rsidP="009F3D26">
            <w:pPr>
              <w:pStyle w:val="TableText"/>
              <w:spacing w:before="0" w:after="0"/>
              <w:rPr>
                <w:bCs w:val="0"/>
                <w:sz w:val="20"/>
              </w:rPr>
            </w:pPr>
            <w:r>
              <w:rPr>
                <w:bCs w:val="0"/>
                <w:sz w:val="20"/>
              </w:rPr>
              <w:t>(</w:t>
            </w:r>
            <w:r w:rsidR="00362DB8">
              <w:rPr>
                <w:bCs w:val="0"/>
                <w:sz w:val="20"/>
              </w:rPr>
              <w:t>45</w:t>
            </w:r>
            <w:r w:rsidR="00C42CBD">
              <w:rPr>
                <w:bCs w:val="0"/>
                <w:sz w:val="20"/>
              </w:rPr>
              <w:t xml:space="preserve"> </w:t>
            </w:r>
            <w:r w:rsidR="009F3D26" w:rsidRPr="009F3D26">
              <w:rPr>
                <w:bCs w:val="0"/>
                <w:sz w:val="20"/>
              </w:rPr>
              <w:t>mins)</w:t>
            </w:r>
          </w:p>
        </w:tc>
        <w:tc>
          <w:tcPr>
            <w:tcW w:w="7181" w:type="dxa"/>
            <w:tcBorders>
              <w:bottom w:val="single" w:sz="4" w:space="0" w:color="auto"/>
            </w:tcBorders>
          </w:tcPr>
          <w:p w14:paraId="4D68C78D" w14:textId="58C4F68A" w:rsidR="009371B6" w:rsidRPr="00362DB8" w:rsidRDefault="009371B6" w:rsidP="00AE3F16">
            <w:pPr>
              <w:spacing w:before="0" w:after="240"/>
              <w:rPr>
                <w:b/>
                <w:bCs/>
                <w:szCs w:val="22"/>
              </w:rPr>
            </w:pPr>
            <w:r w:rsidRPr="00362DB8">
              <w:rPr>
                <w:b/>
                <w:bCs/>
                <w:szCs w:val="22"/>
              </w:rPr>
              <w:t xml:space="preserve">Session </w:t>
            </w:r>
            <w:r w:rsidR="00436C69" w:rsidRPr="00362DB8">
              <w:rPr>
                <w:b/>
                <w:bCs/>
                <w:szCs w:val="22"/>
              </w:rPr>
              <w:t>6</w:t>
            </w:r>
            <w:r w:rsidRPr="00362DB8">
              <w:rPr>
                <w:b/>
                <w:bCs/>
                <w:szCs w:val="22"/>
              </w:rPr>
              <w:t>: Post-World Humanitarian Summit</w:t>
            </w:r>
            <w:r w:rsidR="005419C9" w:rsidRPr="00362DB8">
              <w:rPr>
                <w:b/>
                <w:bCs/>
                <w:szCs w:val="22"/>
              </w:rPr>
              <w:t>: taking stock and moving forward</w:t>
            </w:r>
          </w:p>
          <w:p w14:paraId="3931C94F" w14:textId="686052F4" w:rsidR="00BF5D2B" w:rsidRPr="00362DB8" w:rsidRDefault="00BF5D2B" w:rsidP="009371B6">
            <w:pPr>
              <w:spacing w:before="0" w:after="240"/>
              <w:rPr>
                <w:b/>
                <w:bCs/>
                <w:szCs w:val="22"/>
              </w:rPr>
            </w:pPr>
            <w:r w:rsidRPr="00362DB8">
              <w:rPr>
                <w:b/>
                <w:bCs/>
                <w:szCs w:val="22"/>
              </w:rPr>
              <w:t>Session Facilitator</w:t>
            </w:r>
            <w:r w:rsidR="00117BD9" w:rsidRPr="00117BD9">
              <w:rPr>
                <w:b/>
                <w:bCs/>
                <w:szCs w:val="22"/>
              </w:rPr>
              <w:t xml:space="preserve">: </w:t>
            </w:r>
            <w:r w:rsidRPr="00117BD9">
              <w:rPr>
                <w:szCs w:val="22"/>
              </w:rPr>
              <w:t>Ms. Kyung-wha Kang, Chair of the IASC WG</w:t>
            </w:r>
          </w:p>
          <w:p w14:paraId="429233E9" w14:textId="0C6C39D7" w:rsidR="00883983" w:rsidRPr="00362DB8" w:rsidRDefault="00883983" w:rsidP="00E74D9F">
            <w:pPr>
              <w:spacing w:before="0"/>
              <w:rPr>
                <w:szCs w:val="22"/>
              </w:rPr>
            </w:pPr>
            <w:r w:rsidRPr="00362DB8">
              <w:rPr>
                <w:szCs w:val="22"/>
              </w:rPr>
              <w:t xml:space="preserve">The World Humanitarian Summit has resulted in thousands of commitments and initiatives in support of the Agenda for Humanity. In order to identify priorities, report on progress, and maintain attention to the full agenda, follow up on these commitments will need to be strategic and coherent. </w:t>
            </w:r>
            <w:r w:rsidR="00BF5D2B" w:rsidRPr="00362DB8">
              <w:rPr>
                <w:szCs w:val="22"/>
              </w:rPr>
              <w:t>Following release of the WHS Commitment to Action Report and the SG’s Report on the Outcome of the WHS</w:t>
            </w:r>
            <w:r w:rsidRPr="00362DB8">
              <w:rPr>
                <w:szCs w:val="22"/>
              </w:rPr>
              <w:t>,</w:t>
            </w:r>
            <w:r w:rsidR="00BF5D2B" w:rsidRPr="00362DB8">
              <w:rPr>
                <w:szCs w:val="22"/>
              </w:rPr>
              <w:t xml:space="preserve"> and mindful of IASC Principals discussions in July, </w:t>
            </w:r>
            <w:r w:rsidR="00E74D9F" w:rsidRPr="00362DB8">
              <w:rPr>
                <w:szCs w:val="22"/>
              </w:rPr>
              <w:t>the WG will analyse the IASC’s role in taking forward</w:t>
            </w:r>
            <w:r w:rsidR="00BF5D2B" w:rsidRPr="00362DB8">
              <w:rPr>
                <w:szCs w:val="22"/>
              </w:rPr>
              <w:t xml:space="preserve"> the</w:t>
            </w:r>
            <w:r w:rsidR="00E74D9F" w:rsidRPr="00362DB8">
              <w:rPr>
                <w:szCs w:val="22"/>
              </w:rPr>
              <w:t xml:space="preserve"> Secretary-Generals </w:t>
            </w:r>
            <w:r w:rsidR="00BF5D2B" w:rsidRPr="00362DB8">
              <w:rPr>
                <w:szCs w:val="22"/>
              </w:rPr>
              <w:t xml:space="preserve">road-map </w:t>
            </w:r>
            <w:r w:rsidR="00DB5097" w:rsidRPr="00362DB8">
              <w:rPr>
                <w:szCs w:val="22"/>
              </w:rPr>
              <w:t>to advance</w:t>
            </w:r>
            <w:r w:rsidR="00BF5D2B" w:rsidRPr="00362DB8">
              <w:rPr>
                <w:szCs w:val="22"/>
              </w:rPr>
              <w:t xml:space="preserve"> the commitments made at the Summit and </w:t>
            </w:r>
            <w:r w:rsidR="00E74D9F" w:rsidRPr="00362DB8">
              <w:rPr>
                <w:szCs w:val="22"/>
              </w:rPr>
              <w:t>progress</w:t>
            </w:r>
            <w:r w:rsidR="00BF5D2B" w:rsidRPr="00362DB8">
              <w:rPr>
                <w:szCs w:val="22"/>
              </w:rPr>
              <w:t xml:space="preserve"> the Agenda for Humanity overall.</w:t>
            </w:r>
            <w:r w:rsidR="00E74D9F" w:rsidRPr="00362DB8">
              <w:rPr>
                <w:szCs w:val="22"/>
              </w:rPr>
              <w:t xml:space="preserve"> </w:t>
            </w:r>
          </w:p>
          <w:p w14:paraId="32717449" w14:textId="77777777" w:rsidR="00883983" w:rsidRPr="00362DB8" w:rsidRDefault="00883983" w:rsidP="00E74D9F">
            <w:pPr>
              <w:spacing w:before="0"/>
              <w:rPr>
                <w:szCs w:val="22"/>
              </w:rPr>
            </w:pPr>
          </w:p>
          <w:p w14:paraId="3171BF44" w14:textId="75D5EAE3" w:rsidR="004A2E5A" w:rsidRPr="00362DB8" w:rsidRDefault="00883983" w:rsidP="00EE0792">
            <w:pPr>
              <w:spacing w:before="0" w:after="240"/>
              <w:rPr>
                <w:b/>
                <w:bCs/>
                <w:szCs w:val="22"/>
              </w:rPr>
            </w:pPr>
            <w:r w:rsidRPr="006B7936">
              <w:rPr>
                <w:b/>
                <w:bCs/>
                <w:szCs w:val="22"/>
              </w:rPr>
              <w:t>Presenter</w:t>
            </w:r>
            <w:r w:rsidR="00117BD9" w:rsidRPr="006B7936">
              <w:rPr>
                <w:b/>
                <w:bCs/>
                <w:szCs w:val="22"/>
              </w:rPr>
              <w:t xml:space="preserve">: </w:t>
            </w:r>
            <w:r w:rsidRPr="00FF55CC">
              <w:rPr>
                <w:bCs/>
                <w:szCs w:val="22"/>
              </w:rPr>
              <w:t>Mr. Hansjoerg Strohmeyer, OCHA</w:t>
            </w:r>
            <w:r w:rsidR="00300832" w:rsidRPr="00362DB8">
              <w:rPr>
                <w:szCs w:val="22"/>
              </w:rPr>
              <w:tab/>
            </w:r>
          </w:p>
          <w:p w14:paraId="0504C9B4" w14:textId="77777777" w:rsidR="009371B6" w:rsidRPr="00362DB8" w:rsidRDefault="009371B6" w:rsidP="009371B6">
            <w:pPr>
              <w:spacing w:before="0"/>
              <w:rPr>
                <w:b/>
                <w:bCs/>
                <w:szCs w:val="22"/>
              </w:rPr>
            </w:pPr>
            <w:r w:rsidRPr="00362DB8">
              <w:rPr>
                <w:b/>
                <w:bCs/>
                <w:szCs w:val="22"/>
              </w:rPr>
              <w:t>Expected outcomes:</w:t>
            </w:r>
          </w:p>
          <w:p w14:paraId="225BF610" w14:textId="77777777" w:rsidR="004D5B5B" w:rsidRPr="00362DB8" w:rsidRDefault="004D5B5B" w:rsidP="004E6D09">
            <w:pPr>
              <w:pStyle w:val="ListParagraph"/>
              <w:numPr>
                <w:ilvl w:val="0"/>
                <w:numId w:val="18"/>
              </w:numPr>
              <w:tabs>
                <w:tab w:val="clear" w:pos="992"/>
              </w:tabs>
              <w:spacing w:before="0" w:after="200" w:line="276" w:lineRule="auto"/>
              <w:jc w:val="left"/>
              <w:rPr>
                <w:szCs w:val="22"/>
              </w:rPr>
            </w:pPr>
            <w:r w:rsidRPr="00362DB8">
              <w:rPr>
                <w:szCs w:val="22"/>
              </w:rPr>
              <w:t>Identify how the IASC can help to make the PACT a dynamic hub for showcasing results and reporting on implementation.</w:t>
            </w:r>
          </w:p>
          <w:p w14:paraId="3CFB8167" w14:textId="79649E5A" w:rsidR="004D5B5B" w:rsidRPr="00362DB8" w:rsidRDefault="004D5B5B" w:rsidP="004E6D09">
            <w:pPr>
              <w:pStyle w:val="ListParagraph"/>
              <w:numPr>
                <w:ilvl w:val="0"/>
                <w:numId w:val="18"/>
              </w:numPr>
              <w:tabs>
                <w:tab w:val="clear" w:pos="992"/>
              </w:tabs>
              <w:spacing w:before="0" w:after="200" w:line="276" w:lineRule="auto"/>
              <w:jc w:val="left"/>
              <w:rPr>
                <w:szCs w:val="22"/>
              </w:rPr>
            </w:pPr>
            <w:r w:rsidRPr="00362DB8">
              <w:rPr>
                <w:szCs w:val="22"/>
              </w:rPr>
              <w:t xml:space="preserve">Discuss contributing to the Annual Synthesis Report and identify how the IASC </w:t>
            </w:r>
            <w:r w:rsidR="00117BD9">
              <w:rPr>
                <w:szCs w:val="22"/>
              </w:rPr>
              <w:t xml:space="preserve">WG </w:t>
            </w:r>
            <w:r w:rsidRPr="00362DB8">
              <w:rPr>
                <w:szCs w:val="22"/>
              </w:rPr>
              <w:t xml:space="preserve">and its mechanisms </w:t>
            </w:r>
            <w:r w:rsidR="00883983" w:rsidRPr="00362DB8">
              <w:rPr>
                <w:szCs w:val="22"/>
              </w:rPr>
              <w:t>can help</w:t>
            </w:r>
            <w:r w:rsidRPr="00362DB8">
              <w:rPr>
                <w:szCs w:val="22"/>
              </w:rPr>
              <w:t xml:space="preserve"> document progress on the combined impact of relevant commitments and initiatives and identifying obstacles and gaps.</w:t>
            </w:r>
          </w:p>
          <w:p w14:paraId="4343FD5F" w14:textId="19700460" w:rsidR="004D5B5B" w:rsidRPr="00362DB8" w:rsidRDefault="004D5B5B" w:rsidP="004E6D09">
            <w:pPr>
              <w:pStyle w:val="ListParagraph"/>
              <w:numPr>
                <w:ilvl w:val="0"/>
                <w:numId w:val="18"/>
              </w:numPr>
              <w:tabs>
                <w:tab w:val="clear" w:pos="992"/>
              </w:tabs>
              <w:spacing w:before="0" w:after="200" w:line="276" w:lineRule="auto"/>
              <w:jc w:val="left"/>
              <w:rPr>
                <w:szCs w:val="22"/>
              </w:rPr>
            </w:pPr>
            <w:r w:rsidRPr="00362DB8">
              <w:rPr>
                <w:szCs w:val="22"/>
              </w:rPr>
              <w:lastRenderedPageBreak/>
              <w:t xml:space="preserve">Identify how the IASC </w:t>
            </w:r>
            <w:r w:rsidR="00117BD9">
              <w:rPr>
                <w:szCs w:val="22"/>
              </w:rPr>
              <w:t xml:space="preserve">WG </w:t>
            </w:r>
            <w:r w:rsidRPr="00362DB8">
              <w:rPr>
                <w:szCs w:val="22"/>
              </w:rPr>
              <w:t xml:space="preserve">contributes to sustaining attention to the urgency of collectively advancing the Agenda for Humanity.  </w:t>
            </w:r>
          </w:p>
          <w:p w14:paraId="4A077D2F" w14:textId="77777777" w:rsidR="009371B6" w:rsidRPr="00362DB8" w:rsidRDefault="009371B6" w:rsidP="004547BB">
            <w:pPr>
              <w:spacing w:before="240"/>
              <w:rPr>
                <w:b/>
                <w:bCs/>
                <w:szCs w:val="22"/>
              </w:rPr>
            </w:pPr>
            <w:r w:rsidRPr="00362DB8">
              <w:rPr>
                <w:b/>
                <w:bCs/>
                <w:szCs w:val="22"/>
              </w:rPr>
              <w:t>Background papers:</w:t>
            </w:r>
          </w:p>
          <w:p w14:paraId="694E0421" w14:textId="77777777" w:rsidR="00883983" w:rsidRPr="00362DB8" w:rsidRDefault="00883983" w:rsidP="00883983">
            <w:pPr>
              <w:pStyle w:val="ListParagraph"/>
              <w:numPr>
                <w:ilvl w:val="0"/>
                <w:numId w:val="18"/>
              </w:numPr>
              <w:spacing w:before="0" w:after="240"/>
              <w:rPr>
                <w:szCs w:val="22"/>
              </w:rPr>
            </w:pPr>
            <w:r w:rsidRPr="00362DB8">
              <w:rPr>
                <w:szCs w:val="22"/>
              </w:rPr>
              <w:t>Secretary-General’s Report on the Outcome of the World Humanitarian Summit</w:t>
            </w:r>
          </w:p>
          <w:p w14:paraId="1C5A600C" w14:textId="710149F1" w:rsidR="009F5AE1" w:rsidRPr="00362DB8" w:rsidRDefault="00883983" w:rsidP="00883983">
            <w:pPr>
              <w:pStyle w:val="ListParagraph"/>
              <w:numPr>
                <w:ilvl w:val="0"/>
                <w:numId w:val="18"/>
              </w:numPr>
              <w:spacing w:before="0" w:after="240"/>
              <w:rPr>
                <w:szCs w:val="22"/>
              </w:rPr>
            </w:pPr>
            <w:r w:rsidRPr="00362DB8">
              <w:rPr>
                <w:szCs w:val="22"/>
              </w:rPr>
              <w:t>World Humanitarian Summit: Commitments to Action</w:t>
            </w:r>
          </w:p>
        </w:tc>
      </w:tr>
      <w:tr w:rsidR="00A11BA7" w:rsidRPr="005B0A6D" w14:paraId="09561A79" w14:textId="77777777" w:rsidTr="05F9DE79">
        <w:trPr>
          <w:cantSplit/>
          <w:jc w:val="center"/>
        </w:trPr>
        <w:tc>
          <w:tcPr>
            <w:tcW w:w="1708" w:type="dxa"/>
            <w:tcBorders>
              <w:bottom w:val="single" w:sz="4" w:space="0" w:color="auto"/>
            </w:tcBorders>
            <w:shd w:val="clear" w:color="auto" w:fill="auto"/>
          </w:tcPr>
          <w:p w14:paraId="0E971171" w14:textId="45CA820B" w:rsidR="00A11BA7" w:rsidRPr="009F3D26" w:rsidRDefault="00A11BA7" w:rsidP="00216F87">
            <w:pPr>
              <w:spacing w:before="0" w:after="240"/>
              <w:rPr>
                <w:b/>
                <w:bCs/>
                <w:color w:val="0070C0"/>
                <w:sz w:val="20"/>
                <w:szCs w:val="20"/>
              </w:rPr>
            </w:pPr>
            <w:r w:rsidRPr="009F3D26">
              <w:rPr>
                <w:b/>
                <w:bCs/>
                <w:color w:val="0070C0"/>
                <w:sz w:val="20"/>
                <w:szCs w:val="20"/>
              </w:rPr>
              <w:lastRenderedPageBreak/>
              <w:t>1</w:t>
            </w:r>
            <w:r w:rsidR="00362DB8">
              <w:rPr>
                <w:b/>
                <w:bCs/>
                <w:color w:val="0070C0"/>
                <w:sz w:val="20"/>
                <w:szCs w:val="20"/>
              </w:rPr>
              <w:t>0:45</w:t>
            </w:r>
            <w:r w:rsidRPr="009F3D26">
              <w:rPr>
                <w:b/>
                <w:bCs/>
                <w:color w:val="0070C0"/>
                <w:sz w:val="20"/>
                <w:szCs w:val="20"/>
              </w:rPr>
              <w:t>-1</w:t>
            </w:r>
            <w:r>
              <w:rPr>
                <w:b/>
                <w:bCs/>
                <w:color w:val="0070C0"/>
                <w:sz w:val="20"/>
                <w:szCs w:val="20"/>
              </w:rPr>
              <w:t>1:</w:t>
            </w:r>
            <w:r w:rsidR="00362DB8">
              <w:rPr>
                <w:b/>
                <w:bCs/>
                <w:color w:val="0070C0"/>
                <w:sz w:val="20"/>
                <w:szCs w:val="20"/>
              </w:rPr>
              <w:t>15</w:t>
            </w:r>
          </w:p>
        </w:tc>
        <w:tc>
          <w:tcPr>
            <w:tcW w:w="7181" w:type="dxa"/>
            <w:tcBorders>
              <w:bottom w:val="single" w:sz="4" w:space="0" w:color="auto"/>
            </w:tcBorders>
            <w:shd w:val="clear" w:color="auto" w:fill="auto"/>
          </w:tcPr>
          <w:p w14:paraId="5484E51B" w14:textId="77777777" w:rsidR="00A11BA7" w:rsidRPr="009F3D26" w:rsidRDefault="00A11BA7" w:rsidP="00216F87">
            <w:pPr>
              <w:spacing w:before="0" w:after="240"/>
              <w:rPr>
                <w:b/>
                <w:bCs/>
                <w:color w:val="0070C0"/>
                <w:szCs w:val="22"/>
              </w:rPr>
            </w:pPr>
            <w:r w:rsidRPr="009F3D26">
              <w:rPr>
                <w:b/>
                <w:bCs/>
                <w:color w:val="0070C0"/>
                <w:szCs w:val="22"/>
              </w:rPr>
              <w:t>Coffee Break</w:t>
            </w:r>
          </w:p>
        </w:tc>
      </w:tr>
      <w:tr w:rsidR="00BF5D2B" w:rsidRPr="005B0A6D" w14:paraId="198BC8A5" w14:textId="77777777" w:rsidTr="05F9DE79">
        <w:trPr>
          <w:jc w:val="center"/>
        </w:trPr>
        <w:tc>
          <w:tcPr>
            <w:tcW w:w="1708" w:type="dxa"/>
            <w:tcBorders>
              <w:bottom w:val="single" w:sz="4" w:space="0" w:color="auto"/>
            </w:tcBorders>
          </w:tcPr>
          <w:p w14:paraId="6E52002D" w14:textId="64618019" w:rsidR="00A11BA7" w:rsidRPr="009F3D26" w:rsidRDefault="00A11BA7" w:rsidP="00A11BA7">
            <w:pPr>
              <w:pStyle w:val="TableText"/>
              <w:spacing w:before="0" w:after="0"/>
              <w:rPr>
                <w:b/>
                <w:sz w:val="20"/>
              </w:rPr>
            </w:pPr>
            <w:r w:rsidRPr="009F3D26">
              <w:rPr>
                <w:b/>
                <w:sz w:val="20"/>
              </w:rPr>
              <w:t>1</w:t>
            </w:r>
            <w:r w:rsidR="00362DB8">
              <w:rPr>
                <w:b/>
                <w:sz w:val="20"/>
              </w:rPr>
              <w:t>1:15</w:t>
            </w:r>
            <w:r w:rsidRPr="009F3D26">
              <w:rPr>
                <w:b/>
                <w:sz w:val="20"/>
              </w:rPr>
              <w:t>-1</w:t>
            </w:r>
            <w:r>
              <w:rPr>
                <w:b/>
                <w:sz w:val="20"/>
              </w:rPr>
              <w:t>2:15</w:t>
            </w:r>
          </w:p>
          <w:p w14:paraId="678D6E84" w14:textId="3763F2E7" w:rsidR="00BF5D2B" w:rsidRPr="009F3D26" w:rsidRDefault="00362DB8" w:rsidP="00A11BA7">
            <w:pPr>
              <w:pStyle w:val="TableText"/>
              <w:spacing w:before="0" w:after="0"/>
              <w:rPr>
                <w:b/>
                <w:sz w:val="20"/>
              </w:rPr>
            </w:pPr>
            <w:r>
              <w:rPr>
                <w:bCs w:val="0"/>
                <w:sz w:val="20"/>
              </w:rPr>
              <w:t>(60</w:t>
            </w:r>
            <w:r w:rsidR="00A11BA7">
              <w:rPr>
                <w:bCs w:val="0"/>
                <w:sz w:val="20"/>
              </w:rPr>
              <w:t xml:space="preserve"> </w:t>
            </w:r>
            <w:r w:rsidR="00A11BA7" w:rsidRPr="009F3D26">
              <w:rPr>
                <w:bCs w:val="0"/>
                <w:sz w:val="20"/>
              </w:rPr>
              <w:t>mins)</w:t>
            </w:r>
          </w:p>
        </w:tc>
        <w:tc>
          <w:tcPr>
            <w:tcW w:w="7181" w:type="dxa"/>
            <w:tcBorders>
              <w:bottom w:val="single" w:sz="4" w:space="0" w:color="auto"/>
            </w:tcBorders>
          </w:tcPr>
          <w:p w14:paraId="2148729A" w14:textId="76E07F9D" w:rsidR="00BF5D2B" w:rsidRDefault="00BF5D2B" w:rsidP="004035BD">
            <w:pPr>
              <w:spacing w:before="0" w:after="240"/>
              <w:rPr>
                <w:b/>
                <w:bCs/>
              </w:rPr>
            </w:pPr>
            <w:r w:rsidRPr="001C6514">
              <w:rPr>
                <w:b/>
                <w:bCs/>
              </w:rPr>
              <w:t xml:space="preserve">Session </w:t>
            </w:r>
            <w:r w:rsidR="00711107">
              <w:rPr>
                <w:b/>
                <w:bCs/>
              </w:rPr>
              <w:t>7: Advancing the work of IASC Task Teams and Reference Groups</w:t>
            </w:r>
            <w:r w:rsidR="004035BD">
              <w:rPr>
                <w:b/>
                <w:bCs/>
              </w:rPr>
              <w:t xml:space="preserve"> </w:t>
            </w:r>
          </w:p>
          <w:p w14:paraId="0F1749D4" w14:textId="09DCFD57" w:rsidR="00E70600" w:rsidRDefault="00E70600" w:rsidP="0065207A">
            <w:pPr>
              <w:spacing w:before="0" w:after="240"/>
              <w:rPr>
                <w:b/>
                <w:bCs/>
              </w:rPr>
            </w:pPr>
            <w:r>
              <w:rPr>
                <w:b/>
                <w:bCs/>
              </w:rPr>
              <w:t xml:space="preserve">Session Facilitator: </w:t>
            </w:r>
            <w:r w:rsidR="00117BD9" w:rsidRPr="00944306">
              <w:rPr>
                <w:szCs w:val="22"/>
              </w:rPr>
              <w:t>Mr. Rudi Coninx</w:t>
            </w:r>
            <w:r w:rsidR="00760AD7" w:rsidRPr="00944306">
              <w:rPr>
                <w:szCs w:val="22"/>
              </w:rPr>
              <w:t>, WHO</w:t>
            </w:r>
          </w:p>
          <w:p w14:paraId="6F4A536B" w14:textId="06CA3686" w:rsidR="00331453" w:rsidRDefault="00883983" w:rsidP="00883983">
            <w:pPr>
              <w:spacing w:before="0"/>
              <w:rPr>
                <w:szCs w:val="22"/>
              </w:rPr>
            </w:pPr>
            <w:r>
              <w:t xml:space="preserve">The Workplan of the IASC WG, and its subsidiary bodies, already include elements that take forward or support realisation of some of the elements of the </w:t>
            </w:r>
            <w:r w:rsidR="00BA52B3">
              <w:t xml:space="preserve">Agenda for Humanity, </w:t>
            </w:r>
            <w:r>
              <w:t>commitments made at the Summit</w:t>
            </w:r>
            <w:r w:rsidR="00BA52B3">
              <w:t>, including the Grand Bargain</w:t>
            </w:r>
            <w:r>
              <w:t xml:space="preserve">. However, </w:t>
            </w:r>
            <w:r w:rsidR="004035BD">
              <w:rPr>
                <w:szCs w:val="22"/>
              </w:rPr>
              <w:t xml:space="preserve">initial </w:t>
            </w:r>
            <w:r w:rsidR="006633CE">
              <w:rPr>
                <w:szCs w:val="22"/>
              </w:rPr>
              <w:t>discussion</w:t>
            </w:r>
            <w:r>
              <w:rPr>
                <w:szCs w:val="22"/>
              </w:rPr>
              <w:t>s</w:t>
            </w:r>
            <w:r w:rsidR="006633CE">
              <w:rPr>
                <w:szCs w:val="22"/>
              </w:rPr>
              <w:t xml:space="preserve"> </w:t>
            </w:r>
            <w:r>
              <w:rPr>
                <w:szCs w:val="22"/>
              </w:rPr>
              <w:t xml:space="preserve">have already </w:t>
            </w:r>
            <w:r w:rsidR="004035BD">
              <w:rPr>
                <w:szCs w:val="22"/>
              </w:rPr>
              <w:t xml:space="preserve">identified </w:t>
            </w:r>
            <w:r w:rsidR="00DB5097">
              <w:rPr>
                <w:szCs w:val="22"/>
              </w:rPr>
              <w:t xml:space="preserve">gap </w:t>
            </w:r>
            <w:r w:rsidR="004035BD">
              <w:rPr>
                <w:szCs w:val="22"/>
              </w:rPr>
              <w:t>areas where the humanitarian community</w:t>
            </w:r>
            <w:r>
              <w:rPr>
                <w:szCs w:val="22"/>
              </w:rPr>
              <w:t>,</w:t>
            </w:r>
            <w:r w:rsidR="004035BD">
              <w:rPr>
                <w:szCs w:val="22"/>
              </w:rPr>
              <w:t xml:space="preserve"> including the IASC WG</w:t>
            </w:r>
            <w:r w:rsidR="00331453">
              <w:rPr>
                <w:szCs w:val="22"/>
              </w:rPr>
              <w:t xml:space="preserve">, </w:t>
            </w:r>
            <w:r w:rsidR="00DB5097">
              <w:rPr>
                <w:szCs w:val="22"/>
              </w:rPr>
              <w:t>should</w:t>
            </w:r>
            <w:r w:rsidR="00331453">
              <w:rPr>
                <w:szCs w:val="22"/>
              </w:rPr>
              <w:t xml:space="preserve"> strengthen its work. </w:t>
            </w:r>
            <w:r w:rsidR="00331453">
              <w:t>In addition, a small number of new groups</w:t>
            </w:r>
            <w:r w:rsidR="00DB5097">
              <w:t>, addressing such gaps,</w:t>
            </w:r>
            <w:r w:rsidR="00331453">
              <w:t xml:space="preserve"> were agreed in June 2016, and are using the WHS commitments as a basis for defining their ToRs and areas of focus.</w:t>
            </w:r>
          </w:p>
          <w:p w14:paraId="59D6009D" w14:textId="77777777" w:rsidR="00331453" w:rsidRDefault="00331453" w:rsidP="004035BD">
            <w:pPr>
              <w:spacing w:before="0"/>
              <w:rPr>
                <w:b/>
                <w:bCs/>
                <w:szCs w:val="22"/>
              </w:rPr>
            </w:pPr>
          </w:p>
          <w:p w14:paraId="705F5F84" w14:textId="38414B98" w:rsidR="00DB5097" w:rsidRDefault="004035BD" w:rsidP="002D1868">
            <w:pPr>
              <w:spacing w:before="0"/>
              <w:rPr>
                <w:szCs w:val="22"/>
              </w:rPr>
            </w:pPr>
            <w:r>
              <w:rPr>
                <w:szCs w:val="22"/>
              </w:rPr>
              <w:t xml:space="preserve">The WG will discuss </w:t>
            </w:r>
            <w:r w:rsidRPr="006633CE">
              <w:rPr>
                <w:szCs w:val="22"/>
              </w:rPr>
              <w:t xml:space="preserve">what more can be done to support </w:t>
            </w:r>
            <w:r w:rsidR="00DB5097">
              <w:rPr>
                <w:szCs w:val="22"/>
              </w:rPr>
              <w:t xml:space="preserve">work </w:t>
            </w:r>
            <w:r w:rsidR="002D1868">
              <w:rPr>
                <w:szCs w:val="22"/>
              </w:rPr>
              <w:t xml:space="preserve">in two specific areas: </w:t>
            </w:r>
            <w:r w:rsidR="00DB5097">
              <w:rPr>
                <w:szCs w:val="22"/>
              </w:rPr>
              <w:t xml:space="preserve">on </w:t>
            </w:r>
            <w:r w:rsidR="00DB5097" w:rsidRPr="004035BD">
              <w:rPr>
                <w:b/>
                <w:bCs/>
                <w:szCs w:val="22"/>
              </w:rPr>
              <w:t>Accountability</w:t>
            </w:r>
            <w:r w:rsidR="00DB5097">
              <w:rPr>
                <w:szCs w:val="22"/>
              </w:rPr>
              <w:t xml:space="preserve"> </w:t>
            </w:r>
            <w:r w:rsidR="00DB5097" w:rsidRPr="004035BD">
              <w:rPr>
                <w:b/>
                <w:bCs/>
                <w:szCs w:val="22"/>
              </w:rPr>
              <w:t>to</w:t>
            </w:r>
            <w:r w:rsidR="00DB5097">
              <w:rPr>
                <w:szCs w:val="22"/>
              </w:rPr>
              <w:t xml:space="preserve"> </w:t>
            </w:r>
            <w:r w:rsidR="00DB5097">
              <w:rPr>
                <w:b/>
                <w:bCs/>
                <w:szCs w:val="22"/>
              </w:rPr>
              <w:t>Affected P</w:t>
            </w:r>
            <w:r w:rsidR="00DB5097" w:rsidRPr="006633CE">
              <w:rPr>
                <w:b/>
                <w:bCs/>
                <w:szCs w:val="22"/>
              </w:rPr>
              <w:t>eople</w:t>
            </w:r>
            <w:r w:rsidR="00DB5097">
              <w:rPr>
                <w:szCs w:val="22"/>
              </w:rPr>
              <w:t xml:space="preserve"> (AAP) and </w:t>
            </w:r>
            <w:r w:rsidR="00DB5097" w:rsidRPr="006633CE">
              <w:rPr>
                <w:b/>
                <w:bCs/>
                <w:szCs w:val="22"/>
              </w:rPr>
              <w:t>Gender</w:t>
            </w:r>
            <w:r w:rsidR="00DB5097">
              <w:rPr>
                <w:szCs w:val="22"/>
              </w:rPr>
              <w:t xml:space="preserve">, both within the work of the existing Task Teams and Reference Groups, but also in contributing to </w:t>
            </w:r>
            <w:r>
              <w:rPr>
                <w:szCs w:val="22"/>
              </w:rPr>
              <w:t>strengthening output and the applic</w:t>
            </w:r>
            <w:r w:rsidR="00DB5097">
              <w:rPr>
                <w:szCs w:val="22"/>
              </w:rPr>
              <w:t xml:space="preserve">ability to the broader workplan. </w:t>
            </w:r>
          </w:p>
          <w:p w14:paraId="3BFDC8FB" w14:textId="77777777" w:rsidR="002D1868" w:rsidRPr="002D1868" w:rsidRDefault="002D1868" w:rsidP="002D1868">
            <w:pPr>
              <w:spacing w:before="0"/>
              <w:rPr>
                <w:szCs w:val="22"/>
              </w:rPr>
            </w:pPr>
          </w:p>
          <w:p w14:paraId="4023E6AA" w14:textId="06DACA23" w:rsidR="00117BD9" w:rsidRDefault="00E74D9F" w:rsidP="00017E2E">
            <w:pPr>
              <w:spacing w:before="0" w:after="240"/>
            </w:pPr>
            <w:r w:rsidRPr="00422BCF">
              <w:rPr>
                <w:b/>
                <w:bCs/>
              </w:rPr>
              <w:t>Presenter</w:t>
            </w:r>
            <w:r w:rsidR="00DB5097" w:rsidRPr="00422BCF">
              <w:t xml:space="preserve">: </w:t>
            </w:r>
            <w:r w:rsidR="00445669">
              <w:t xml:space="preserve">Mr. </w:t>
            </w:r>
            <w:r w:rsidR="00017E2E" w:rsidRPr="00D03610">
              <w:rPr>
                <w:szCs w:val="22"/>
              </w:rPr>
              <w:t>Arafat Jamal</w:t>
            </w:r>
            <w:r w:rsidR="001E4B76" w:rsidRPr="00D03610">
              <w:rPr>
                <w:szCs w:val="22"/>
              </w:rPr>
              <w:t>, UNHCR (</w:t>
            </w:r>
            <w:r w:rsidR="00DB5097" w:rsidRPr="00D03610">
              <w:rPr>
                <w:szCs w:val="22"/>
              </w:rPr>
              <w:t>Accountability to Affected People</w:t>
            </w:r>
            <w:r w:rsidR="00017E2E" w:rsidRPr="00D03610">
              <w:rPr>
                <w:szCs w:val="22"/>
              </w:rPr>
              <w:t>)</w:t>
            </w:r>
            <w:r w:rsidR="00DB5097" w:rsidRPr="00D03610">
              <w:rPr>
                <w:szCs w:val="22"/>
              </w:rPr>
              <w:t>;</w:t>
            </w:r>
            <w:r w:rsidR="00FF55CC" w:rsidRPr="00D03610">
              <w:rPr>
                <w:szCs w:val="22"/>
              </w:rPr>
              <w:t xml:space="preserve"> </w:t>
            </w:r>
            <w:r w:rsidR="00445669">
              <w:rPr>
                <w:szCs w:val="22"/>
              </w:rPr>
              <w:t xml:space="preserve">Mr. </w:t>
            </w:r>
            <w:bookmarkStart w:id="0" w:name="_GoBack"/>
            <w:bookmarkEnd w:id="0"/>
            <w:r w:rsidR="001E4B76" w:rsidRPr="00942CAD">
              <w:rPr>
                <w:szCs w:val="22"/>
              </w:rPr>
              <w:t>David Coffey, UN Women (g</w:t>
            </w:r>
            <w:r w:rsidR="00FF55CC" w:rsidRPr="00942CAD">
              <w:rPr>
                <w:szCs w:val="22"/>
              </w:rPr>
              <w:t>ender</w:t>
            </w:r>
            <w:r w:rsidR="001E4B76" w:rsidRPr="00942CAD">
              <w:rPr>
                <w:szCs w:val="22"/>
              </w:rPr>
              <w:t>)</w:t>
            </w:r>
            <w:r w:rsidR="00017E2E" w:rsidRPr="7950A83B">
              <w:t xml:space="preserve"> </w:t>
            </w:r>
          </w:p>
          <w:p w14:paraId="092EBFE1" w14:textId="45515237" w:rsidR="00445669" w:rsidRPr="002970D1" w:rsidRDefault="00445669" w:rsidP="00445669">
            <w:pPr>
              <w:spacing w:before="0"/>
              <w:rPr>
                <w:b/>
                <w:bCs/>
              </w:rPr>
            </w:pPr>
            <w:r>
              <w:rPr>
                <w:b/>
                <w:bCs/>
              </w:rPr>
              <w:t>Expected outcome</w:t>
            </w:r>
            <w:r w:rsidRPr="002970D1">
              <w:rPr>
                <w:b/>
                <w:bCs/>
              </w:rPr>
              <w:t>:</w:t>
            </w:r>
          </w:p>
          <w:p w14:paraId="6183DCD3" w14:textId="77777777" w:rsidR="00445669" w:rsidRDefault="00445669" w:rsidP="00445669">
            <w:pPr>
              <w:pStyle w:val="ListParagraph"/>
              <w:numPr>
                <w:ilvl w:val="0"/>
                <w:numId w:val="18"/>
              </w:numPr>
              <w:spacing w:before="0" w:line="240" w:lineRule="auto"/>
              <w:rPr>
                <w:szCs w:val="22"/>
              </w:rPr>
            </w:pPr>
            <w:r w:rsidRPr="002970D1">
              <w:rPr>
                <w:szCs w:val="22"/>
              </w:rPr>
              <w:t>I</w:t>
            </w:r>
            <w:r>
              <w:rPr>
                <w:szCs w:val="22"/>
              </w:rPr>
              <w:t>dentify concrete actions through with the IASC Working Group can ensure enhanced progress in its work on AAP and gender.</w:t>
            </w:r>
          </w:p>
          <w:p w14:paraId="75723DE7" w14:textId="1ABB6C70" w:rsidR="00117BD9" w:rsidRDefault="00117BD9" w:rsidP="00445669">
            <w:pPr>
              <w:spacing w:before="0" w:line="240" w:lineRule="auto"/>
              <w:jc w:val="center"/>
            </w:pPr>
            <w:r>
              <w:t>__________________________</w:t>
            </w:r>
          </w:p>
          <w:p w14:paraId="298FDAA4" w14:textId="77777777" w:rsidR="00445669" w:rsidRPr="00A11BA7" w:rsidRDefault="00445669" w:rsidP="00445669">
            <w:pPr>
              <w:spacing w:before="0" w:line="240" w:lineRule="auto"/>
              <w:jc w:val="center"/>
            </w:pPr>
          </w:p>
          <w:p w14:paraId="2940EDA1" w14:textId="16417D04" w:rsidR="007507B6" w:rsidRDefault="007507B6" w:rsidP="007507B6">
            <w:pPr>
              <w:spacing w:before="0" w:after="240"/>
              <w:rPr>
                <w:szCs w:val="22"/>
              </w:rPr>
            </w:pPr>
            <w:r>
              <w:rPr>
                <w:szCs w:val="22"/>
              </w:rPr>
              <w:t xml:space="preserve">The Secretary-General has outlined the broad parameters of a </w:t>
            </w:r>
            <w:r w:rsidRPr="000D71D3">
              <w:rPr>
                <w:b/>
                <w:bCs/>
                <w:szCs w:val="22"/>
              </w:rPr>
              <w:t>New Way of Working</w:t>
            </w:r>
            <w:r>
              <w:rPr>
                <w:szCs w:val="22"/>
              </w:rPr>
              <w:t>, building complementarity bet</w:t>
            </w:r>
            <w:r w:rsidR="00DB5097">
              <w:rPr>
                <w:szCs w:val="22"/>
              </w:rPr>
              <w:t>ween humanitarian and development</w:t>
            </w:r>
            <w:r>
              <w:rPr>
                <w:szCs w:val="22"/>
              </w:rPr>
              <w:t xml:space="preserve"> communities where relevant; a theme that was taken forward by IASC Principals in July 2016 and </w:t>
            </w:r>
            <w:r w:rsidR="00DB5097">
              <w:rPr>
                <w:szCs w:val="22"/>
              </w:rPr>
              <w:t>where complementary work is being</w:t>
            </w:r>
            <w:r>
              <w:rPr>
                <w:szCs w:val="22"/>
              </w:rPr>
              <w:t xml:space="preserve"> further developed by the IASC Humanitarian and Development Nexus Task Team. </w:t>
            </w:r>
            <w:r w:rsidR="00DB5097">
              <w:rPr>
                <w:szCs w:val="22"/>
              </w:rPr>
              <w:t xml:space="preserve">The IASC </w:t>
            </w:r>
            <w:r w:rsidR="002D1868">
              <w:rPr>
                <w:szCs w:val="22"/>
              </w:rPr>
              <w:t>WG will be briefed on the outcomes of a multi-sta</w:t>
            </w:r>
            <w:r w:rsidR="00900B93">
              <w:rPr>
                <w:szCs w:val="22"/>
              </w:rPr>
              <w:t>keholder workshop on 21 October, and how this ca</w:t>
            </w:r>
            <w:r w:rsidR="00E70600">
              <w:rPr>
                <w:szCs w:val="22"/>
              </w:rPr>
              <w:t>n inform and contribute to other workstreams in this area.</w:t>
            </w:r>
          </w:p>
          <w:p w14:paraId="05F9DE79" w14:textId="44B348E7" w:rsidR="007507B6" w:rsidRDefault="007507B6" w:rsidP="006C1A84">
            <w:pPr>
              <w:spacing w:before="0" w:after="240"/>
            </w:pPr>
            <w:r>
              <w:rPr>
                <w:b/>
                <w:bCs/>
              </w:rPr>
              <w:t>Presenter</w:t>
            </w:r>
            <w:r w:rsidRPr="004A2E5A">
              <w:rPr>
                <w:b/>
                <w:bCs/>
              </w:rPr>
              <w:t>:</w:t>
            </w:r>
            <w:r>
              <w:rPr>
                <w:b/>
                <w:bCs/>
              </w:rPr>
              <w:t xml:space="preserve"> </w:t>
            </w:r>
            <w:r w:rsidR="006C1A84">
              <w:t>Mr. Bruno Lemarquis</w:t>
            </w:r>
            <w:r w:rsidR="00806DAF" w:rsidRPr="00FF55CC">
              <w:t>,</w:t>
            </w:r>
            <w:r w:rsidR="00BA52B3" w:rsidRPr="00FF55CC">
              <w:t xml:space="preserve"> UNDP</w:t>
            </w:r>
          </w:p>
          <w:p w14:paraId="6F231654" w14:textId="77777777" w:rsidR="00E74D9F" w:rsidRPr="002970D1" w:rsidRDefault="00E74D9F" w:rsidP="00E74D9F">
            <w:pPr>
              <w:spacing w:before="0"/>
              <w:rPr>
                <w:b/>
                <w:bCs/>
              </w:rPr>
            </w:pPr>
            <w:r w:rsidRPr="002970D1">
              <w:rPr>
                <w:b/>
                <w:bCs/>
              </w:rPr>
              <w:t>Expected outcomes:</w:t>
            </w:r>
          </w:p>
          <w:p w14:paraId="3D28C220" w14:textId="1919D081" w:rsidR="00966A85" w:rsidRPr="00E22B11" w:rsidRDefault="00117BD9" w:rsidP="000F54E6">
            <w:pPr>
              <w:pStyle w:val="ListParagraph"/>
              <w:numPr>
                <w:ilvl w:val="0"/>
                <w:numId w:val="18"/>
              </w:numPr>
              <w:spacing w:before="0" w:after="240"/>
            </w:pPr>
            <w:r>
              <w:rPr>
                <w:szCs w:val="22"/>
              </w:rPr>
              <w:t>The IASC Working Group is updated on HDN Workshop and next steps</w:t>
            </w:r>
            <w:r w:rsidR="00E22B11">
              <w:rPr>
                <w:szCs w:val="22"/>
              </w:rPr>
              <w:t>.</w:t>
            </w:r>
          </w:p>
          <w:p w14:paraId="2CFCF3FB" w14:textId="77777777" w:rsidR="00E74D9F" w:rsidRPr="004A2E5A" w:rsidRDefault="00E74D9F" w:rsidP="00E74D9F">
            <w:pPr>
              <w:spacing w:before="0"/>
              <w:rPr>
                <w:b/>
                <w:bCs/>
              </w:rPr>
            </w:pPr>
            <w:r w:rsidRPr="004A2E5A">
              <w:rPr>
                <w:b/>
                <w:bCs/>
              </w:rPr>
              <w:lastRenderedPageBreak/>
              <w:t>Background papers:</w:t>
            </w:r>
          </w:p>
          <w:p w14:paraId="4C114771" w14:textId="77777777" w:rsidR="00BF5D2B" w:rsidRPr="009C2540" w:rsidRDefault="009C2540" w:rsidP="004E6D09">
            <w:pPr>
              <w:pStyle w:val="ListParagraph"/>
              <w:numPr>
                <w:ilvl w:val="0"/>
                <w:numId w:val="21"/>
              </w:numPr>
              <w:spacing w:before="0" w:after="240"/>
              <w:rPr>
                <w:bCs/>
              </w:rPr>
            </w:pPr>
            <w:r w:rsidRPr="009C2540">
              <w:rPr>
                <w:bCs/>
              </w:rPr>
              <w:t>TT and RG ToRs and Workplans for Gender, AAP/PSEA and HDN.</w:t>
            </w:r>
          </w:p>
          <w:p w14:paraId="37D5A0EF" w14:textId="4DEE94DD" w:rsidR="009C2540" w:rsidRPr="00E74D9F" w:rsidRDefault="009C2540" w:rsidP="004E6D09">
            <w:pPr>
              <w:pStyle w:val="ListParagraph"/>
              <w:numPr>
                <w:ilvl w:val="0"/>
                <w:numId w:val="21"/>
              </w:numPr>
              <w:spacing w:before="0" w:after="240"/>
              <w:rPr>
                <w:b/>
                <w:bCs/>
              </w:rPr>
            </w:pPr>
            <w:r w:rsidRPr="009C2540">
              <w:rPr>
                <w:bCs/>
              </w:rPr>
              <w:t>Humanitarian and Development Nexus Workshop Concept Note</w:t>
            </w:r>
          </w:p>
        </w:tc>
      </w:tr>
      <w:tr w:rsidR="00E74D9F" w:rsidRPr="005B0A6D" w14:paraId="587A0C4C" w14:textId="77777777" w:rsidTr="05F9DE79">
        <w:trPr>
          <w:jc w:val="center"/>
        </w:trPr>
        <w:tc>
          <w:tcPr>
            <w:tcW w:w="1708" w:type="dxa"/>
            <w:shd w:val="clear" w:color="auto" w:fill="auto"/>
          </w:tcPr>
          <w:p w14:paraId="0D15C67F" w14:textId="61ECB9B9" w:rsidR="00A11BA7" w:rsidRPr="009F3D26" w:rsidRDefault="00A11BA7" w:rsidP="00A11BA7">
            <w:pPr>
              <w:pStyle w:val="TableText"/>
              <w:spacing w:before="0" w:after="0"/>
              <w:rPr>
                <w:b/>
                <w:sz w:val="20"/>
              </w:rPr>
            </w:pPr>
            <w:r w:rsidRPr="009F3D26">
              <w:rPr>
                <w:b/>
                <w:sz w:val="20"/>
              </w:rPr>
              <w:lastRenderedPageBreak/>
              <w:t>1</w:t>
            </w:r>
            <w:r>
              <w:rPr>
                <w:b/>
                <w:sz w:val="20"/>
              </w:rPr>
              <w:t>2:15</w:t>
            </w:r>
            <w:r w:rsidR="00F91B36">
              <w:rPr>
                <w:b/>
                <w:sz w:val="20"/>
              </w:rPr>
              <w:t>-13:00</w:t>
            </w:r>
          </w:p>
          <w:p w14:paraId="6DC55C2B" w14:textId="176CBB39" w:rsidR="00E74D9F" w:rsidRPr="009F3D26" w:rsidRDefault="00A11BA7" w:rsidP="00A11BA7">
            <w:pPr>
              <w:spacing w:before="0" w:after="240"/>
              <w:rPr>
                <w:b/>
                <w:bCs/>
                <w:color w:val="0070C0"/>
                <w:sz w:val="20"/>
                <w:szCs w:val="20"/>
              </w:rPr>
            </w:pPr>
            <w:r>
              <w:rPr>
                <w:sz w:val="20"/>
              </w:rPr>
              <w:t>(</w:t>
            </w:r>
            <w:r>
              <w:rPr>
                <w:bCs/>
                <w:sz w:val="20"/>
              </w:rPr>
              <w:t>4</w:t>
            </w:r>
            <w:r>
              <w:rPr>
                <w:sz w:val="20"/>
              </w:rPr>
              <w:t xml:space="preserve">5 </w:t>
            </w:r>
            <w:r w:rsidRPr="009F3D26">
              <w:rPr>
                <w:sz w:val="20"/>
              </w:rPr>
              <w:t>mins)</w:t>
            </w:r>
          </w:p>
        </w:tc>
        <w:tc>
          <w:tcPr>
            <w:tcW w:w="7181" w:type="dxa"/>
            <w:shd w:val="clear" w:color="auto" w:fill="auto"/>
          </w:tcPr>
          <w:p w14:paraId="0D036631" w14:textId="387FD714" w:rsidR="00E74D9F" w:rsidRDefault="00711107" w:rsidP="00AC7476">
            <w:pPr>
              <w:spacing w:before="0" w:after="240"/>
              <w:rPr>
                <w:b/>
                <w:bCs/>
              </w:rPr>
            </w:pPr>
            <w:r>
              <w:rPr>
                <w:b/>
                <w:bCs/>
              </w:rPr>
              <w:t>Session 8: Changing the way the IASC WG works</w:t>
            </w:r>
          </w:p>
          <w:p w14:paraId="6F04F766" w14:textId="66FBAC31" w:rsidR="00E70600" w:rsidRDefault="00E70600" w:rsidP="0065207A">
            <w:pPr>
              <w:spacing w:before="0" w:after="240"/>
              <w:rPr>
                <w:b/>
                <w:bCs/>
              </w:rPr>
            </w:pPr>
            <w:r>
              <w:rPr>
                <w:b/>
                <w:bCs/>
              </w:rPr>
              <w:t xml:space="preserve">Session </w:t>
            </w:r>
            <w:r w:rsidR="006B7936">
              <w:rPr>
                <w:b/>
                <w:bCs/>
              </w:rPr>
              <w:t>Presenter/</w:t>
            </w:r>
            <w:r>
              <w:rPr>
                <w:b/>
                <w:bCs/>
              </w:rPr>
              <w:t>Facilitator:</w:t>
            </w:r>
            <w:r w:rsidR="00362DB8" w:rsidRPr="00117BD9">
              <w:rPr>
                <w:b/>
                <w:bCs/>
              </w:rPr>
              <w:t xml:space="preserve"> </w:t>
            </w:r>
            <w:r w:rsidR="007850D4" w:rsidRPr="00117BD9">
              <w:rPr>
                <w:bCs/>
              </w:rPr>
              <w:t>Mr.</w:t>
            </w:r>
            <w:r w:rsidR="007850D4" w:rsidRPr="00117BD9">
              <w:rPr>
                <w:b/>
                <w:bCs/>
              </w:rPr>
              <w:t xml:space="preserve"> </w:t>
            </w:r>
            <w:r w:rsidR="007850D4" w:rsidRPr="00117BD9">
              <w:t>Arafat Jamal, UNHCR</w:t>
            </w:r>
          </w:p>
          <w:p w14:paraId="2213A1E7" w14:textId="0B668A28" w:rsidR="00E74D9F" w:rsidRDefault="00477915" w:rsidP="007507B6">
            <w:pPr>
              <w:spacing w:before="0" w:after="240"/>
              <w:rPr>
                <w:szCs w:val="22"/>
              </w:rPr>
            </w:pPr>
            <w:r w:rsidRPr="00477915">
              <w:rPr>
                <w:szCs w:val="22"/>
              </w:rPr>
              <w:t>The WHS and other global processes ha</w:t>
            </w:r>
            <w:r w:rsidR="000D71D3">
              <w:rPr>
                <w:szCs w:val="22"/>
              </w:rPr>
              <w:t>ve</w:t>
            </w:r>
            <w:r w:rsidRPr="00477915">
              <w:rPr>
                <w:szCs w:val="22"/>
              </w:rPr>
              <w:t xml:space="preserve"> reiterated the long-standing call for</w:t>
            </w:r>
            <w:r>
              <w:rPr>
                <w:szCs w:val="22"/>
              </w:rPr>
              <w:t xml:space="preserve"> humanitarians at large</w:t>
            </w:r>
            <w:r w:rsidR="007507B6">
              <w:rPr>
                <w:szCs w:val="22"/>
              </w:rPr>
              <w:t>,</w:t>
            </w:r>
            <w:r>
              <w:rPr>
                <w:szCs w:val="22"/>
              </w:rPr>
              <w:t xml:space="preserve"> and the IASC in particular</w:t>
            </w:r>
            <w:r w:rsidR="007507B6">
              <w:rPr>
                <w:szCs w:val="22"/>
              </w:rPr>
              <w:t xml:space="preserve">, to ensure improved </w:t>
            </w:r>
            <w:r w:rsidR="007507B6" w:rsidRPr="007507B6">
              <w:rPr>
                <w:b/>
                <w:szCs w:val="22"/>
              </w:rPr>
              <w:t>contextualisation</w:t>
            </w:r>
            <w:r w:rsidR="007507B6">
              <w:rPr>
                <w:szCs w:val="22"/>
              </w:rPr>
              <w:t xml:space="preserve"> of its work, and </w:t>
            </w:r>
            <w:r w:rsidR="00C041F5">
              <w:rPr>
                <w:szCs w:val="22"/>
              </w:rPr>
              <w:t xml:space="preserve">better reflect the diversity of and capitalise on the respective contributions of </w:t>
            </w:r>
            <w:r w:rsidR="00BA52B3">
              <w:rPr>
                <w:szCs w:val="22"/>
              </w:rPr>
              <w:t xml:space="preserve">a broader eco-system of </w:t>
            </w:r>
            <w:r w:rsidR="00C041F5">
              <w:rPr>
                <w:szCs w:val="22"/>
              </w:rPr>
              <w:t xml:space="preserve">actors and stakeholders contributing to humanitarian response or working within the realm of today’s myriad crises, the IASC </w:t>
            </w:r>
            <w:r w:rsidR="007507B6">
              <w:rPr>
                <w:szCs w:val="22"/>
              </w:rPr>
              <w:t>by</w:t>
            </w:r>
            <w:r w:rsidR="00C041F5">
              <w:rPr>
                <w:szCs w:val="22"/>
              </w:rPr>
              <w:t xml:space="preserve"> strengthen</w:t>
            </w:r>
            <w:r w:rsidR="007507B6">
              <w:rPr>
                <w:szCs w:val="22"/>
              </w:rPr>
              <w:t>ing</w:t>
            </w:r>
            <w:r w:rsidR="00C041F5">
              <w:rPr>
                <w:szCs w:val="22"/>
              </w:rPr>
              <w:t xml:space="preserve"> </w:t>
            </w:r>
            <w:r w:rsidR="00C041F5" w:rsidRPr="000D71D3">
              <w:rPr>
                <w:b/>
                <w:bCs/>
                <w:szCs w:val="22"/>
              </w:rPr>
              <w:t>inclusion and outreach</w:t>
            </w:r>
            <w:r w:rsidR="00C041F5">
              <w:rPr>
                <w:szCs w:val="22"/>
              </w:rPr>
              <w:t xml:space="preserve">. </w:t>
            </w:r>
          </w:p>
          <w:p w14:paraId="6636EA31" w14:textId="77777777" w:rsidR="00E74D9F" w:rsidRPr="002970D1" w:rsidRDefault="00E74D9F" w:rsidP="00E74D9F">
            <w:pPr>
              <w:spacing w:before="0"/>
              <w:rPr>
                <w:b/>
                <w:bCs/>
              </w:rPr>
            </w:pPr>
            <w:r w:rsidRPr="002970D1">
              <w:rPr>
                <w:b/>
                <w:bCs/>
              </w:rPr>
              <w:t>Expected outcomes:</w:t>
            </w:r>
          </w:p>
          <w:p w14:paraId="1B08937B" w14:textId="288AA95F" w:rsidR="00966A85" w:rsidRPr="00E22B11" w:rsidRDefault="009C2540" w:rsidP="009D5C0F">
            <w:pPr>
              <w:pStyle w:val="ListParagraph"/>
              <w:numPr>
                <w:ilvl w:val="0"/>
                <w:numId w:val="21"/>
              </w:numPr>
              <w:spacing w:before="0" w:after="240"/>
              <w:rPr>
                <w:szCs w:val="22"/>
              </w:rPr>
            </w:pPr>
            <w:r>
              <w:t xml:space="preserve">Identify ways in which the IASC WG can fine-tune </w:t>
            </w:r>
            <w:r w:rsidR="00BA52B3">
              <w:t xml:space="preserve">its </w:t>
            </w:r>
            <w:r>
              <w:t>working modalities, and provide guidance to IASC subsidiary bodies, to better engage</w:t>
            </w:r>
            <w:r w:rsidR="00806DAF">
              <w:t xml:space="preserve"> with a broader range of actors,</w:t>
            </w:r>
            <w:r>
              <w:t xml:space="preserve"> and contextualise its work</w:t>
            </w:r>
            <w:r w:rsidR="009D5C0F">
              <w:t xml:space="preserve"> and share this with IASC Principals to contribute to their discussion</w:t>
            </w:r>
            <w:r w:rsidR="00966A85">
              <w:t xml:space="preserve"> </w:t>
            </w:r>
          </w:p>
          <w:p w14:paraId="7481463F" w14:textId="77777777" w:rsidR="009C2540" w:rsidRPr="009C2540" w:rsidRDefault="009C2540" w:rsidP="009C2540">
            <w:pPr>
              <w:pStyle w:val="ListParagraph"/>
              <w:spacing w:before="0"/>
              <w:ind w:left="360"/>
              <w:rPr>
                <w:szCs w:val="22"/>
              </w:rPr>
            </w:pPr>
          </w:p>
          <w:p w14:paraId="475566CD" w14:textId="77777777" w:rsidR="00E74D9F" w:rsidRPr="004A2E5A" w:rsidRDefault="00E74D9F" w:rsidP="00E74D9F">
            <w:pPr>
              <w:spacing w:before="0"/>
              <w:rPr>
                <w:b/>
                <w:bCs/>
              </w:rPr>
            </w:pPr>
            <w:r w:rsidRPr="004A2E5A">
              <w:rPr>
                <w:b/>
                <w:bCs/>
              </w:rPr>
              <w:t>Background papers:</w:t>
            </w:r>
          </w:p>
          <w:p w14:paraId="4F872E86" w14:textId="77777777" w:rsidR="009C2540" w:rsidRPr="00362DB8" w:rsidRDefault="009C2540" w:rsidP="009C2540">
            <w:pPr>
              <w:pStyle w:val="ListParagraph"/>
              <w:numPr>
                <w:ilvl w:val="0"/>
                <w:numId w:val="21"/>
              </w:numPr>
              <w:spacing w:before="0" w:after="240"/>
              <w:rPr>
                <w:szCs w:val="22"/>
              </w:rPr>
            </w:pPr>
            <w:r w:rsidRPr="00362DB8">
              <w:rPr>
                <w:szCs w:val="22"/>
              </w:rPr>
              <w:t>Secretary-General’s Report on the Outcome of the World Humanitarian Summit</w:t>
            </w:r>
          </w:p>
          <w:p w14:paraId="6C307535" w14:textId="77777777" w:rsidR="00E74D9F" w:rsidRPr="008A67F8" w:rsidRDefault="009C2540" w:rsidP="009C2540">
            <w:pPr>
              <w:pStyle w:val="ListParagraph"/>
              <w:numPr>
                <w:ilvl w:val="0"/>
                <w:numId w:val="21"/>
              </w:numPr>
              <w:spacing w:before="0" w:after="240"/>
              <w:rPr>
                <w:b/>
                <w:bCs/>
                <w:szCs w:val="22"/>
              </w:rPr>
            </w:pPr>
            <w:r w:rsidRPr="008A67F8">
              <w:rPr>
                <w:szCs w:val="22"/>
              </w:rPr>
              <w:t>World Humanitarian Summit: Commitments to Action</w:t>
            </w:r>
          </w:p>
          <w:p w14:paraId="6641EB1A" w14:textId="6A908A00" w:rsidR="00966A85" w:rsidRPr="005C25A8" w:rsidRDefault="009C2540" w:rsidP="005C25A8">
            <w:pPr>
              <w:pStyle w:val="ListParagraph"/>
              <w:numPr>
                <w:ilvl w:val="0"/>
                <w:numId w:val="18"/>
              </w:numPr>
              <w:spacing w:before="0"/>
              <w:rPr>
                <w:szCs w:val="22"/>
              </w:rPr>
            </w:pPr>
            <w:r>
              <w:rPr>
                <w:szCs w:val="22"/>
              </w:rPr>
              <w:t>A Grand Bargain: A Shared Commitment to Better Serve People in Need</w:t>
            </w:r>
          </w:p>
          <w:p w14:paraId="476DC060" w14:textId="3D0F747A" w:rsidR="009C2540" w:rsidRPr="009C2540" w:rsidRDefault="009C2540" w:rsidP="009C2540">
            <w:pPr>
              <w:pStyle w:val="ListParagraph"/>
              <w:spacing w:before="0"/>
              <w:ind w:left="360"/>
              <w:rPr>
                <w:szCs w:val="22"/>
              </w:rPr>
            </w:pPr>
          </w:p>
        </w:tc>
      </w:tr>
      <w:tr w:rsidR="001F7C4A" w:rsidRPr="005B0A6D" w14:paraId="01B2A80A" w14:textId="77777777" w:rsidTr="05F9DE79">
        <w:trPr>
          <w:cantSplit/>
          <w:jc w:val="center"/>
        </w:trPr>
        <w:tc>
          <w:tcPr>
            <w:tcW w:w="1708" w:type="dxa"/>
            <w:shd w:val="clear" w:color="auto" w:fill="auto"/>
          </w:tcPr>
          <w:p w14:paraId="36679524" w14:textId="1AE65085" w:rsidR="001F7C4A" w:rsidRPr="009F3D26" w:rsidRDefault="009F3D26" w:rsidP="00AB0E0E">
            <w:pPr>
              <w:spacing w:before="0" w:after="240"/>
              <w:rPr>
                <w:b/>
                <w:bCs/>
                <w:color w:val="0070C0"/>
                <w:sz w:val="20"/>
                <w:szCs w:val="20"/>
              </w:rPr>
            </w:pPr>
            <w:r w:rsidRPr="009F3D26">
              <w:rPr>
                <w:b/>
                <w:bCs/>
                <w:color w:val="0070C0"/>
                <w:sz w:val="20"/>
                <w:szCs w:val="20"/>
              </w:rPr>
              <w:t>13</w:t>
            </w:r>
            <w:r w:rsidR="00AB0E0E">
              <w:rPr>
                <w:b/>
                <w:bCs/>
                <w:color w:val="0070C0"/>
                <w:sz w:val="20"/>
                <w:szCs w:val="20"/>
              </w:rPr>
              <w:t>:</w:t>
            </w:r>
            <w:r w:rsidR="00F91B36">
              <w:rPr>
                <w:b/>
                <w:bCs/>
                <w:color w:val="0070C0"/>
                <w:sz w:val="20"/>
                <w:szCs w:val="20"/>
              </w:rPr>
              <w:t>0</w:t>
            </w:r>
            <w:r w:rsidR="004A2E5A">
              <w:rPr>
                <w:b/>
                <w:bCs/>
                <w:color w:val="0070C0"/>
                <w:sz w:val="20"/>
                <w:szCs w:val="20"/>
              </w:rPr>
              <w:t>0</w:t>
            </w:r>
            <w:r w:rsidR="009414DF" w:rsidRPr="009F3D26">
              <w:rPr>
                <w:b/>
                <w:bCs/>
                <w:color w:val="0070C0"/>
                <w:sz w:val="20"/>
                <w:szCs w:val="20"/>
              </w:rPr>
              <w:t>-1</w:t>
            </w:r>
            <w:r w:rsidRPr="009F3D26">
              <w:rPr>
                <w:b/>
                <w:bCs/>
                <w:color w:val="0070C0"/>
                <w:sz w:val="20"/>
                <w:szCs w:val="20"/>
              </w:rPr>
              <w:t>4</w:t>
            </w:r>
            <w:r w:rsidR="00AB0E0E">
              <w:rPr>
                <w:b/>
                <w:bCs/>
                <w:color w:val="0070C0"/>
                <w:sz w:val="20"/>
                <w:szCs w:val="20"/>
              </w:rPr>
              <w:t>:</w:t>
            </w:r>
            <w:r w:rsidR="00F91B36">
              <w:rPr>
                <w:b/>
                <w:bCs/>
                <w:color w:val="0070C0"/>
                <w:sz w:val="20"/>
                <w:szCs w:val="20"/>
              </w:rPr>
              <w:t>0</w:t>
            </w:r>
            <w:r w:rsidR="004A2E5A">
              <w:rPr>
                <w:b/>
                <w:bCs/>
                <w:color w:val="0070C0"/>
                <w:sz w:val="20"/>
                <w:szCs w:val="20"/>
              </w:rPr>
              <w:t>0</w:t>
            </w:r>
          </w:p>
        </w:tc>
        <w:tc>
          <w:tcPr>
            <w:tcW w:w="7181" w:type="dxa"/>
            <w:shd w:val="clear" w:color="auto" w:fill="auto"/>
          </w:tcPr>
          <w:p w14:paraId="3ED1623E" w14:textId="77777777" w:rsidR="001F7C4A" w:rsidRPr="009F3D26" w:rsidRDefault="001F7C4A" w:rsidP="009F3D26">
            <w:pPr>
              <w:spacing w:before="0" w:after="240"/>
              <w:rPr>
                <w:b/>
                <w:bCs/>
                <w:color w:val="0070C0"/>
                <w:szCs w:val="22"/>
              </w:rPr>
            </w:pPr>
            <w:r w:rsidRPr="009F3D26">
              <w:rPr>
                <w:b/>
                <w:bCs/>
                <w:color w:val="0070C0"/>
                <w:szCs w:val="22"/>
              </w:rPr>
              <w:t>Lunch</w:t>
            </w:r>
          </w:p>
        </w:tc>
      </w:tr>
      <w:tr w:rsidR="00117BD9" w:rsidRPr="005B0A6D" w14:paraId="6E40E1E4" w14:textId="77777777" w:rsidTr="05F9DE79">
        <w:trPr>
          <w:cantSplit/>
          <w:trHeight w:val="427"/>
          <w:jc w:val="center"/>
        </w:trPr>
        <w:tc>
          <w:tcPr>
            <w:tcW w:w="1708" w:type="dxa"/>
          </w:tcPr>
          <w:p w14:paraId="5355BE67" w14:textId="77777777" w:rsidR="00117BD9" w:rsidRDefault="006C4358" w:rsidP="004A2E5A">
            <w:pPr>
              <w:pStyle w:val="TableText"/>
              <w:spacing w:before="0" w:after="0"/>
              <w:rPr>
                <w:b/>
                <w:sz w:val="20"/>
              </w:rPr>
            </w:pPr>
            <w:r w:rsidRPr="00E556A4">
              <w:rPr>
                <w:b/>
                <w:sz w:val="20"/>
              </w:rPr>
              <w:t>14:00 – 14:30</w:t>
            </w:r>
          </w:p>
          <w:p w14:paraId="6F3555FE" w14:textId="1B765A59" w:rsidR="00E556A4" w:rsidRPr="00E556A4" w:rsidRDefault="00E556A4" w:rsidP="004A2E5A">
            <w:pPr>
              <w:pStyle w:val="TableText"/>
              <w:spacing w:before="0" w:after="0"/>
              <w:rPr>
                <w:b/>
                <w:sz w:val="20"/>
              </w:rPr>
            </w:pPr>
            <w:r>
              <w:rPr>
                <w:bCs w:val="0"/>
                <w:sz w:val="20"/>
              </w:rPr>
              <w:t>(30 mins)</w:t>
            </w:r>
          </w:p>
        </w:tc>
        <w:tc>
          <w:tcPr>
            <w:tcW w:w="7181" w:type="dxa"/>
          </w:tcPr>
          <w:p w14:paraId="3827E9CB" w14:textId="2C0DFE4F" w:rsidR="00117BD9" w:rsidRPr="006C4358" w:rsidRDefault="006C4358" w:rsidP="006C4358">
            <w:pPr>
              <w:spacing w:before="0" w:after="240"/>
              <w:rPr>
                <w:b/>
              </w:rPr>
            </w:pPr>
            <w:r>
              <w:rPr>
                <w:b/>
              </w:rPr>
              <w:t>Valedictory remarks by the ERC</w:t>
            </w:r>
          </w:p>
        </w:tc>
      </w:tr>
      <w:tr w:rsidR="00117BD9" w:rsidRPr="005B0A6D" w14:paraId="569E3725" w14:textId="77777777" w:rsidTr="05F9DE79">
        <w:trPr>
          <w:cantSplit/>
          <w:trHeight w:val="426"/>
          <w:jc w:val="center"/>
        </w:trPr>
        <w:tc>
          <w:tcPr>
            <w:tcW w:w="1708" w:type="dxa"/>
          </w:tcPr>
          <w:p w14:paraId="37688967" w14:textId="04E6941B" w:rsidR="006C4358" w:rsidRPr="00E556A4" w:rsidRDefault="006C4358" w:rsidP="006C4358">
            <w:pPr>
              <w:pStyle w:val="TableText"/>
              <w:spacing w:before="0" w:after="0"/>
              <w:rPr>
                <w:b/>
                <w:sz w:val="20"/>
              </w:rPr>
            </w:pPr>
            <w:r w:rsidRPr="00E556A4">
              <w:rPr>
                <w:b/>
                <w:sz w:val="20"/>
              </w:rPr>
              <w:t>14:30 – 15:00</w:t>
            </w:r>
          </w:p>
          <w:p w14:paraId="082DA6E1" w14:textId="6A93932F" w:rsidR="00117BD9" w:rsidRDefault="006C4358" w:rsidP="006C4358">
            <w:pPr>
              <w:pStyle w:val="TableText"/>
              <w:spacing w:before="0" w:after="0"/>
              <w:rPr>
                <w:bCs w:val="0"/>
                <w:sz w:val="20"/>
              </w:rPr>
            </w:pPr>
            <w:r>
              <w:rPr>
                <w:bCs w:val="0"/>
                <w:sz w:val="20"/>
              </w:rPr>
              <w:t>(30 mins)</w:t>
            </w:r>
          </w:p>
        </w:tc>
        <w:tc>
          <w:tcPr>
            <w:tcW w:w="7181" w:type="dxa"/>
          </w:tcPr>
          <w:p w14:paraId="12BDA984" w14:textId="77777777" w:rsidR="006C4358" w:rsidRDefault="006C4358" w:rsidP="006C4358">
            <w:pPr>
              <w:spacing w:before="0" w:after="240"/>
              <w:rPr>
                <w:b/>
              </w:rPr>
            </w:pPr>
            <w:r>
              <w:rPr>
                <w:b/>
              </w:rPr>
              <w:t>Conclusions</w:t>
            </w:r>
          </w:p>
          <w:p w14:paraId="111CDB69" w14:textId="77777777" w:rsidR="006C4358" w:rsidRPr="005C363F" w:rsidRDefault="006C4358" w:rsidP="006C4358">
            <w:pPr>
              <w:pStyle w:val="ListParagraph"/>
              <w:numPr>
                <w:ilvl w:val="0"/>
                <w:numId w:val="20"/>
              </w:numPr>
              <w:spacing w:before="0" w:after="240"/>
              <w:rPr>
                <w:b/>
              </w:rPr>
            </w:pPr>
            <w:r w:rsidRPr="005C363F">
              <w:rPr>
                <w:b/>
              </w:rPr>
              <w:t>Conclusion and Action Points</w:t>
            </w:r>
          </w:p>
          <w:p w14:paraId="3292029B" w14:textId="77777777" w:rsidR="006C4358" w:rsidRDefault="006C4358" w:rsidP="006C4358">
            <w:pPr>
              <w:pStyle w:val="ListParagraph"/>
              <w:numPr>
                <w:ilvl w:val="0"/>
                <w:numId w:val="20"/>
              </w:numPr>
              <w:spacing w:before="0" w:after="240"/>
              <w:rPr>
                <w:b/>
              </w:rPr>
            </w:pPr>
            <w:r w:rsidRPr="005C363F">
              <w:rPr>
                <w:b/>
              </w:rPr>
              <w:t>Reflection on outstanding Action Points</w:t>
            </w:r>
          </w:p>
          <w:p w14:paraId="5A67AE7F" w14:textId="267AC1C9" w:rsidR="00117BD9" w:rsidRPr="006C4358" w:rsidRDefault="006C4358" w:rsidP="006C4358">
            <w:pPr>
              <w:pStyle w:val="ListParagraph"/>
              <w:numPr>
                <w:ilvl w:val="0"/>
                <w:numId w:val="20"/>
              </w:numPr>
              <w:spacing w:before="0" w:after="240"/>
              <w:rPr>
                <w:b/>
              </w:rPr>
            </w:pPr>
            <w:r w:rsidRPr="006C4358">
              <w:rPr>
                <w:b/>
              </w:rPr>
              <w:t>Agreement of dates of the next WG meetings for the next three years</w:t>
            </w:r>
          </w:p>
        </w:tc>
      </w:tr>
      <w:tr w:rsidR="009F3D26" w:rsidRPr="005B0A6D" w14:paraId="5E8C6DB7" w14:textId="77777777" w:rsidTr="05F9DE79">
        <w:trPr>
          <w:cantSplit/>
          <w:jc w:val="center"/>
        </w:trPr>
        <w:tc>
          <w:tcPr>
            <w:tcW w:w="1708" w:type="dxa"/>
          </w:tcPr>
          <w:p w14:paraId="4B216A23" w14:textId="396BB3DA" w:rsidR="009F3D26" w:rsidRPr="009F3D26" w:rsidRDefault="004A2E5A" w:rsidP="003A5443">
            <w:pPr>
              <w:pStyle w:val="TableText"/>
              <w:spacing w:before="0" w:after="0"/>
              <w:rPr>
                <w:b/>
                <w:sz w:val="20"/>
              </w:rPr>
            </w:pPr>
            <w:r>
              <w:rPr>
                <w:b/>
                <w:sz w:val="20"/>
              </w:rPr>
              <w:t>1</w:t>
            </w:r>
            <w:r w:rsidR="006C4358">
              <w:rPr>
                <w:b/>
                <w:sz w:val="20"/>
              </w:rPr>
              <w:t>5:00</w:t>
            </w:r>
            <w:r>
              <w:rPr>
                <w:b/>
                <w:sz w:val="20"/>
              </w:rPr>
              <w:t xml:space="preserve"> – 15:</w:t>
            </w:r>
            <w:r w:rsidR="006C4358">
              <w:rPr>
                <w:b/>
                <w:sz w:val="20"/>
              </w:rPr>
              <w:t>15</w:t>
            </w:r>
            <w:r w:rsidR="009F3D26" w:rsidRPr="009F3D26">
              <w:rPr>
                <w:b/>
                <w:sz w:val="20"/>
              </w:rPr>
              <w:t xml:space="preserve"> </w:t>
            </w:r>
          </w:p>
        </w:tc>
        <w:tc>
          <w:tcPr>
            <w:tcW w:w="7181" w:type="dxa"/>
          </w:tcPr>
          <w:p w14:paraId="5BF19921" w14:textId="2C573290" w:rsidR="00941440" w:rsidRPr="004A2E5A" w:rsidRDefault="004A2E5A" w:rsidP="00DB5097">
            <w:pPr>
              <w:spacing w:before="0" w:after="240"/>
              <w:rPr>
                <w:b/>
              </w:rPr>
            </w:pPr>
            <w:r w:rsidRPr="004A2E5A">
              <w:rPr>
                <w:b/>
              </w:rPr>
              <w:t>Closing remarks and DERC’s</w:t>
            </w:r>
            <w:r w:rsidR="00DB5097">
              <w:rPr>
                <w:b/>
              </w:rPr>
              <w:t xml:space="preserve"> own</w:t>
            </w:r>
            <w:r w:rsidRPr="004A2E5A">
              <w:rPr>
                <w:b/>
              </w:rPr>
              <w:t xml:space="preserve"> ‘Valediction’</w:t>
            </w:r>
            <w:r w:rsidR="00DB5097">
              <w:rPr>
                <w:b/>
              </w:rPr>
              <w:t xml:space="preserve"> </w:t>
            </w:r>
          </w:p>
        </w:tc>
      </w:tr>
    </w:tbl>
    <w:p w14:paraId="4C59E071" w14:textId="3B66C8B8" w:rsidR="00CB080F" w:rsidRDefault="00CB080F" w:rsidP="00CB080F">
      <w:pPr>
        <w:spacing w:before="0"/>
        <w:rPr>
          <w:sz w:val="20"/>
          <w:szCs w:val="20"/>
        </w:rPr>
      </w:pPr>
    </w:p>
    <w:sectPr w:rsidR="00CB080F">
      <w:headerReference w:type="default" r:id="rId12"/>
      <w:footerReference w:type="even" r:id="rId13"/>
      <w:footerReference w:type="default" r:id="rId14"/>
      <w:type w:val="continuous"/>
      <w:pgSz w:w="11906" w:h="16838" w:code="9"/>
      <w:pgMar w:top="1080" w:right="1466" w:bottom="720" w:left="1620" w:header="567" w:footer="56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50">
      <wne:acd wne:acdName="acd0"/>
    </wne:keymap>
  </wne:keymaps>
  <wne:toolbars>
    <wne:acdManifest>
      <wne:acdEntry wne:acdName="acd0"/>
    </wne:acdManifest>
  </wne:toolbars>
  <wne:acds>
    <wne:acd wne:argValue="AgBQAHIAZQBzAGUAbgB0AGUAcg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282BE" w14:textId="77777777" w:rsidR="004230F9" w:rsidRDefault="004230F9">
      <w:r>
        <w:separator/>
      </w:r>
    </w:p>
  </w:endnote>
  <w:endnote w:type="continuationSeparator" w:id="0">
    <w:p w14:paraId="33FF6531" w14:textId="77777777" w:rsidR="004230F9" w:rsidRDefault="0042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fault Sans Serif">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B9030" w14:textId="77777777" w:rsidR="00BA52B3" w:rsidRDefault="00BA52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D771D4" w14:textId="77777777" w:rsidR="00BA52B3" w:rsidRDefault="00BA52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223B7" w14:textId="77777777" w:rsidR="00BA52B3" w:rsidRDefault="00BA52B3">
    <w:pPr>
      <w:pStyle w:val="Footer"/>
    </w:pPr>
    <w:r>
      <w:rPr>
        <w:noProof/>
        <w:sz w:val="20"/>
        <w:lang w:val="en-GB" w:eastAsia="zh-CN"/>
      </w:rPr>
      <mc:AlternateContent>
        <mc:Choice Requires="wps">
          <w:drawing>
            <wp:anchor distT="0" distB="0" distL="114300" distR="114300" simplePos="0" relativeHeight="251657728" behindDoc="0" locked="0" layoutInCell="1" allowOverlap="1" wp14:anchorId="58425B91" wp14:editId="04BFACFD">
              <wp:simplePos x="0" y="0"/>
              <wp:positionH relativeFrom="margin">
                <wp:align>right</wp:align>
              </wp:positionH>
              <wp:positionV relativeFrom="page">
                <wp:align>bottom</wp:align>
              </wp:positionV>
              <wp:extent cx="311150" cy="539750"/>
              <wp:effectExtent l="1905" t="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5397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5C144A" w14:textId="77777777" w:rsidR="00BA52B3" w:rsidRDefault="00BA52B3">
                          <w:pPr>
                            <w:pStyle w:val="Footer"/>
                            <w:pBdr>
                              <w:top w:val="none" w:sz="0" w:space="0" w:color="auto"/>
                            </w:pBdr>
                            <w:spacing w:before="0"/>
                            <w:jc w:val="right"/>
                          </w:pPr>
                          <w:r>
                            <w:rPr>
                              <w:rStyle w:val="PageNumber"/>
                            </w:rPr>
                            <w:fldChar w:fldCharType="begin"/>
                          </w:r>
                          <w:r>
                            <w:rPr>
                              <w:rStyle w:val="PageNumber"/>
                            </w:rPr>
                            <w:instrText xml:space="preserve"> PAGE </w:instrText>
                          </w:r>
                          <w:r>
                            <w:rPr>
                              <w:rStyle w:val="PageNumber"/>
                            </w:rPr>
                            <w:fldChar w:fldCharType="separate"/>
                          </w:r>
                          <w:r w:rsidR="00445669">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25B91" id="_x0000_t202" coordsize="21600,21600" o:spt="202" path="m,l,21600r21600,l21600,xe">
              <v:stroke joinstyle="miter"/>
              <v:path gradientshapeok="t" o:connecttype="rect"/>
            </v:shapetype>
            <v:shape id="Text Box 1" o:spid="_x0000_s1026" type="#_x0000_t202" style="position:absolute;left:0;text-align:left;margin-left:-26.7pt;margin-top:0;width:24.5pt;height:42.5pt;z-index:25165772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" stroked="f">
              <v:textbox inset="0,0,0,0">
                <w:txbxContent>
                  <w:p w14:paraId="485C144A" w14:textId="77777777" w:rsidR="00BA52B3" w:rsidRDefault="00BA52B3">
                    <w:pPr>
                      <w:pStyle w:val="Footer"/>
                      <w:pBdr>
                        <w:top w:val="none" w:sz="0" w:space="0" w:color="auto"/>
                      </w:pBdr>
                      <w:spacing w:before="0"/>
                      <w:jc w:val="right"/>
                    </w:pPr>
                    <w:r>
                      <w:rPr>
                        <w:rStyle w:val="PageNumber"/>
                      </w:rPr>
                      <w:fldChar w:fldCharType="begin"/>
                    </w:r>
                    <w:r>
                      <w:rPr>
                        <w:rStyle w:val="PageNumber"/>
                      </w:rPr>
                      <w:instrText xml:space="preserve"> PAGE </w:instrText>
                    </w:r>
                    <w:r>
                      <w:rPr>
                        <w:rStyle w:val="PageNumber"/>
                      </w:rPr>
                      <w:fldChar w:fldCharType="separate"/>
                    </w:r>
                    <w:r w:rsidR="00445669">
                      <w:rPr>
                        <w:rStyle w:val="PageNumber"/>
                        <w:noProof/>
                      </w:rPr>
                      <w:t>2</w:t>
                    </w:r>
                    <w:r>
                      <w:rPr>
                        <w:rStyle w:val="PageNumber"/>
                      </w:rPr>
                      <w:fldChar w:fldCharType="end"/>
                    </w:r>
                  </w:p>
                </w:txbxContent>
              </v:textbox>
              <w10:wrap anchorx="margin" anchory="page"/>
            </v:shape>
          </w:pict>
        </mc:Fallback>
      </mc:AlternateContent>
    </w:r>
    <w:r>
      <w:t>Inter-Agency Standing Committee (IASC)</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11FDD" w14:textId="77777777" w:rsidR="004230F9" w:rsidRDefault="004230F9">
      <w:pPr>
        <w:spacing w:before="60" w:line="240" w:lineRule="exact"/>
      </w:pPr>
      <w:r>
        <w:separator/>
      </w:r>
    </w:p>
  </w:footnote>
  <w:footnote w:type="continuationSeparator" w:id="0">
    <w:p w14:paraId="4C513BD5" w14:textId="77777777" w:rsidR="004230F9" w:rsidRDefault="00423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24B6C" w14:textId="2DBC553D" w:rsidR="00BA52B3" w:rsidRDefault="00BA52B3" w:rsidP="001A4850">
    <w:pPr>
      <w:tabs>
        <w:tab w:val="center" w:pos="4513"/>
        <w:tab w:val="right" w:pos="9026"/>
      </w:tabs>
      <w:spacing w:before="720"/>
      <w:rPr>
        <w:szCs w:val="22"/>
      </w:rPr>
    </w:pPr>
    <w:r>
      <w:rPr>
        <w:rFonts w:ascii="Cambria" w:eastAsia="Cambria" w:hAnsi="Cambria" w:cs="Cambria"/>
        <w:i/>
        <w:color w:val="4F81BD"/>
        <w:sz w:val="20"/>
        <w:szCs w:val="20"/>
      </w:rPr>
      <w:t>Agenda, 91</w:t>
    </w:r>
    <w:r>
      <w:rPr>
        <w:rFonts w:ascii="Cambria" w:eastAsia="Cambria" w:hAnsi="Cambria" w:cs="Cambria"/>
        <w:i/>
        <w:color w:val="4F81BD"/>
        <w:sz w:val="20"/>
        <w:szCs w:val="20"/>
        <w:vertAlign w:val="superscript"/>
      </w:rPr>
      <w:t>st</w:t>
    </w:r>
    <w:r>
      <w:rPr>
        <w:rFonts w:ascii="Cambria" w:eastAsia="Cambria" w:hAnsi="Cambria" w:cs="Cambria"/>
        <w:i/>
        <w:color w:val="4F81BD"/>
        <w:sz w:val="20"/>
        <w:szCs w:val="20"/>
      </w:rPr>
      <w:t xml:space="preserve"> </w:t>
    </w:r>
    <w:r w:rsidR="001A7DC7">
      <w:rPr>
        <w:rFonts w:ascii="Cambria" w:eastAsia="Cambria" w:hAnsi="Cambria" w:cs="Cambria"/>
        <w:i/>
        <w:color w:val="4F81BD"/>
        <w:sz w:val="20"/>
        <w:szCs w:val="20"/>
      </w:rPr>
      <w:t xml:space="preserve">IASC Working Group Meeting, </w:t>
    </w:r>
    <w:r w:rsidR="001A4850">
      <w:rPr>
        <w:rFonts w:ascii="Cambria" w:eastAsia="Cambria" w:hAnsi="Cambria" w:cs="Cambria"/>
        <w:i/>
        <w:color w:val="4F81BD"/>
        <w:sz w:val="20"/>
        <w:szCs w:val="20"/>
      </w:rPr>
      <w:t>2</w:t>
    </w:r>
    <w:r w:rsidR="001A7DC7">
      <w:rPr>
        <w:rFonts w:ascii="Cambria" w:eastAsia="Cambria" w:hAnsi="Cambria" w:cs="Cambria"/>
        <w:i/>
        <w:color w:val="4F81BD"/>
        <w:sz w:val="20"/>
        <w:szCs w:val="20"/>
      </w:rPr>
      <w:t>1.10</w:t>
    </w:r>
    <w:r>
      <w:rPr>
        <w:rFonts w:ascii="Cambria" w:eastAsia="Cambria" w:hAnsi="Cambria" w:cs="Cambria"/>
        <w:i/>
        <w:color w:val="4F81BD"/>
        <w:sz w:val="20"/>
        <w:szCs w:val="20"/>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472C9B8"/>
    <w:lvl w:ilvl="0">
      <w:start w:val="1"/>
      <w:numFmt w:val="decimal"/>
      <w:pStyle w:val="ListNumber"/>
      <w:lvlText w:val="%1."/>
      <w:lvlJc w:val="left"/>
      <w:pPr>
        <w:tabs>
          <w:tab w:val="num" w:pos="360"/>
        </w:tabs>
        <w:ind w:left="284" w:hanging="284"/>
      </w:pPr>
      <w:rPr>
        <w:rFonts w:hint="default"/>
      </w:rPr>
    </w:lvl>
  </w:abstractNum>
  <w:abstractNum w:abstractNumId="1" w15:restartNumberingAfterBreak="0">
    <w:nsid w:val="00DB6E9A"/>
    <w:multiLevelType w:val="hybridMultilevel"/>
    <w:tmpl w:val="F34EA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BE1BD7"/>
    <w:multiLevelType w:val="hybridMultilevel"/>
    <w:tmpl w:val="0180088C"/>
    <w:lvl w:ilvl="0" w:tplc="3BD2472E">
      <w:start w:val="1"/>
      <w:numFmt w:val="decimal"/>
      <w:pStyle w:val="TableNumbered"/>
      <w:lvlText w:val="%1."/>
      <w:lvlJc w:val="left"/>
      <w:pPr>
        <w:tabs>
          <w:tab w:val="num" w:pos="360"/>
        </w:tabs>
        <w:ind w:left="284" w:hanging="284"/>
      </w:pPr>
      <w:rPr>
        <w:rFonts w:hint="default"/>
      </w:rPr>
    </w:lvl>
    <w:lvl w:ilvl="1" w:tplc="34FADBB6">
      <w:start w:val="1"/>
      <w:numFmt w:val="decimal"/>
      <w:pStyle w:val="TableNumbered"/>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A7F7D"/>
    <w:multiLevelType w:val="hybridMultilevel"/>
    <w:tmpl w:val="84148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03217D"/>
    <w:multiLevelType w:val="hybridMultilevel"/>
    <w:tmpl w:val="A170D16E"/>
    <w:lvl w:ilvl="0" w:tplc="034030F2">
      <w:start w:val="1"/>
      <w:numFmt w:val="decimal"/>
      <w:pStyle w:val="ActionNumbered"/>
      <w:lvlText w:val="%1."/>
      <w:lvlJc w:val="left"/>
      <w:pPr>
        <w:tabs>
          <w:tab w:val="num" w:pos="567"/>
        </w:tabs>
        <w:ind w:left="567" w:hanging="425"/>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8A1829"/>
    <w:multiLevelType w:val="hybridMultilevel"/>
    <w:tmpl w:val="098C82C4"/>
    <w:lvl w:ilvl="0" w:tplc="62AA8184">
      <w:start w:val="1"/>
      <w:numFmt w:val="lowerLetter"/>
      <w:pStyle w:val="ListCharacters"/>
      <w:lvlText w:val="(%1)"/>
      <w:lvlJc w:val="left"/>
      <w:pPr>
        <w:tabs>
          <w:tab w:val="num" w:pos="567"/>
        </w:tabs>
        <w:ind w:left="567" w:hanging="425"/>
      </w:pPr>
      <w:rPr>
        <w:rFonts w:hint="default"/>
      </w:rPr>
    </w:lvl>
    <w:lvl w:ilvl="1" w:tplc="34FADBB6">
      <w:start w:val="1"/>
      <w:numFmt w:val="decimal"/>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E773D6"/>
    <w:multiLevelType w:val="hybridMultilevel"/>
    <w:tmpl w:val="BEFC4EE2"/>
    <w:lvl w:ilvl="0" w:tplc="AFF259B0">
      <w:start w:val="1"/>
      <w:numFmt w:val="bullet"/>
      <w:pStyle w:val="ListBullet2"/>
      <w:lvlText w:val=""/>
      <w:lvlJc w:val="left"/>
      <w:pPr>
        <w:tabs>
          <w:tab w:val="num" w:pos="992"/>
        </w:tabs>
        <w:ind w:left="992"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4D7372"/>
    <w:multiLevelType w:val="hybridMultilevel"/>
    <w:tmpl w:val="5D6EAFEC"/>
    <w:lvl w:ilvl="0" w:tplc="408240DA">
      <w:start w:val="1"/>
      <w:numFmt w:val="bullet"/>
      <w:pStyle w:val="Table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DB399E"/>
    <w:multiLevelType w:val="hybridMultilevel"/>
    <w:tmpl w:val="6FBC1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BC4C42"/>
    <w:multiLevelType w:val="hybridMultilevel"/>
    <w:tmpl w:val="52CA918A"/>
    <w:lvl w:ilvl="0" w:tplc="08090001">
      <w:start w:val="1"/>
      <w:numFmt w:val="bullet"/>
      <w:lvlText w:val=""/>
      <w:lvlJc w:val="left"/>
      <w:pPr>
        <w:ind w:left="360" w:hanging="360"/>
      </w:pPr>
      <w:rPr>
        <w:rFonts w:ascii="Symbol" w:hAnsi="Symbol" w:hint="default"/>
      </w:rPr>
    </w:lvl>
    <w:lvl w:ilvl="1" w:tplc="E812A168">
      <w:numFmt w:val="bullet"/>
      <w:lvlText w:val="-"/>
      <w:lvlJc w:val="left"/>
      <w:pPr>
        <w:ind w:left="1080" w:hanging="360"/>
      </w:pPr>
      <w:rPr>
        <w:rFonts w:ascii="Times New Roman" w:eastAsia="Times New Roman" w:hAnsi="Times New Roman" w:cs="Times New Roman" w:hint="default"/>
        <w:b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E14702"/>
    <w:multiLevelType w:val="hybridMultilevel"/>
    <w:tmpl w:val="5D32E58E"/>
    <w:lvl w:ilvl="0" w:tplc="2676D7F0">
      <w:start w:val="1"/>
      <w:numFmt w:val="bullet"/>
      <w:pStyle w:val="ListBullet"/>
      <w:lvlText w:val=""/>
      <w:lvlJc w:val="left"/>
      <w:pPr>
        <w:tabs>
          <w:tab w:val="num" w:pos="567"/>
        </w:tabs>
        <w:ind w:left="567" w:hanging="425"/>
      </w:pPr>
      <w:rPr>
        <w:rFonts w:ascii="Wingdings" w:hAnsi="Wingdings" w:hint="default"/>
      </w:rPr>
    </w:lvl>
    <w:lvl w:ilvl="1" w:tplc="34FADBB6">
      <w:start w:val="1"/>
      <w:numFmt w:val="decimal"/>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A0A18"/>
    <w:multiLevelType w:val="hybridMultilevel"/>
    <w:tmpl w:val="07CA0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94725C"/>
    <w:multiLevelType w:val="hybridMultilevel"/>
    <w:tmpl w:val="1D6E906C"/>
    <w:lvl w:ilvl="0" w:tplc="04090015">
      <w:start w:val="1"/>
      <w:numFmt w:val="lowerLetter"/>
      <w:pStyle w:val="ActionCharacter"/>
      <w:lvlText w:val="(%1)"/>
      <w:lvlJc w:val="left"/>
      <w:pPr>
        <w:tabs>
          <w:tab w:val="num" w:pos="502"/>
        </w:tabs>
        <w:ind w:left="425" w:hanging="283"/>
      </w:pPr>
      <w:rPr>
        <w:rFont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014086"/>
    <w:multiLevelType w:val="multilevel"/>
    <w:tmpl w:val="91980664"/>
    <w:lvl w:ilvl="0">
      <w:start w:val="1"/>
      <w:numFmt w:val="upperRoman"/>
      <w:pStyle w:val="Heading1"/>
      <w:lvlText w:val="%1"/>
      <w:lvlJc w:val="left"/>
      <w:pPr>
        <w:tabs>
          <w:tab w:val="num" w:pos="567"/>
        </w:tabs>
        <w:ind w:left="567" w:hanging="567"/>
      </w:pPr>
      <w:rPr>
        <w:rFonts w:hint="default"/>
      </w:rPr>
    </w:lvl>
    <w:lvl w:ilvl="1">
      <w:start w:val="1"/>
      <w:numFmt w:val="decimal"/>
      <w:pStyle w:val="Heading2"/>
      <w:isLgl/>
      <w:lvlText w:val="%1.%2"/>
      <w:lvlJc w:val="left"/>
      <w:pPr>
        <w:tabs>
          <w:tab w:val="num" w:pos="567"/>
        </w:tabs>
        <w:ind w:left="567" w:hanging="567"/>
      </w:pPr>
      <w:rPr>
        <w:rFonts w:hint="default"/>
      </w:rPr>
    </w:lvl>
    <w:lvl w:ilvl="2">
      <w:start w:val="1"/>
      <w:numFmt w:val="decimal"/>
      <w:pStyle w:val="Heading3"/>
      <w:isLgl/>
      <w:lvlText w:val="%1.%2.%3"/>
      <w:lvlJc w:val="left"/>
      <w:pPr>
        <w:tabs>
          <w:tab w:val="num" w:pos="567"/>
        </w:tabs>
        <w:ind w:left="567" w:hanging="567"/>
      </w:pPr>
      <w:rPr>
        <w:rFonts w:hint="default"/>
      </w:rPr>
    </w:lvl>
    <w:lvl w:ilvl="3">
      <w:start w:val="1"/>
      <w:numFmt w:val="decimal"/>
      <w:pStyle w:val="Heading4"/>
      <w:lvlText w:val="%1.%2.%3.%4"/>
      <w:lvlJc w:val="left"/>
      <w:pPr>
        <w:tabs>
          <w:tab w:val="num" w:pos="1080"/>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2D26C1D"/>
    <w:multiLevelType w:val="hybridMultilevel"/>
    <w:tmpl w:val="CFBE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7F44B3"/>
    <w:multiLevelType w:val="hybridMultilevel"/>
    <w:tmpl w:val="B13CC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F27952"/>
    <w:multiLevelType w:val="hybridMultilevel"/>
    <w:tmpl w:val="15745EE2"/>
    <w:lvl w:ilvl="0" w:tplc="770C9A60">
      <w:start w:val="1"/>
      <w:numFmt w:val="decimal"/>
      <w:pStyle w:val="ListNumbered2"/>
      <w:lvlText w:val="%1."/>
      <w:lvlJc w:val="left"/>
      <w:pPr>
        <w:tabs>
          <w:tab w:val="num" w:pos="992"/>
        </w:tabs>
        <w:ind w:left="992" w:hanging="425"/>
      </w:pPr>
      <w:rPr>
        <w:rFonts w:hint="default"/>
      </w:rPr>
    </w:lvl>
    <w:lvl w:ilvl="1" w:tplc="04090019">
      <w:start w:val="1"/>
      <w:numFmt w:val="lowerLetter"/>
      <w:pStyle w:val="ListCharacters2"/>
      <w:lvlText w:val="(%2)"/>
      <w:lvlJc w:val="left"/>
      <w:pPr>
        <w:tabs>
          <w:tab w:val="num" w:pos="1505"/>
        </w:tabs>
        <w:ind w:left="1505" w:hanging="425"/>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190640"/>
    <w:multiLevelType w:val="hybridMultilevel"/>
    <w:tmpl w:val="C0C26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C67A52"/>
    <w:multiLevelType w:val="hybridMultilevel"/>
    <w:tmpl w:val="DAA45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447E10"/>
    <w:multiLevelType w:val="hybridMultilevel"/>
    <w:tmpl w:val="DA4E8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327506"/>
    <w:multiLevelType w:val="hybridMultilevel"/>
    <w:tmpl w:val="D69A944C"/>
    <w:lvl w:ilvl="0" w:tplc="05D40F96">
      <w:start w:val="1"/>
      <w:numFmt w:val="decimal"/>
      <w:pStyle w:val="ListNumbered"/>
      <w:lvlText w:val="%1."/>
      <w:lvlJc w:val="left"/>
      <w:pPr>
        <w:tabs>
          <w:tab w:val="num" w:pos="567"/>
        </w:tabs>
        <w:ind w:left="567" w:hanging="42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4"/>
  </w:num>
  <w:num w:numId="4">
    <w:abstractNumId w:val="13"/>
  </w:num>
  <w:num w:numId="5">
    <w:abstractNumId w:val="16"/>
  </w:num>
  <w:num w:numId="6">
    <w:abstractNumId w:val="0"/>
  </w:num>
  <w:num w:numId="7">
    <w:abstractNumId w:val="2"/>
  </w:num>
  <w:num w:numId="8">
    <w:abstractNumId w:val="5"/>
  </w:num>
  <w:num w:numId="9">
    <w:abstractNumId w:val="7"/>
  </w:num>
  <w:num w:numId="10">
    <w:abstractNumId w:val="20"/>
  </w:num>
  <w:num w:numId="11">
    <w:abstractNumId w:val="12"/>
  </w:num>
  <w:num w:numId="12">
    <w:abstractNumId w:val="19"/>
  </w:num>
  <w:num w:numId="13">
    <w:abstractNumId w:val="3"/>
  </w:num>
  <w:num w:numId="14">
    <w:abstractNumId w:val="14"/>
  </w:num>
  <w:num w:numId="15">
    <w:abstractNumId w:val="1"/>
  </w:num>
  <w:num w:numId="16">
    <w:abstractNumId w:val="11"/>
  </w:num>
  <w:num w:numId="17">
    <w:abstractNumId w:val="15"/>
  </w:num>
  <w:num w:numId="18">
    <w:abstractNumId w:val="17"/>
  </w:num>
  <w:num w:numId="19">
    <w:abstractNumId w:val="9"/>
  </w:num>
  <w:num w:numId="20">
    <w:abstractNumId w:val="18"/>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A4"/>
    <w:rsid w:val="00000006"/>
    <w:rsid w:val="00017E2E"/>
    <w:rsid w:val="000410D4"/>
    <w:rsid w:val="00041213"/>
    <w:rsid w:val="000468B7"/>
    <w:rsid w:val="00051456"/>
    <w:rsid w:val="00061CE3"/>
    <w:rsid w:val="000623A0"/>
    <w:rsid w:val="000831EB"/>
    <w:rsid w:val="0008475E"/>
    <w:rsid w:val="000875A0"/>
    <w:rsid w:val="00090062"/>
    <w:rsid w:val="00090F7B"/>
    <w:rsid w:val="000948F5"/>
    <w:rsid w:val="000A051C"/>
    <w:rsid w:val="000A21A8"/>
    <w:rsid w:val="000B6183"/>
    <w:rsid w:val="000C1B53"/>
    <w:rsid w:val="000D016C"/>
    <w:rsid w:val="000D414F"/>
    <w:rsid w:val="000D71D3"/>
    <w:rsid w:val="000E324E"/>
    <w:rsid w:val="000F05B0"/>
    <w:rsid w:val="000F54E6"/>
    <w:rsid w:val="000F63C9"/>
    <w:rsid w:val="001019E7"/>
    <w:rsid w:val="001021C8"/>
    <w:rsid w:val="00107D43"/>
    <w:rsid w:val="001128CB"/>
    <w:rsid w:val="001135F4"/>
    <w:rsid w:val="001174CB"/>
    <w:rsid w:val="00117BD9"/>
    <w:rsid w:val="00130136"/>
    <w:rsid w:val="00131776"/>
    <w:rsid w:val="001341AA"/>
    <w:rsid w:val="00154234"/>
    <w:rsid w:val="00154E1A"/>
    <w:rsid w:val="00164766"/>
    <w:rsid w:val="001655F1"/>
    <w:rsid w:val="00187E35"/>
    <w:rsid w:val="0019234F"/>
    <w:rsid w:val="00196360"/>
    <w:rsid w:val="001A236F"/>
    <w:rsid w:val="001A4850"/>
    <w:rsid w:val="001A55C2"/>
    <w:rsid w:val="001A7DC7"/>
    <w:rsid w:val="001B21A0"/>
    <w:rsid w:val="001C50BF"/>
    <w:rsid w:val="001C6514"/>
    <w:rsid w:val="001D0160"/>
    <w:rsid w:val="001E4B76"/>
    <w:rsid w:val="001E5328"/>
    <w:rsid w:val="001F43E8"/>
    <w:rsid w:val="001F7C4A"/>
    <w:rsid w:val="002077CC"/>
    <w:rsid w:val="00207AA5"/>
    <w:rsid w:val="002133DC"/>
    <w:rsid w:val="00216F87"/>
    <w:rsid w:val="00236F2D"/>
    <w:rsid w:val="0024036E"/>
    <w:rsid w:val="00276954"/>
    <w:rsid w:val="002970D1"/>
    <w:rsid w:val="002A209E"/>
    <w:rsid w:val="002A2623"/>
    <w:rsid w:val="002B2CA6"/>
    <w:rsid w:val="002C3097"/>
    <w:rsid w:val="002C37BB"/>
    <w:rsid w:val="002C6BA4"/>
    <w:rsid w:val="002D172E"/>
    <w:rsid w:val="002D1868"/>
    <w:rsid w:val="00300055"/>
    <w:rsid w:val="00300832"/>
    <w:rsid w:val="00302312"/>
    <w:rsid w:val="00330BE7"/>
    <w:rsid w:val="00331453"/>
    <w:rsid w:val="003443D5"/>
    <w:rsid w:val="0035157B"/>
    <w:rsid w:val="00352B28"/>
    <w:rsid w:val="00361122"/>
    <w:rsid w:val="00362301"/>
    <w:rsid w:val="00362DB8"/>
    <w:rsid w:val="00363522"/>
    <w:rsid w:val="00363AF1"/>
    <w:rsid w:val="003668DD"/>
    <w:rsid w:val="00374BA4"/>
    <w:rsid w:val="0038423C"/>
    <w:rsid w:val="00385BEA"/>
    <w:rsid w:val="003A439F"/>
    <w:rsid w:val="003A5443"/>
    <w:rsid w:val="003A5B7C"/>
    <w:rsid w:val="003A6829"/>
    <w:rsid w:val="003B15C3"/>
    <w:rsid w:val="003B2E70"/>
    <w:rsid w:val="003C0A9F"/>
    <w:rsid w:val="003D3E49"/>
    <w:rsid w:val="003F2DD5"/>
    <w:rsid w:val="003F2F1C"/>
    <w:rsid w:val="003F3DD0"/>
    <w:rsid w:val="003F4E4B"/>
    <w:rsid w:val="003F7782"/>
    <w:rsid w:val="004035BD"/>
    <w:rsid w:val="004162D0"/>
    <w:rsid w:val="00422BCF"/>
    <w:rsid w:val="004230F9"/>
    <w:rsid w:val="00431E9F"/>
    <w:rsid w:val="0043279F"/>
    <w:rsid w:val="00432DFE"/>
    <w:rsid w:val="00436C69"/>
    <w:rsid w:val="00443C81"/>
    <w:rsid w:val="00445669"/>
    <w:rsid w:val="004547BB"/>
    <w:rsid w:val="00461333"/>
    <w:rsid w:val="00471D47"/>
    <w:rsid w:val="00473E6B"/>
    <w:rsid w:val="00477915"/>
    <w:rsid w:val="00490DC6"/>
    <w:rsid w:val="004917DD"/>
    <w:rsid w:val="004A2E5A"/>
    <w:rsid w:val="004A3320"/>
    <w:rsid w:val="004B129B"/>
    <w:rsid w:val="004B47A6"/>
    <w:rsid w:val="004C179C"/>
    <w:rsid w:val="004C5092"/>
    <w:rsid w:val="004D3BFB"/>
    <w:rsid w:val="004D5B5B"/>
    <w:rsid w:val="004D7D5D"/>
    <w:rsid w:val="004E6D09"/>
    <w:rsid w:val="004F3419"/>
    <w:rsid w:val="00502311"/>
    <w:rsid w:val="005121BA"/>
    <w:rsid w:val="005127B6"/>
    <w:rsid w:val="0051650E"/>
    <w:rsid w:val="0053201E"/>
    <w:rsid w:val="00533CFF"/>
    <w:rsid w:val="005419C9"/>
    <w:rsid w:val="005424EA"/>
    <w:rsid w:val="005433AE"/>
    <w:rsid w:val="00546146"/>
    <w:rsid w:val="00565B83"/>
    <w:rsid w:val="00566666"/>
    <w:rsid w:val="00567D39"/>
    <w:rsid w:val="00587F7E"/>
    <w:rsid w:val="00593B6F"/>
    <w:rsid w:val="005B0A6D"/>
    <w:rsid w:val="005B479A"/>
    <w:rsid w:val="005C25A8"/>
    <w:rsid w:val="005C363F"/>
    <w:rsid w:val="005D6817"/>
    <w:rsid w:val="005E7365"/>
    <w:rsid w:val="005E75B1"/>
    <w:rsid w:val="005F5054"/>
    <w:rsid w:val="005F5406"/>
    <w:rsid w:val="005F6C3E"/>
    <w:rsid w:val="00612176"/>
    <w:rsid w:val="006140D3"/>
    <w:rsid w:val="00623030"/>
    <w:rsid w:val="0062306D"/>
    <w:rsid w:val="0062792A"/>
    <w:rsid w:val="00644438"/>
    <w:rsid w:val="00651819"/>
    <w:rsid w:val="0065207A"/>
    <w:rsid w:val="006546F5"/>
    <w:rsid w:val="006633CE"/>
    <w:rsid w:val="006778C9"/>
    <w:rsid w:val="0068414E"/>
    <w:rsid w:val="00687E5E"/>
    <w:rsid w:val="00690EFA"/>
    <w:rsid w:val="00696675"/>
    <w:rsid w:val="006972B0"/>
    <w:rsid w:val="006A2EFF"/>
    <w:rsid w:val="006A70E0"/>
    <w:rsid w:val="006B7936"/>
    <w:rsid w:val="006C1A84"/>
    <w:rsid w:val="006C4358"/>
    <w:rsid w:val="006C71B7"/>
    <w:rsid w:val="006D40C4"/>
    <w:rsid w:val="006E6EF8"/>
    <w:rsid w:val="006F5702"/>
    <w:rsid w:val="00711107"/>
    <w:rsid w:val="00716DB9"/>
    <w:rsid w:val="00734DE8"/>
    <w:rsid w:val="00740446"/>
    <w:rsid w:val="007507B6"/>
    <w:rsid w:val="0075695F"/>
    <w:rsid w:val="00760AD7"/>
    <w:rsid w:val="00765889"/>
    <w:rsid w:val="007850D4"/>
    <w:rsid w:val="0079053C"/>
    <w:rsid w:val="007945A8"/>
    <w:rsid w:val="00795535"/>
    <w:rsid w:val="0079611A"/>
    <w:rsid w:val="007A008D"/>
    <w:rsid w:val="007A118E"/>
    <w:rsid w:val="007B2B5B"/>
    <w:rsid w:val="007B3F28"/>
    <w:rsid w:val="007C4EE7"/>
    <w:rsid w:val="007E1A9A"/>
    <w:rsid w:val="007F264F"/>
    <w:rsid w:val="007F3E79"/>
    <w:rsid w:val="0080197A"/>
    <w:rsid w:val="00802BBE"/>
    <w:rsid w:val="00806DAF"/>
    <w:rsid w:val="00815486"/>
    <w:rsid w:val="008155F0"/>
    <w:rsid w:val="00821617"/>
    <w:rsid w:val="008351C8"/>
    <w:rsid w:val="00836668"/>
    <w:rsid w:val="00837E56"/>
    <w:rsid w:val="00840B96"/>
    <w:rsid w:val="0085142A"/>
    <w:rsid w:val="00866E32"/>
    <w:rsid w:val="00877CF6"/>
    <w:rsid w:val="008802B3"/>
    <w:rsid w:val="00883983"/>
    <w:rsid w:val="008847CA"/>
    <w:rsid w:val="008876CC"/>
    <w:rsid w:val="00891327"/>
    <w:rsid w:val="00895261"/>
    <w:rsid w:val="008A67F8"/>
    <w:rsid w:val="008A7BC1"/>
    <w:rsid w:val="008B1CAF"/>
    <w:rsid w:val="008B4173"/>
    <w:rsid w:val="008B51CD"/>
    <w:rsid w:val="008D2BCB"/>
    <w:rsid w:val="008D321A"/>
    <w:rsid w:val="008D3BB4"/>
    <w:rsid w:val="008D442F"/>
    <w:rsid w:val="008E0D19"/>
    <w:rsid w:val="008E5BC7"/>
    <w:rsid w:val="008F150F"/>
    <w:rsid w:val="008F3FA8"/>
    <w:rsid w:val="008F6115"/>
    <w:rsid w:val="00900B93"/>
    <w:rsid w:val="00913D0B"/>
    <w:rsid w:val="00920DE6"/>
    <w:rsid w:val="009225E1"/>
    <w:rsid w:val="00934A33"/>
    <w:rsid w:val="009371B6"/>
    <w:rsid w:val="00940454"/>
    <w:rsid w:val="00941440"/>
    <w:rsid w:val="009414DF"/>
    <w:rsid w:val="00942CAD"/>
    <w:rsid w:val="00944306"/>
    <w:rsid w:val="00945AE0"/>
    <w:rsid w:val="00953E57"/>
    <w:rsid w:val="009549B7"/>
    <w:rsid w:val="00955C78"/>
    <w:rsid w:val="00964033"/>
    <w:rsid w:val="00965079"/>
    <w:rsid w:val="00966A85"/>
    <w:rsid w:val="009729E6"/>
    <w:rsid w:val="00974292"/>
    <w:rsid w:val="009763A2"/>
    <w:rsid w:val="0098050F"/>
    <w:rsid w:val="00991DCB"/>
    <w:rsid w:val="00993AA7"/>
    <w:rsid w:val="00997EC3"/>
    <w:rsid w:val="009B0D91"/>
    <w:rsid w:val="009B4825"/>
    <w:rsid w:val="009C11A1"/>
    <w:rsid w:val="009C2540"/>
    <w:rsid w:val="009C347D"/>
    <w:rsid w:val="009C5E51"/>
    <w:rsid w:val="009D5C0F"/>
    <w:rsid w:val="009F1E2C"/>
    <w:rsid w:val="009F3D26"/>
    <w:rsid w:val="009F5AE1"/>
    <w:rsid w:val="00A11BA7"/>
    <w:rsid w:val="00A15478"/>
    <w:rsid w:val="00A5572A"/>
    <w:rsid w:val="00A646C3"/>
    <w:rsid w:val="00A70FC9"/>
    <w:rsid w:val="00A75DDB"/>
    <w:rsid w:val="00A77A26"/>
    <w:rsid w:val="00A876D6"/>
    <w:rsid w:val="00A91E1C"/>
    <w:rsid w:val="00A91FFA"/>
    <w:rsid w:val="00A94C51"/>
    <w:rsid w:val="00AA1C2A"/>
    <w:rsid w:val="00AA1D51"/>
    <w:rsid w:val="00AA5B95"/>
    <w:rsid w:val="00AB0E0E"/>
    <w:rsid w:val="00AB445B"/>
    <w:rsid w:val="00AB73E9"/>
    <w:rsid w:val="00AC2827"/>
    <w:rsid w:val="00AC7476"/>
    <w:rsid w:val="00AD1B22"/>
    <w:rsid w:val="00AE35A9"/>
    <w:rsid w:val="00AE3F16"/>
    <w:rsid w:val="00AE5D7F"/>
    <w:rsid w:val="00AF258A"/>
    <w:rsid w:val="00AF7C02"/>
    <w:rsid w:val="00B00730"/>
    <w:rsid w:val="00B01649"/>
    <w:rsid w:val="00B05827"/>
    <w:rsid w:val="00B1136B"/>
    <w:rsid w:val="00B22B76"/>
    <w:rsid w:val="00B3524A"/>
    <w:rsid w:val="00B35385"/>
    <w:rsid w:val="00B40CC4"/>
    <w:rsid w:val="00B53E03"/>
    <w:rsid w:val="00B57CEE"/>
    <w:rsid w:val="00B57DD7"/>
    <w:rsid w:val="00B6199A"/>
    <w:rsid w:val="00B61F34"/>
    <w:rsid w:val="00B64DF1"/>
    <w:rsid w:val="00B66186"/>
    <w:rsid w:val="00B832F6"/>
    <w:rsid w:val="00B8790B"/>
    <w:rsid w:val="00B916B6"/>
    <w:rsid w:val="00B97B9D"/>
    <w:rsid w:val="00BA19F6"/>
    <w:rsid w:val="00BA52B3"/>
    <w:rsid w:val="00BB23B7"/>
    <w:rsid w:val="00BB287B"/>
    <w:rsid w:val="00BB2943"/>
    <w:rsid w:val="00BB62EB"/>
    <w:rsid w:val="00BB654F"/>
    <w:rsid w:val="00BD435C"/>
    <w:rsid w:val="00BE368D"/>
    <w:rsid w:val="00BE4C71"/>
    <w:rsid w:val="00BE63B9"/>
    <w:rsid w:val="00BF5D2B"/>
    <w:rsid w:val="00C003A6"/>
    <w:rsid w:val="00C00A2D"/>
    <w:rsid w:val="00C041F5"/>
    <w:rsid w:val="00C058CA"/>
    <w:rsid w:val="00C15BAA"/>
    <w:rsid w:val="00C23008"/>
    <w:rsid w:val="00C24E7B"/>
    <w:rsid w:val="00C2620F"/>
    <w:rsid w:val="00C3438E"/>
    <w:rsid w:val="00C42CBD"/>
    <w:rsid w:val="00C442D1"/>
    <w:rsid w:val="00C44925"/>
    <w:rsid w:val="00C4718D"/>
    <w:rsid w:val="00C53A24"/>
    <w:rsid w:val="00C6195B"/>
    <w:rsid w:val="00C63C3F"/>
    <w:rsid w:val="00C72F39"/>
    <w:rsid w:val="00C839C4"/>
    <w:rsid w:val="00C93970"/>
    <w:rsid w:val="00CA3090"/>
    <w:rsid w:val="00CA5AD2"/>
    <w:rsid w:val="00CA5FF2"/>
    <w:rsid w:val="00CA67CE"/>
    <w:rsid w:val="00CA6E1A"/>
    <w:rsid w:val="00CA70C6"/>
    <w:rsid w:val="00CA786E"/>
    <w:rsid w:val="00CB080F"/>
    <w:rsid w:val="00CB3B7B"/>
    <w:rsid w:val="00CC2B43"/>
    <w:rsid w:val="00CC4792"/>
    <w:rsid w:val="00CC4C15"/>
    <w:rsid w:val="00CC4CB0"/>
    <w:rsid w:val="00CD41E2"/>
    <w:rsid w:val="00CE2743"/>
    <w:rsid w:val="00CE4EBD"/>
    <w:rsid w:val="00CF13D2"/>
    <w:rsid w:val="00CF6001"/>
    <w:rsid w:val="00D001CE"/>
    <w:rsid w:val="00D02F53"/>
    <w:rsid w:val="00D03610"/>
    <w:rsid w:val="00D0413E"/>
    <w:rsid w:val="00D0596A"/>
    <w:rsid w:val="00D20B32"/>
    <w:rsid w:val="00D31874"/>
    <w:rsid w:val="00D34A63"/>
    <w:rsid w:val="00D366DA"/>
    <w:rsid w:val="00D404D9"/>
    <w:rsid w:val="00D50472"/>
    <w:rsid w:val="00D52AC3"/>
    <w:rsid w:val="00D52CAB"/>
    <w:rsid w:val="00D54552"/>
    <w:rsid w:val="00D623B8"/>
    <w:rsid w:val="00D76C43"/>
    <w:rsid w:val="00D8071D"/>
    <w:rsid w:val="00D8251D"/>
    <w:rsid w:val="00D870BE"/>
    <w:rsid w:val="00D87BC9"/>
    <w:rsid w:val="00D91D93"/>
    <w:rsid w:val="00DA0E99"/>
    <w:rsid w:val="00DA6FC9"/>
    <w:rsid w:val="00DB0E76"/>
    <w:rsid w:val="00DB0E7D"/>
    <w:rsid w:val="00DB5097"/>
    <w:rsid w:val="00DC5A47"/>
    <w:rsid w:val="00DD0241"/>
    <w:rsid w:val="00DD1D1E"/>
    <w:rsid w:val="00DF021B"/>
    <w:rsid w:val="00E114BB"/>
    <w:rsid w:val="00E11DED"/>
    <w:rsid w:val="00E120C3"/>
    <w:rsid w:val="00E21DB1"/>
    <w:rsid w:val="00E22B11"/>
    <w:rsid w:val="00E30341"/>
    <w:rsid w:val="00E30D2A"/>
    <w:rsid w:val="00E36AC8"/>
    <w:rsid w:val="00E41E51"/>
    <w:rsid w:val="00E42510"/>
    <w:rsid w:val="00E44FB5"/>
    <w:rsid w:val="00E519DE"/>
    <w:rsid w:val="00E550DE"/>
    <w:rsid w:val="00E556A4"/>
    <w:rsid w:val="00E568B4"/>
    <w:rsid w:val="00E70450"/>
    <w:rsid w:val="00E70600"/>
    <w:rsid w:val="00E72E2A"/>
    <w:rsid w:val="00E74D9F"/>
    <w:rsid w:val="00E75185"/>
    <w:rsid w:val="00E75539"/>
    <w:rsid w:val="00E82C47"/>
    <w:rsid w:val="00E83015"/>
    <w:rsid w:val="00E8475E"/>
    <w:rsid w:val="00E84C3E"/>
    <w:rsid w:val="00E87D52"/>
    <w:rsid w:val="00E9577C"/>
    <w:rsid w:val="00EA5855"/>
    <w:rsid w:val="00EB5E42"/>
    <w:rsid w:val="00EB64BF"/>
    <w:rsid w:val="00EB70B4"/>
    <w:rsid w:val="00EC6F0E"/>
    <w:rsid w:val="00EC7683"/>
    <w:rsid w:val="00ED08AC"/>
    <w:rsid w:val="00ED7569"/>
    <w:rsid w:val="00EE0792"/>
    <w:rsid w:val="00EE6E36"/>
    <w:rsid w:val="00F00D5A"/>
    <w:rsid w:val="00F03F27"/>
    <w:rsid w:val="00F258F9"/>
    <w:rsid w:val="00F3193C"/>
    <w:rsid w:val="00F43B42"/>
    <w:rsid w:val="00F52112"/>
    <w:rsid w:val="00F638C7"/>
    <w:rsid w:val="00F806D9"/>
    <w:rsid w:val="00F83E94"/>
    <w:rsid w:val="00F8539C"/>
    <w:rsid w:val="00F91B36"/>
    <w:rsid w:val="00FA5176"/>
    <w:rsid w:val="00FA6A09"/>
    <w:rsid w:val="00FC4A56"/>
    <w:rsid w:val="00FC7BA2"/>
    <w:rsid w:val="00FD49EB"/>
    <w:rsid w:val="00FD7332"/>
    <w:rsid w:val="00FF30E3"/>
    <w:rsid w:val="00FF55CC"/>
    <w:rsid w:val="00FF6492"/>
    <w:rsid w:val="00FF666E"/>
    <w:rsid w:val="05F9DE79"/>
    <w:rsid w:val="2D7792BA"/>
    <w:rsid w:val="5C3787EA"/>
    <w:rsid w:val="7950A8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E2A86F"/>
  <w15:docId w15:val="{3EE68E40-E7CB-437E-94AA-66663481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2EB"/>
    <w:pPr>
      <w:tabs>
        <w:tab w:val="left" w:pos="567"/>
        <w:tab w:val="left" w:pos="992"/>
      </w:tabs>
      <w:spacing w:before="180" w:line="280" w:lineRule="exact"/>
      <w:jc w:val="both"/>
    </w:pPr>
    <w:rPr>
      <w:sz w:val="22"/>
      <w:szCs w:val="24"/>
      <w:lang w:eastAsia="en-US"/>
    </w:rPr>
  </w:style>
  <w:style w:type="paragraph" w:styleId="Heading1">
    <w:name w:val="heading 1"/>
    <w:basedOn w:val="Normal"/>
    <w:next w:val="Normal"/>
    <w:qFormat/>
    <w:pPr>
      <w:keepNext/>
      <w:keepLines/>
      <w:numPr>
        <w:numId w:val="4"/>
      </w:numPr>
      <w:autoSpaceDE w:val="0"/>
      <w:autoSpaceDN w:val="0"/>
      <w:adjustRightInd w:val="0"/>
      <w:spacing w:before="360" w:line="360" w:lineRule="exact"/>
      <w:jc w:val="left"/>
      <w:outlineLvl w:val="0"/>
    </w:pPr>
    <w:rPr>
      <w:b/>
      <w:color w:val="000000"/>
      <w:sz w:val="28"/>
      <w:szCs w:val="20"/>
      <w:lang w:val="en-US"/>
    </w:rPr>
  </w:style>
  <w:style w:type="paragraph" w:styleId="Heading2">
    <w:name w:val="heading 2"/>
    <w:basedOn w:val="Normal"/>
    <w:next w:val="Normal"/>
    <w:qFormat/>
    <w:pPr>
      <w:keepNext/>
      <w:numPr>
        <w:ilvl w:val="1"/>
        <w:numId w:val="4"/>
      </w:numPr>
      <w:spacing w:before="300" w:after="120"/>
      <w:jc w:val="left"/>
      <w:outlineLvl w:val="1"/>
    </w:pPr>
    <w:rPr>
      <w:b/>
      <w:bCs/>
      <w:i/>
      <w:iCs/>
    </w:rPr>
  </w:style>
  <w:style w:type="paragraph" w:styleId="Heading3">
    <w:name w:val="heading 3"/>
    <w:basedOn w:val="Normal"/>
    <w:next w:val="Normal"/>
    <w:qFormat/>
    <w:pPr>
      <w:keepNext/>
      <w:numPr>
        <w:ilvl w:val="2"/>
        <w:numId w:val="4"/>
      </w:numPr>
      <w:spacing w:before="240" w:after="120"/>
      <w:jc w:val="left"/>
      <w:outlineLvl w:val="2"/>
    </w:pPr>
    <w:rPr>
      <w:rFonts w:cs="Arial"/>
      <w:bCs/>
      <w:i/>
      <w:szCs w:val="26"/>
      <w:u w:val="single"/>
    </w:rPr>
  </w:style>
  <w:style w:type="paragraph" w:styleId="Heading4">
    <w:name w:val="heading 4"/>
    <w:basedOn w:val="Normal"/>
    <w:next w:val="Normal"/>
    <w:qFormat/>
    <w:pPr>
      <w:keepNext/>
      <w:numPr>
        <w:ilvl w:val="3"/>
        <w:numId w:val="4"/>
      </w:numPr>
      <w:tabs>
        <w:tab w:val="clear" w:pos="567"/>
      </w:tabs>
      <w:spacing w:before="120" w:after="120"/>
      <w:outlineLvl w:val="3"/>
    </w:pPr>
    <w:rPr>
      <w:bCs/>
      <w:i/>
      <w:szCs w:val="28"/>
    </w:rPr>
  </w:style>
  <w:style w:type="paragraph" w:styleId="Heading5">
    <w:name w:val="heading 5"/>
    <w:basedOn w:val="Normal"/>
    <w:next w:val="Normal"/>
    <w:qFormat/>
    <w:pPr>
      <w:numPr>
        <w:ilvl w:val="4"/>
        <w:numId w:val="4"/>
      </w:numPr>
      <w:tabs>
        <w:tab w:val="clear" w:pos="567"/>
      </w:tabs>
      <w:spacing w:before="120" w:after="120"/>
      <w:outlineLvl w:val="4"/>
    </w:pPr>
    <w:rPr>
      <w:bCs/>
      <w:i/>
      <w:iCs/>
      <w:szCs w:val="26"/>
    </w:rPr>
  </w:style>
  <w:style w:type="paragraph" w:styleId="Heading6">
    <w:name w:val="heading 6"/>
    <w:basedOn w:val="Normal"/>
    <w:next w:val="Normal"/>
    <w:qFormat/>
    <w:pPr>
      <w:keepNext/>
      <w:numPr>
        <w:ilvl w:val="5"/>
        <w:numId w:val="4"/>
      </w:numPr>
      <w:tabs>
        <w:tab w:val="clear" w:pos="567"/>
      </w:tabs>
      <w:spacing w:before="120" w:after="120"/>
      <w:outlineLvl w:val="5"/>
    </w:pPr>
    <w:rPr>
      <w:i/>
      <w:iCs/>
      <w:sz w:val="24"/>
    </w:rPr>
  </w:style>
  <w:style w:type="paragraph" w:styleId="Heading7">
    <w:name w:val="heading 7"/>
    <w:basedOn w:val="Normal"/>
    <w:next w:val="Normal"/>
    <w:qFormat/>
    <w:pPr>
      <w:numPr>
        <w:ilvl w:val="6"/>
        <w:numId w:val="4"/>
      </w:numPr>
      <w:tabs>
        <w:tab w:val="clear" w:pos="567"/>
      </w:tabs>
      <w:spacing w:before="120" w:after="120"/>
      <w:outlineLvl w:val="6"/>
    </w:pPr>
    <w:rPr>
      <w:i/>
    </w:rPr>
  </w:style>
  <w:style w:type="paragraph" w:styleId="Heading8">
    <w:name w:val="heading 8"/>
    <w:basedOn w:val="Normal"/>
    <w:next w:val="Normal"/>
    <w:qFormat/>
    <w:pPr>
      <w:numPr>
        <w:ilvl w:val="7"/>
        <w:numId w:val="4"/>
      </w:numPr>
      <w:tabs>
        <w:tab w:val="clear" w:pos="567"/>
      </w:tabs>
      <w:spacing w:before="120" w:after="120"/>
      <w:outlineLvl w:val="7"/>
    </w:pPr>
    <w:rPr>
      <w:i/>
      <w:iCs/>
    </w:rPr>
  </w:style>
  <w:style w:type="paragraph" w:styleId="Heading9">
    <w:name w:val="heading 9"/>
    <w:basedOn w:val="Normal"/>
    <w:next w:val="Normal"/>
    <w:qFormat/>
    <w:pPr>
      <w:numPr>
        <w:ilvl w:val="8"/>
        <w:numId w:val="4"/>
      </w:numPr>
      <w:tabs>
        <w:tab w:val="clear" w:pos="567"/>
      </w:tabs>
      <w:spacing w:before="120" w:after="12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3" w:color="auto"/>
      </w:pBdr>
      <w:tabs>
        <w:tab w:val="center" w:pos="4153"/>
        <w:tab w:val="right" w:pos="8306"/>
      </w:tabs>
    </w:pPr>
    <w:rPr>
      <w:sz w:val="19"/>
      <w:lang w:val="en-US"/>
    </w:rPr>
  </w:style>
  <w:style w:type="paragraph" w:styleId="Footer">
    <w:name w:val="footer"/>
    <w:basedOn w:val="Normal"/>
    <w:pPr>
      <w:pBdr>
        <w:top w:val="single" w:sz="4" w:space="3" w:color="auto"/>
      </w:pBdr>
      <w:tabs>
        <w:tab w:val="clear" w:pos="567"/>
        <w:tab w:val="clear" w:pos="992"/>
        <w:tab w:val="center" w:pos="4253"/>
        <w:tab w:val="right" w:pos="8505"/>
      </w:tabs>
    </w:pPr>
    <w:rPr>
      <w:sz w:val="19"/>
      <w:lang w:val="en-US"/>
    </w:rPr>
  </w:style>
  <w:style w:type="character" w:styleId="PageNumber">
    <w:name w:val="page number"/>
    <w:basedOn w:val="DefaultParagraphFont"/>
  </w:style>
  <w:style w:type="paragraph" w:customStyle="1" w:styleId="ActionNumbered">
    <w:name w:val="Action Numbered"/>
    <w:basedOn w:val="Normal"/>
    <w:pPr>
      <w:numPr>
        <w:numId w:val="3"/>
      </w:numPr>
      <w:pBdr>
        <w:top w:val="single" w:sz="4" w:space="9" w:color="auto"/>
        <w:left w:val="single" w:sz="4" w:space="7" w:color="auto"/>
        <w:bottom w:val="single" w:sz="4" w:space="9" w:color="auto"/>
        <w:right w:val="single" w:sz="4" w:space="14" w:color="auto"/>
      </w:pBdr>
      <w:spacing w:after="120"/>
      <w:ind w:right="284"/>
      <w:jc w:val="left"/>
    </w:pPr>
  </w:style>
  <w:style w:type="paragraph" w:styleId="ListBullet">
    <w:name w:val="List Bullet"/>
    <w:basedOn w:val="Normal"/>
    <w:pPr>
      <w:numPr>
        <w:numId w:val="1"/>
      </w:numPr>
      <w:spacing w:before="120" w:after="120"/>
      <w:jc w:val="left"/>
    </w:pPr>
  </w:style>
  <w:style w:type="paragraph" w:styleId="ListBullet2">
    <w:name w:val="List Bullet 2"/>
    <w:basedOn w:val="Normal"/>
    <w:pPr>
      <w:numPr>
        <w:numId w:val="2"/>
      </w:numPr>
      <w:tabs>
        <w:tab w:val="clear" w:pos="567"/>
      </w:tabs>
      <w:spacing w:before="120" w:after="120"/>
      <w:jc w:val="left"/>
    </w:pPr>
  </w:style>
  <w:style w:type="paragraph" w:customStyle="1" w:styleId="Author">
    <w:name w:val="Author"/>
    <w:basedOn w:val="Normal"/>
    <w:pPr>
      <w:jc w:val="right"/>
    </w:pPr>
    <w:rPr>
      <w:sz w:val="19"/>
    </w:rPr>
  </w:style>
  <w:style w:type="paragraph" w:customStyle="1" w:styleId="Presenter">
    <w:name w:val="Presenter"/>
    <w:basedOn w:val="Normal"/>
    <w:pPr>
      <w:tabs>
        <w:tab w:val="clear" w:pos="567"/>
        <w:tab w:val="clear" w:pos="992"/>
      </w:tabs>
      <w:spacing w:before="120" w:after="120" w:line="240" w:lineRule="atLeast"/>
      <w:jc w:val="left"/>
    </w:pPr>
    <w:rPr>
      <w:i/>
      <w:iCs/>
      <w:sz w:val="19"/>
      <w:lang w:val="en-US"/>
    </w:rPr>
  </w:style>
  <w:style w:type="paragraph" w:customStyle="1" w:styleId="TableHead">
    <w:name w:val="Table Head"/>
    <w:basedOn w:val="Normal"/>
    <w:pPr>
      <w:spacing w:before="120" w:after="120" w:line="240" w:lineRule="exact"/>
      <w:jc w:val="left"/>
    </w:pPr>
    <w:rPr>
      <w:b/>
      <w:bCs/>
      <w:sz w:val="19"/>
    </w:rPr>
  </w:style>
  <w:style w:type="paragraph" w:customStyle="1" w:styleId="TableText">
    <w:name w:val="Table Text"/>
    <w:pPr>
      <w:tabs>
        <w:tab w:val="left" w:pos="284"/>
        <w:tab w:val="left" w:pos="567"/>
        <w:tab w:val="left" w:pos="992"/>
      </w:tabs>
      <w:spacing w:before="120" w:after="120" w:line="240" w:lineRule="exact"/>
    </w:pPr>
    <w:rPr>
      <w:bCs/>
      <w:sz w:val="19"/>
      <w:lang w:eastAsia="en-US"/>
    </w:rPr>
  </w:style>
  <w:style w:type="paragraph" w:customStyle="1" w:styleId="TableBullet">
    <w:name w:val="Table Bullet"/>
    <w:basedOn w:val="TableText"/>
    <w:pPr>
      <w:numPr>
        <w:numId w:val="9"/>
      </w:numPr>
      <w:tabs>
        <w:tab w:val="clear" w:pos="360"/>
        <w:tab w:val="clear" w:pos="567"/>
      </w:tabs>
    </w:pPr>
  </w:style>
  <w:style w:type="paragraph" w:customStyle="1" w:styleId="ListNumbered">
    <w:name w:val="List Numbered"/>
    <w:basedOn w:val="Normal"/>
    <w:pPr>
      <w:numPr>
        <w:numId w:val="10"/>
      </w:numPr>
      <w:spacing w:before="120" w:after="120"/>
      <w:jc w:val="left"/>
    </w:pPr>
  </w:style>
  <w:style w:type="paragraph" w:customStyle="1" w:styleId="ListNumbered2">
    <w:name w:val="List Numbered 2"/>
    <w:basedOn w:val="Normal"/>
    <w:pPr>
      <w:numPr>
        <w:numId w:val="5"/>
      </w:numPr>
      <w:tabs>
        <w:tab w:val="clear" w:pos="567"/>
      </w:tabs>
      <w:spacing w:before="120" w:after="120"/>
      <w:jc w:val="left"/>
    </w:pPr>
    <w:rPr>
      <w:lang w:val="en-US"/>
    </w:rPr>
  </w:style>
  <w:style w:type="paragraph" w:customStyle="1" w:styleId="TableNumbered">
    <w:name w:val="Table Numbered"/>
    <w:basedOn w:val="TableText"/>
    <w:pPr>
      <w:numPr>
        <w:numId w:val="7"/>
      </w:numPr>
      <w:tabs>
        <w:tab w:val="clear" w:pos="992"/>
      </w:tabs>
    </w:pPr>
  </w:style>
  <w:style w:type="paragraph" w:styleId="FootnoteText">
    <w:name w:val="footnote text"/>
    <w:basedOn w:val="Normal"/>
    <w:semiHidden/>
    <w:pPr>
      <w:tabs>
        <w:tab w:val="clear" w:pos="567"/>
        <w:tab w:val="left" w:pos="284"/>
      </w:tabs>
      <w:spacing w:before="0" w:line="240" w:lineRule="exact"/>
      <w:ind w:left="284" w:hanging="284"/>
    </w:pPr>
    <w:rPr>
      <w:sz w:val="19"/>
      <w:szCs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clear" w:pos="992"/>
        <w:tab w:val="right" w:leader="dot" w:pos="8505"/>
      </w:tabs>
      <w:spacing w:before="120"/>
      <w:ind w:left="567" w:right="566" w:hanging="567"/>
    </w:pPr>
    <w:rPr>
      <w:noProof/>
      <w:szCs w:val="28"/>
    </w:rPr>
  </w:style>
  <w:style w:type="paragraph" w:styleId="TOC2">
    <w:name w:val="toc 2"/>
    <w:basedOn w:val="Normal"/>
    <w:next w:val="Normal"/>
    <w:autoRedefine/>
    <w:semiHidden/>
    <w:pPr>
      <w:tabs>
        <w:tab w:val="clear" w:pos="567"/>
        <w:tab w:val="clear" w:pos="992"/>
        <w:tab w:val="left" w:pos="1134"/>
        <w:tab w:val="right" w:leader="dot" w:pos="8505"/>
      </w:tabs>
      <w:spacing w:before="0"/>
      <w:ind w:left="1134" w:right="566" w:hanging="567"/>
    </w:pPr>
    <w:rPr>
      <w:noProof/>
      <w:sz w:val="20"/>
    </w:rPr>
  </w:style>
  <w:style w:type="paragraph" w:styleId="TOC3">
    <w:name w:val="toc 3"/>
    <w:basedOn w:val="Normal"/>
    <w:next w:val="Normal"/>
    <w:autoRedefine/>
    <w:semiHidden/>
    <w:pPr>
      <w:tabs>
        <w:tab w:val="clear" w:pos="567"/>
        <w:tab w:val="clear" w:pos="992"/>
        <w:tab w:val="left" w:pos="1701"/>
        <w:tab w:val="right" w:leader="dot" w:pos="8505"/>
      </w:tabs>
      <w:spacing w:before="0"/>
      <w:ind w:left="1701" w:right="567" w:hanging="567"/>
    </w:pPr>
    <w:rPr>
      <w:noProof/>
      <w:sz w:val="20"/>
    </w:rPr>
  </w:style>
  <w:style w:type="paragraph" w:styleId="TOC4">
    <w:name w:val="toc 4"/>
    <w:basedOn w:val="Normal"/>
    <w:next w:val="Normal"/>
    <w:autoRedefine/>
    <w:semiHidden/>
    <w:pPr>
      <w:tabs>
        <w:tab w:val="clear" w:pos="567"/>
        <w:tab w:val="clear" w:pos="992"/>
      </w:tabs>
      <w:ind w:left="720"/>
    </w:pPr>
  </w:style>
  <w:style w:type="paragraph" w:styleId="TOC5">
    <w:name w:val="toc 5"/>
    <w:basedOn w:val="Normal"/>
    <w:next w:val="Normal"/>
    <w:autoRedefine/>
    <w:semiHidden/>
    <w:pPr>
      <w:tabs>
        <w:tab w:val="clear" w:pos="567"/>
        <w:tab w:val="clear" w:pos="992"/>
      </w:tabs>
      <w:ind w:left="960"/>
    </w:pPr>
  </w:style>
  <w:style w:type="paragraph" w:styleId="TOC6">
    <w:name w:val="toc 6"/>
    <w:basedOn w:val="Normal"/>
    <w:next w:val="Normal"/>
    <w:autoRedefine/>
    <w:semiHidden/>
    <w:pPr>
      <w:tabs>
        <w:tab w:val="clear" w:pos="567"/>
        <w:tab w:val="clear" w:pos="992"/>
      </w:tabs>
      <w:ind w:left="1200"/>
    </w:pPr>
  </w:style>
  <w:style w:type="paragraph" w:styleId="TOC7">
    <w:name w:val="toc 7"/>
    <w:basedOn w:val="Normal"/>
    <w:next w:val="Normal"/>
    <w:autoRedefine/>
    <w:semiHidden/>
    <w:pPr>
      <w:tabs>
        <w:tab w:val="clear" w:pos="567"/>
        <w:tab w:val="clear" w:pos="992"/>
      </w:tabs>
      <w:ind w:left="1440"/>
    </w:pPr>
  </w:style>
  <w:style w:type="paragraph" w:styleId="TOC8">
    <w:name w:val="toc 8"/>
    <w:basedOn w:val="Normal"/>
    <w:next w:val="Normal"/>
    <w:autoRedefine/>
    <w:semiHidden/>
    <w:pPr>
      <w:tabs>
        <w:tab w:val="clear" w:pos="567"/>
        <w:tab w:val="clear" w:pos="992"/>
      </w:tabs>
      <w:ind w:left="1680"/>
    </w:pPr>
  </w:style>
  <w:style w:type="paragraph" w:styleId="TOC9">
    <w:name w:val="toc 9"/>
    <w:basedOn w:val="Normal"/>
    <w:next w:val="Normal"/>
    <w:autoRedefine/>
    <w:semiHidden/>
    <w:pPr>
      <w:tabs>
        <w:tab w:val="clear" w:pos="567"/>
        <w:tab w:val="clear" w:pos="992"/>
      </w:tabs>
      <w:ind w:left="1920"/>
    </w:pPr>
  </w:style>
  <w:style w:type="character" w:styleId="Hyperlink">
    <w:name w:val="Hyperlink"/>
    <w:rPr>
      <w:color w:val="0000FF"/>
      <w:u w:val="single"/>
    </w:rPr>
  </w:style>
  <w:style w:type="paragraph" w:customStyle="1" w:styleId="ListCharacters">
    <w:name w:val="List Characters"/>
    <w:basedOn w:val="ListNumbered"/>
    <w:pPr>
      <w:numPr>
        <w:numId w:val="8"/>
      </w:numPr>
    </w:pPr>
  </w:style>
  <w:style w:type="paragraph" w:styleId="ListNumber">
    <w:name w:val="List Number"/>
    <w:basedOn w:val="Normal"/>
    <w:pPr>
      <w:numPr>
        <w:numId w:val="6"/>
      </w:numPr>
      <w:tabs>
        <w:tab w:val="clear" w:pos="360"/>
        <w:tab w:val="left" w:pos="284"/>
      </w:tabs>
    </w:pPr>
  </w:style>
  <w:style w:type="paragraph" w:customStyle="1" w:styleId="ActionSub-Point">
    <w:name w:val="Action Sub-Point"/>
    <w:basedOn w:val="ActionNumbered"/>
    <w:pPr>
      <w:numPr>
        <w:numId w:val="0"/>
      </w:numPr>
      <w:tabs>
        <w:tab w:val="clear" w:pos="992"/>
        <w:tab w:val="left" w:pos="567"/>
        <w:tab w:val="left" w:pos="993"/>
      </w:tabs>
      <w:spacing w:before="120"/>
      <w:ind w:left="993" w:hanging="851"/>
    </w:pPr>
  </w:style>
  <w:style w:type="paragraph" w:customStyle="1" w:styleId="BoxBanner">
    <w:name w:val="Box Banner"/>
    <w:basedOn w:val="Normal"/>
    <w:pPr>
      <w:pBdr>
        <w:top w:val="single" w:sz="4" w:space="18" w:color="auto"/>
        <w:left w:val="single" w:sz="4" w:space="0" w:color="auto"/>
        <w:bottom w:val="single" w:sz="4" w:space="12" w:color="auto"/>
        <w:right w:val="single" w:sz="4" w:space="0" w:color="auto"/>
      </w:pBdr>
      <w:spacing w:before="120"/>
      <w:jc w:val="center"/>
    </w:pPr>
    <w:rPr>
      <w:bCs/>
      <w:caps/>
    </w:rPr>
  </w:style>
  <w:style w:type="paragraph" w:customStyle="1" w:styleId="ActionCharacter">
    <w:name w:val="Action Character"/>
    <w:basedOn w:val="Normal"/>
    <w:pPr>
      <w:numPr>
        <w:numId w:val="11"/>
      </w:numPr>
      <w:pBdr>
        <w:top w:val="single" w:sz="4" w:space="9" w:color="auto"/>
        <w:left w:val="single" w:sz="4" w:space="7" w:color="auto"/>
        <w:bottom w:val="single" w:sz="4" w:space="9" w:color="auto"/>
        <w:right w:val="single" w:sz="4" w:space="14" w:color="auto"/>
      </w:pBdr>
      <w:tabs>
        <w:tab w:val="clear" w:pos="502"/>
      </w:tabs>
      <w:spacing w:after="120"/>
      <w:ind w:left="567" w:right="284" w:hanging="425"/>
    </w:pPr>
  </w:style>
  <w:style w:type="paragraph" w:customStyle="1" w:styleId="BoxTitle">
    <w:name w:val="Box Title"/>
    <w:basedOn w:val="Normal"/>
    <w:pPr>
      <w:pBdr>
        <w:top w:val="single" w:sz="4" w:space="18" w:color="auto"/>
        <w:left w:val="single" w:sz="4" w:space="0" w:color="auto"/>
        <w:bottom w:val="single" w:sz="4" w:space="12" w:color="auto"/>
        <w:right w:val="single" w:sz="4" w:space="0" w:color="auto"/>
      </w:pBdr>
      <w:spacing w:before="320" w:after="320" w:line="400" w:lineRule="exact"/>
      <w:jc w:val="center"/>
    </w:pPr>
    <w:rPr>
      <w:b/>
      <w:bCs/>
      <w:sz w:val="32"/>
      <w:lang w:eastAsia="en-GB"/>
    </w:rPr>
  </w:style>
  <w:style w:type="paragraph" w:customStyle="1" w:styleId="BoxSub">
    <w:name w:val="Box Sub"/>
    <w:basedOn w:val="Normal"/>
    <w:pPr>
      <w:pBdr>
        <w:top w:val="single" w:sz="4" w:space="18" w:color="auto"/>
        <w:left w:val="single" w:sz="4" w:space="0" w:color="auto"/>
        <w:bottom w:val="single" w:sz="4" w:space="12" w:color="auto"/>
        <w:right w:val="single" w:sz="4" w:space="0" w:color="auto"/>
      </w:pBdr>
      <w:spacing w:before="0"/>
      <w:jc w:val="center"/>
    </w:pPr>
  </w:style>
  <w:style w:type="paragraph" w:customStyle="1" w:styleId="BoxCirculated">
    <w:name w:val="Box Circulated"/>
    <w:basedOn w:val="Normal"/>
    <w:pPr>
      <w:pBdr>
        <w:top w:val="single" w:sz="4" w:space="18" w:color="auto"/>
        <w:left w:val="single" w:sz="4" w:space="0" w:color="auto"/>
        <w:bottom w:val="single" w:sz="4" w:space="12" w:color="auto"/>
        <w:right w:val="single" w:sz="4" w:space="0" w:color="auto"/>
      </w:pBdr>
      <w:spacing w:before="120" w:line="240" w:lineRule="exact"/>
      <w:jc w:val="center"/>
    </w:pPr>
    <w:rPr>
      <w:i/>
      <w:iCs/>
      <w:sz w:val="19"/>
      <w:lang w:eastAsia="en-GB"/>
    </w:rPr>
  </w:style>
  <w:style w:type="paragraph" w:customStyle="1" w:styleId="ListCharacters2">
    <w:name w:val="List Characters 2"/>
    <w:basedOn w:val="Normal"/>
    <w:pPr>
      <w:numPr>
        <w:ilvl w:val="1"/>
        <w:numId w:val="5"/>
      </w:numPr>
      <w:tabs>
        <w:tab w:val="clear" w:pos="567"/>
        <w:tab w:val="clear" w:pos="992"/>
        <w:tab w:val="clear" w:pos="1505"/>
        <w:tab w:val="left" w:pos="993"/>
      </w:tabs>
      <w:ind w:left="993" w:hanging="426"/>
      <w:jc w:val="left"/>
    </w:pPr>
  </w:style>
  <w:style w:type="character" w:customStyle="1" w:styleId="coordonees1">
    <w:name w:val="coordonees1"/>
    <w:rPr>
      <w:rFonts w:ascii="Arial" w:hAnsi="Arial" w:cs="Arial" w:hint="default"/>
      <w:strike w:val="0"/>
      <w:dstrike w:val="0"/>
      <w:color w:val="512010"/>
      <w:sz w:val="15"/>
      <w:szCs w:val="15"/>
      <w:u w:val="none"/>
      <w:effect w:val="none"/>
    </w:rPr>
  </w:style>
  <w:style w:type="paragraph" w:styleId="Title">
    <w:name w:val="Title"/>
    <w:basedOn w:val="Normal"/>
    <w:qFormat/>
    <w:pPr>
      <w:spacing w:before="360" w:after="240" w:line="360" w:lineRule="exact"/>
      <w:jc w:val="left"/>
      <w:outlineLvl w:val="0"/>
    </w:pPr>
    <w:rPr>
      <w:b/>
      <w:kern w:val="28"/>
      <w:sz w:val="32"/>
      <w:szCs w:val="32"/>
    </w:rPr>
  </w:style>
  <w:style w:type="paragraph" w:styleId="BalloonText">
    <w:name w:val="Balloon Text"/>
    <w:basedOn w:val="Normal"/>
    <w:link w:val="BalloonTextChar"/>
    <w:rsid w:val="00E519DE"/>
    <w:pPr>
      <w:spacing w:before="0" w:line="240" w:lineRule="auto"/>
    </w:pPr>
    <w:rPr>
      <w:rFonts w:ascii="Tahoma" w:hAnsi="Tahoma" w:cs="Tahoma"/>
      <w:sz w:val="16"/>
      <w:szCs w:val="16"/>
    </w:rPr>
  </w:style>
  <w:style w:type="character" w:customStyle="1" w:styleId="BalloonTextChar">
    <w:name w:val="Balloon Text Char"/>
    <w:link w:val="BalloonText"/>
    <w:rsid w:val="00E519DE"/>
    <w:rPr>
      <w:rFonts w:ascii="Tahoma" w:hAnsi="Tahoma" w:cs="Tahoma"/>
      <w:sz w:val="16"/>
      <w:szCs w:val="16"/>
      <w:lang w:eastAsia="en-US"/>
    </w:rPr>
  </w:style>
  <w:style w:type="paragraph" w:styleId="ListParagraph">
    <w:name w:val="List Paragraph"/>
    <w:basedOn w:val="Normal"/>
    <w:uiPriority w:val="34"/>
    <w:qFormat/>
    <w:rsid w:val="00AA1D51"/>
    <w:pPr>
      <w:ind w:left="720"/>
      <w:contextualSpacing/>
    </w:pPr>
  </w:style>
  <w:style w:type="character" w:styleId="CommentReference">
    <w:name w:val="annotation reference"/>
    <w:basedOn w:val="DefaultParagraphFont"/>
    <w:rsid w:val="00CA6E1A"/>
    <w:rPr>
      <w:sz w:val="16"/>
      <w:szCs w:val="16"/>
    </w:rPr>
  </w:style>
  <w:style w:type="paragraph" w:styleId="CommentText">
    <w:name w:val="annotation text"/>
    <w:basedOn w:val="Normal"/>
    <w:link w:val="CommentTextChar"/>
    <w:rsid w:val="00CA6E1A"/>
    <w:pPr>
      <w:spacing w:line="240" w:lineRule="auto"/>
    </w:pPr>
    <w:rPr>
      <w:sz w:val="20"/>
      <w:szCs w:val="20"/>
    </w:rPr>
  </w:style>
  <w:style w:type="character" w:customStyle="1" w:styleId="CommentTextChar">
    <w:name w:val="Comment Text Char"/>
    <w:basedOn w:val="DefaultParagraphFont"/>
    <w:link w:val="CommentText"/>
    <w:rsid w:val="00CA6E1A"/>
    <w:rPr>
      <w:lang w:eastAsia="en-US"/>
    </w:rPr>
  </w:style>
  <w:style w:type="paragraph" w:styleId="CommentSubject">
    <w:name w:val="annotation subject"/>
    <w:basedOn w:val="CommentText"/>
    <w:next w:val="CommentText"/>
    <w:link w:val="CommentSubjectChar"/>
    <w:rsid w:val="00CA6E1A"/>
    <w:rPr>
      <w:b/>
      <w:bCs/>
    </w:rPr>
  </w:style>
  <w:style w:type="character" w:customStyle="1" w:styleId="CommentSubjectChar">
    <w:name w:val="Comment Subject Char"/>
    <w:basedOn w:val="CommentTextChar"/>
    <w:link w:val="CommentSubject"/>
    <w:rsid w:val="00CA6E1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86457">
      <w:bodyDiv w:val="1"/>
      <w:marLeft w:val="0"/>
      <w:marRight w:val="0"/>
      <w:marTop w:val="0"/>
      <w:marBottom w:val="0"/>
      <w:divBdr>
        <w:top w:val="none" w:sz="0" w:space="0" w:color="auto"/>
        <w:left w:val="none" w:sz="0" w:space="0" w:color="auto"/>
        <w:bottom w:val="none" w:sz="0" w:space="0" w:color="auto"/>
        <w:right w:val="none" w:sz="0" w:space="0" w:color="auto"/>
      </w:divBdr>
    </w:div>
    <w:div w:id="463548700">
      <w:bodyDiv w:val="1"/>
      <w:marLeft w:val="0"/>
      <w:marRight w:val="0"/>
      <w:marTop w:val="0"/>
      <w:marBottom w:val="0"/>
      <w:divBdr>
        <w:top w:val="none" w:sz="0" w:space="0" w:color="auto"/>
        <w:left w:val="none" w:sz="0" w:space="0" w:color="auto"/>
        <w:bottom w:val="none" w:sz="0" w:space="0" w:color="auto"/>
        <w:right w:val="none" w:sz="0" w:space="0" w:color="auto"/>
      </w:divBdr>
    </w:div>
    <w:div w:id="675421880">
      <w:bodyDiv w:val="1"/>
      <w:marLeft w:val="0"/>
      <w:marRight w:val="0"/>
      <w:marTop w:val="0"/>
      <w:marBottom w:val="0"/>
      <w:divBdr>
        <w:top w:val="none" w:sz="0" w:space="0" w:color="auto"/>
        <w:left w:val="none" w:sz="0" w:space="0" w:color="auto"/>
        <w:bottom w:val="none" w:sz="0" w:space="0" w:color="auto"/>
        <w:right w:val="none" w:sz="0" w:space="0" w:color="auto"/>
      </w:divBdr>
    </w:div>
    <w:div w:id="851843984">
      <w:bodyDiv w:val="1"/>
      <w:marLeft w:val="0"/>
      <w:marRight w:val="0"/>
      <w:marTop w:val="0"/>
      <w:marBottom w:val="0"/>
      <w:divBdr>
        <w:top w:val="none" w:sz="0" w:space="0" w:color="auto"/>
        <w:left w:val="none" w:sz="0" w:space="0" w:color="auto"/>
        <w:bottom w:val="none" w:sz="0" w:space="0" w:color="auto"/>
        <w:right w:val="none" w:sz="0" w:space="0" w:color="auto"/>
      </w:divBdr>
    </w:div>
    <w:div w:id="1148789387">
      <w:bodyDiv w:val="1"/>
      <w:marLeft w:val="0"/>
      <w:marRight w:val="0"/>
      <w:marTop w:val="0"/>
      <w:marBottom w:val="0"/>
      <w:divBdr>
        <w:top w:val="none" w:sz="0" w:space="0" w:color="auto"/>
        <w:left w:val="none" w:sz="0" w:space="0" w:color="auto"/>
        <w:bottom w:val="none" w:sz="0" w:space="0" w:color="auto"/>
        <w:right w:val="none" w:sz="0" w:space="0" w:color="auto"/>
      </w:divBdr>
    </w:div>
    <w:div w:id="1158888652">
      <w:bodyDiv w:val="1"/>
      <w:marLeft w:val="0"/>
      <w:marRight w:val="0"/>
      <w:marTop w:val="0"/>
      <w:marBottom w:val="0"/>
      <w:divBdr>
        <w:top w:val="none" w:sz="0" w:space="0" w:color="auto"/>
        <w:left w:val="none" w:sz="0" w:space="0" w:color="auto"/>
        <w:bottom w:val="none" w:sz="0" w:space="0" w:color="auto"/>
        <w:right w:val="none" w:sz="0" w:space="0" w:color="auto"/>
      </w:divBdr>
    </w:div>
    <w:div w:id="1185628900">
      <w:bodyDiv w:val="1"/>
      <w:marLeft w:val="0"/>
      <w:marRight w:val="0"/>
      <w:marTop w:val="0"/>
      <w:marBottom w:val="0"/>
      <w:divBdr>
        <w:top w:val="none" w:sz="0" w:space="0" w:color="auto"/>
        <w:left w:val="none" w:sz="0" w:space="0" w:color="auto"/>
        <w:bottom w:val="none" w:sz="0" w:space="0" w:color="auto"/>
        <w:right w:val="none" w:sz="0" w:space="0" w:color="auto"/>
      </w:divBdr>
    </w:div>
    <w:div w:id="1408193063">
      <w:bodyDiv w:val="1"/>
      <w:marLeft w:val="0"/>
      <w:marRight w:val="0"/>
      <w:marTop w:val="0"/>
      <w:marBottom w:val="0"/>
      <w:divBdr>
        <w:top w:val="none" w:sz="0" w:space="0" w:color="auto"/>
        <w:left w:val="none" w:sz="0" w:space="0" w:color="auto"/>
        <w:bottom w:val="none" w:sz="0" w:space="0" w:color="auto"/>
        <w:right w:val="none" w:sz="0" w:space="0" w:color="auto"/>
      </w:divBdr>
    </w:div>
    <w:div w:id="1560507513">
      <w:bodyDiv w:val="1"/>
      <w:marLeft w:val="0"/>
      <w:marRight w:val="0"/>
      <w:marTop w:val="0"/>
      <w:marBottom w:val="0"/>
      <w:divBdr>
        <w:top w:val="none" w:sz="0" w:space="0" w:color="auto"/>
        <w:left w:val="none" w:sz="0" w:space="0" w:color="auto"/>
        <w:bottom w:val="none" w:sz="0" w:space="0" w:color="auto"/>
        <w:right w:val="none" w:sz="0" w:space="0" w:color="auto"/>
      </w:divBdr>
    </w:div>
    <w:div w:id="1598249558">
      <w:bodyDiv w:val="1"/>
      <w:marLeft w:val="0"/>
      <w:marRight w:val="0"/>
      <w:marTop w:val="0"/>
      <w:marBottom w:val="0"/>
      <w:divBdr>
        <w:top w:val="none" w:sz="0" w:space="0" w:color="auto"/>
        <w:left w:val="none" w:sz="0" w:space="0" w:color="auto"/>
        <w:bottom w:val="none" w:sz="0" w:space="0" w:color="auto"/>
        <w:right w:val="none" w:sz="0" w:space="0" w:color="auto"/>
      </w:divBdr>
    </w:div>
    <w:div w:id="1617567835">
      <w:bodyDiv w:val="1"/>
      <w:marLeft w:val="0"/>
      <w:marRight w:val="0"/>
      <w:marTop w:val="0"/>
      <w:marBottom w:val="0"/>
      <w:divBdr>
        <w:top w:val="none" w:sz="0" w:space="0" w:color="auto"/>
        <w:left w:val="none" w:sz="0" w:space="0" w:color="auto"/>
        <w:bottom w:val="none" w:sz="0" w:space="0" w:color="auto"/>
        <w:right w:val="none" w:sz="0" w:space="0" w:color="auto"/>
      </w:divBdr>
    </w:div>
    <w:div w:id="1665039068">
      <w:bodyDiv w:val="1"/>
      <w:marLeft w:val="0"/>
      <w:marRight w:val="0"/>
      <w:marTop w:val="0"/>
      <w:marBottom w:val="0"/>
      <w:divBdr>
        <w:top w:val="none" w:sz="0" w:space="0" w:color="auto"/>
        <w:left w:val="none" w:sz="0" w:space="0" w:color="auto"/>
        <w:bottom w:val="none" w:sz="0" w:space="0" w:color="auto"/>
        <w:right w:val="none" w:sz="0" w:space="0" w:color="auto"/>
      </w:divBdr>
    </w:div>
    <w:div w:id="1674456885">
      <w:bodyDiv w:val="1"/>
      <w:marLeft w:val="0"/>
      <w:marRight w:val="0"/>
      <w:marTop w:val="0"/>
      <w:marBottom w:val="0"/>
      <w:divBdr>
        <w:top w:val="none" w:sz="0" w:space="0" w:color="auto"/>
        <w:left w:val="none" w:sz="0" w:space="0" w:color="auto"/>
        <w:bottom w:val="none" w:sz="0" w:space="0" w:color="auto"/>
        <w:right w:val="none" w:sz="0" w:space="0" w:color="auto"/>
      </w:divBdr>
    </w:div>
    <w:div w:id="1709068124">
      <w:bodyDiv w:val="1"/>
      <w:marLeft w:val="0"/>
      <w:marRight w:val="0"/>
      <w:marTop w:val="0"/>
      <w:marBottom w:val="0"/>
      <w:divBdr>
        <w:top w:val="none" w:sz="0" w:space="0" w:color="auto"/>
        <w:left w:val="none" w:sz="0" w:space="0" w:color="auto"/>
        <w:bottom w:val="none" w:sz="0" w:space="0" w:color="auto"/>
        <w:right w:val="none" w:sz="0" w:space="0" w:color="auto"/>
      </w:divBdr>
    </w:div>
    <w:div w:id="17363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4B5DF8E6DD614B9464A6A1E60988F1" ma:contentTypeVersion="3" ma:contentTypeDescription="Create a new document." ma:contentTypeScope="" ma:versionID="77e73b10cf60c32e83d9a7824b2d7b68">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8116-3308-4E10-8673-83D6013A8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467BFC-0966-4CDA-8651-BBE4C3566E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911867-9058-48AF-864A-473027F0FEC9}">
  <ds:schemaRefs>
    <ds:schemaRef ds:uri="http://schemas.microsoft.com/sharepoint/v3/contenttype/forms"/>
  </ds:schemaRefs>
</ds:datastoreItem>
</file>

<file path=customXml/itemProps4.xml><?xml version="1.0" encoding="utf-8"?>
<ds:datastoreItem xmlns:ds="http://schemas.openxmlformats.org/officeDocument/2006/customXml" ds:itemID="{B711AAEB-8064-4EC5-9895-97590AF0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INTER–AGENCY STANDING COMMITTEE WORKING GROUP</vt:lpstr>
    </vt:vector>
  </TitlesOfParts>
  <Company>unog</Company>
  <LinksUpToDate>false</LinksUpToDate>
  <CharactersWithSpaces>14414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STANDING COMMITTEE WORKING GROUP</dc:title>
  <dc:creator>Korrebor</dc:creator>
  <cp:lastModifiedBy>Belinda HOLDSWORTH</cp:lastModifiedBy>
  <cp:revision>2</cp:revision>
  <cp:lastPrinted>2016-10-21T14:03:00Z</cp:lastPrinted>
  <dcterms:created xsi:type="dcterms:W3CDTF">2016-10-21T15:26:00Z</dcterms:created>
  <dcterms:modified xsi:type="dcterms:W3CDTF">2016-10-21T15:26:00Z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0x010100EB4B5DF8E6DD614B9464A6A1E60988F1</vt:lpwstr>
  </property>
</Properties>
</file>