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22392" w:type="dxa"/>
        <w:tblLayout w:type="fixed"/>
        <w:tblLook w:val="04A0" w:firstRow="1" w:lastRow="0" w:firstColumn="1" w:lastColumn="0" w:noHBand="0" w:noVBand="1"/>
      </w:tblPr>
      <w:tblGrid>
        <w:gridCol w:w="846"/>
        <w:gridCol w:w="1984"/>
        <w:gridCol w:w="2268"/>
        <w:gridCol w:w="1842"/>
        <w:gridCol w:w="2127"/>
        <w:gridCol w:w="1985"/>
        <w:gridCol w:w="2268"/>
        <w:gridCol w:w="2410"/>
        <w:gridCol w:w="2409"/>
        <w:gridCol w:w="2127"/>
        <w:gridCol w:w="2126"/>
      </w:tblGrid>
      <w:tr w:rsidR="0000098D" w:rsidRPr="0000098D" w14:paraId="100008AE" w14:textId="77777777" w:rsidTr="0079033D">
        <w:trPr>
          <w:trHeight w:val="699"/>
          <w:tblHeader/>
        </w:trPr>
        <w:tc>
          <w:tcPr>
            <w:tcW w:w="846" w:type="dxa"/>
            <w:shd w:val="clear" w:color="auto" w:fill="FF8E96"/>
          </w:tcPr>
          <w:p w14:paraId="2D05233E" w14:textId="77777777" w:rsidR="00344C8F" w:rsidRPr="00DD10E9" w:rsidRDefault="00344C8F" w:rsidP="0000098D">
            <w:pPr>
              <w:rPr>
                <w:b/>
                <w:bCs/>
                <w:sz w:val="15"/>
                <w:szCs w:val="15"/>
              </w:rPr>
            </w:pPr>
            <w:bookmarkStart w:id="0" w:name="_GoBack"/>
            <w:bookmarkEnd w:id="0"/>
            <w:r w:rsidRPr="00DD10E9">
              <w:rPr>
                <w:b/>
                <w:bCs/>
                <w:color w:val="000000"/>
                <w:sz w:val="15"/>
                <w:szCs w:val="15"/>
              </w:rPr>
              <w:t>GB  work streams</w:t>
            </w:r>
          </w:p>
        </w:tc>
        <w:tc>
          <w:tcPr>
            <w:tcW w:w="1984" w:type="dxa"/>
            <w:shd w:val="clear" w:color="auto" w:fill="FF8E96"/>
          </w:tcPr>
          <w:p w14:paraId="145314E7" w14:textId="059EB3D7" w:rsidR="00344C8F" w:rsidRPr="00DD10E9" w:rsidRDefault="00344C8F" w:rsidP="0000098D">
            <w:pPr>
              <w:rPr>
                <w:b/>
                <w:sz w:val="15"/>
                <w:szCs w:val="15"/>
              </w:rPr>
            </w:pPr>
            <w:r w:rsidRPr="00DD10E9">
              <w:rPr>
                <w:b/>
                <w:bCs/>
                <w:sz w:val="15"/>
                <w:szCs w:val="15"/>
              </w:rPr>
              <w:t>1. Greater Transparency</w:t>
            </w:r>
          </w:p>
        </w:tc>
        <w:tc>
          <w:tcPr>
            <w:tcW w:w="2268" w:type="dxa"/>
            <w:tcBorders>
              <w:bottom w:val="single" w:sz="4" w:space="0" w:color="auto"/>
            </w:tcBorders>
            <w:shd w:val="clear" w:color="auto" w:fill="FF8E96"/>
          </w:tcPr>
          <w:p w14:paraId="346C5411" w14:textId="74ED573F" w:rsidR="00344C8F" w:rsidRPr="00DD10E9" w:rsidRDefault="00344C8F" w:rsidP="0000098D">
            <w:pPr>
              <w:rPr>
                <w:b/>
                <w:sz w:val="15"/>
                <w:szCs w:val="15"/>
              </w:rPr>
            </w:pPr>
            <w:r w:rsidRPr="00DD10E9">
              <w:rPr>
                <w:b/>
                <w:bCs/>
                <w:sz w:val="15"/>
                <w:szCs w:val="15"/>
                <w:lang w:val="en-US"/>
              </w:rPr>
              <w:t>2. Increasing support and funding tools for local and national responders</w:t>
            </w:r>
          </w:p>
        </w:tc>
        <w:tc>
          <w:tcPr>
            <w:tcW w:w="1842" w:type="dxa"/>
            <w:shd w:val="clear" w:color="auto" w:fill="FF8E96"/>
          </w:tcPr>
          <w:p w14:paraId="4C3B6EEC" w14:textId="01CAE292" w:rsidR="00344C8F" w:rsidRPr="00DD10E9" w:rsidRDefault="00344C8F" w:rsidP="0000098D">
            <w:pPr>
              <w:rPr>
                <w:b/>
                <w:sz w:val="15"/>
                <w:szCs w:val="15"/>
              </w:rPr>
            </w:pPr>
            <w:r w:rsidRPr="00DD10E9">
              <w:rPr>
                <w:b/>
                <w:sz w:val="15"/>
                <w:szCs w:val="15"/>
              </w:rPr>
              <w:t>3. Increase the use and coordination of cash-based programming</w:t>
            </w:r>
          </w:p>
        </w:tc>
        <w:tc>
          <w:tcPr>
            <w:tcW w:w="2127" w:type="dxa"/>
            <w:shd w:val="clear" w:color="auto" w:fill="FF8E96"/>
          </w:tcPr>
          <w:p w14:paraId="419BDACA" w14:textId="045494A8" w:rsidR="00344C8F" w:rsidRPr="00DD10E9" w:rsidRDefault="00344C8F" w:rsidP="0000098D">
            <w:pPr>
              <w:rPr>
                <w:b/>
                <w:sz w:val="15"/>
                <w:szCs w:val="15"/>
              </w:rPr>
            </w:pPr>
            <w:r w:rsidRPr="00DD10E9">
              <w:rPr>
                <w:b/>
                <w:bCs/>
                <w:sz w:val="15"/>
                <w:szCs w:val="15"/>
              </w:rPr>
              <w:t>4. Reduce duplication and management costs with periodic functional reviews</w:t>
            </w:r>
          </w:p>
        </w:tc>
        <w:tc>
          <w:tcPr>
            <w:tcW w:w="1985" w:type="dxa"/>
            <w:shd w:val="clear" w:color="auto" w:fill="FF8E96"/>
          </w:tcPr>
          <w:p w14:paraId="320086C8" w14:textId="310981E1" w:rsidR="00344C8F" w:rsidRPr="00DD10E9" w:rsidRDefault="00344C8F" w:rsidP="0000098D">
            <w:pPr>
              <w:rPr>
                <w:b/>
                <w:sz w:val="15"/>
                <w:szCs w:val="15"/>
              </w:rPr>
            </w:pPr>
            <w:r w:rsidRPr="00DD10E9">
              <w:rPr>
                <w:b/>
                <w:bCs/>
                <w:sz w:val="15"/>
                <w:szCs w:val="15"/>
              </w:rPr>
              <w:t>5. Improve joint and impartial needs assessments</w:t>
            </w:r>
          </w:p>
        </w:tc>
        <w:tc>
          <w:tcPr>
            <w:tcW w:w="2268" w:type="dxa"/>
            <w:shd w:val="clear" w:color="auto" w:fill="FF8E96"/>
          </w:tcPr>
          <w:p w14:paraId="3CE54EB8" w14:textId="1E92539B" w:rsidR="00344C8F" w:rsidRPr="00DD10E9" w:rsidRDefault="00344C8F" w:rsidP="0000098D">
            <w:pPr>
              <w:rPr>
                <w:b/>
                <w:sz w:val="15"/>
                <w:szCs w:val="15"/>
              </w:rPr>
            </w:pPr>
            <w:r w:rsidRPr="00DD10E9">
              <w:rPr>
                <w:b/>
                <w:bCs/>
                <w:sz w:val="15"/>
                <w:szCs w:val="15"/>
              </w:rPr>
              <w:t>6. Participation Revolution</w:t>
            </w:r>
          </w:p>
        </w:tc>
        <w:tc>
          <w:tcPr>
            <w:tcW w:w="2410" w:type="dxa"/>
            <w:shd w:val="clear" w:color="auto" w:fill="FF8E96"/>
          </w:tcPr>
          <w:p w14:paraId="7A9724E3" w14:textId="3024A947" w:rsidR="00344C8F" w:rsidRPr="00DD10E9" w:rsidRDefault="00344C8F" w:rsidP="0000098D">
            <w:pPr>
              <w:rPr>
                <w:sz w:val="15"/>
                <w:szCs w:val="15"/>
              </w:rPr>
            </w:pPr>
            <w:r w:rsidRPr="00DD10E9">
              <w:rPr>
                <w:b/>
                <w:sz w:val="15"/>
                <w:szCs w:val="15"/>
              </w:rPr>
              <w:t>7. Increase collaborative humanitarian multi-year planning and funding</w:t>
            </w:r>
          </w:p>
        </w:tc>
        <w:tc>
          <w:tcPr>
            <w:tcW w:w="2409" w:type="dxa"/>
            <w:tcBorders>
              <w:bottom w:val="single" w:sz="4" w:space="0" w:color="auto"/>
            </w:tcBorders>
            <w:shd w:val="clear" w:color="auto" w:fill="FF8E96"/>
          </w:tcPr>
          <w:p w14:paraId="554B31F2" w14:textId="4792DDB1" w:rsidR="00344C8F" w:rsidRPr="00DD10E9" w:rsidRDefault="00344C8F" w:rsidP="0000098D">
            <w:pPr>
              <w:rPr>
                <w:b/>
                <w:sz w:val="15"/>
                <w:szCs w:val="15"/>
              </w:rPr>
            </w:pPr>
            <w:r w:rsidRPr="00DD10E9">
              <w:rPr>
                <w:b/>
                <w:bCs/>
                <w:sz w:val="15"/>
                <w:szCs w:val="15"/>
              </w:rPr>
              <w:t>8. Reduce the earmarking of donor contributions</w:t>
            </w:r>
          </w:p>
        </w:tc>
        <w:tc>
          <w:tcPr>
            <w:tcW w:w="2127" w:type="dxa"/>
            <w:tcBorders>
              <w:bottom w:val="single" w:sz="4" w:space="0" w:color="auto"/>
            </w:tcBorders>
            <w:shd w:val="clear" w:color="auto" w:fill="FF8E96"/>
          </w:tcPr>
          <w:p w14:paraId="697A9253" w14:textId="392708A7" w:rsidR="00344C8F" w:rsidRPr="00DD10E9" w:rsidRDefault="00344C8F" w:rsidP="0000098D">
            <w:pPr>
              <w:rPr>
                <w:b/>
                <w:sz w:val="15"/>
                <w:szCs w:val="15"/>
              </w:rPr>
            </w:pPr>
            <w:r w:rsidRPr="00DD10E9">
              <w:rPr>
                <w:b/>
                <w:bCs/>
                <w:sz w:val="15"/>
                <w:szCs w:val="15"/>
              </w:rPr>
              <w:t>9. Harmonized and Simplified Reporting Requirements</w:t>
            </w:r>
          </w:p>
        </w:tc>
        <w:tc>
          <w:tcPr>
            <w:tcW w:w="2126" w:type="dxa"/>
            <w:shd w:val="clear" w:color="auto" w:fill="FF8E96"/>
          </w:tcPr>
          <w:p w14:paraId="136F172C" w14:textId="0D72001A" w:rsidR="00344C8F" w:rsidRPr="00DD10E9" w:rsidRDefault="00344C8F" w:rsidP="0000098D">
            <w:pPr>
              <w:rPr>
                <w:b/>
                <w:sz w:val="15"/>
                <w:szCs w:val="15"/>
              </w:rPr>
            </w:pPr>
            <w:r w:rsidRPr="00DD10E9">
              <w:rPr>
                <w:b/>
                <w:sz w:val="15"/>
                <w:szCs w:val="15"/>
              </w:rPr>
              <w:t>10. Enhance engagement between humanitarian and development actors</w:t>
            </w:r>
          </w:p>
        </w:tc>
      </w:tr>
      <w:tr w:rsidR="0000098D" w:rsidRPr="0000098D" w14:paraId="45907301" w14:textId="77777777" w:rsidTr="00BE4E08">
        <w:trPr>
          <w:trHeight w:val="2270"/>
        </w:trPr>
        <w:tc>
          <w:tcPr>
            <w:tcW w:w="846" w:type="dxa"/>
            <w:vMerge w:val="restart"/>
            <w:shd w:val="clear" w:color="auto" w:fill="FFFFFF" w:themeFill="background1"/>
          </w:tcPr>
          <w:p w14:paraId="6C59A83E" w14:textId="77777777" w:rsidR="00344C8F" w:rsidRPr="00DD10E9" w:rsidRDefault="00344C8F" w:rsidP="0000098D">
            <w:pPr>
              <w:rPr>
                <w:rFonts w:cs="Helv"/>
                <w:b/>
                <w:bCs/>
                <w:color w:val="000000"/>
                <w:sz w:val="15"/>
                <w:szCs w:val="15"/>
              </w:rPr>
            </w:pPr>
            <w:r w:rsidRPr="00DD10E9">
              <w:rPr>
                <w:rFonts w:cs="Helv"/>
                <w:b/>
                <w:bCs/>
                <w:color w:val="000000"/>
                <w:sz w:val="15"/>
                <w:szCs w:val="15"/>
              </w:rPr>
              <w:t>Activities</w:t>
            </w:r>
          </w:p>
        </w:tc>
        <w:tc>
          <w:tcPr>
            <w:tcW w:w="1984" w:type="dxa"/>
            <w:tcBorders>
              <w:bottom w:val="single" w:sz="4" w:space="0" w:color="auto"/>
            </w:tcBorders>
            <w:shd w:val="clear" w:color="auto" w:fill="FFFFFF" w:themeFill="background1"/>
          </w:tcPr>
          <w:p w14:paraId="34660444" w14:textId="5365F1D1" w:rsidR="00344C8F" w:rsidRPr="00DD10E9" w:rsidRDefault="00344C8F" w:rsidP="0000098D">
            <w:pPr>
              <w:rPr>
                <w:sz w:val="15"/>
                <w:szCs w:val="15"/>
              </w:rPr>
            </w:pPr>
            <w:r w:rsidRPr="00DD10E9">
              <w:rPr>
                <w:sz w:val="15"/>
                <w:szCs w:val="15"/>
              </w:rPr>
              <w:t>Netherlands to commission DI</w:t>
            </w:r>
            <w:r w:rsidRPr="00DD10E9">
              <w:rPr>
                <w:rStyle w:val="FootnoteReference"/>
                <w:sz w:val="15"/>
                <w:szCs w:val="15"/>
              </w:rPr>
              <w:footnoteReference w:id="1"/>
            </w:r>
            <w:r w:rsidRPr="00DD10E9">
              <w:rPr>
                <w:sz w:val="15"/>
                <w:szCs w:val="15"/>
              </w:rPr>
              <w:t xml:space="preserve"> to work with Sherpas to:</w:t>
            </w:r>
          </w:p>
          <w:p w14:paraId="48BE7148" w14:textId="441C336C" w:rsidR="00344C8F" w:rsidRPr="00DD10E9" w:rsidRDefault="00344C8F" w:rsidP="0000098D">
            <w:pPr>
              <w:pStyle w:val="ListParagraph"/>
              <w:numPr>
                <w:ilvl w:val="0"/>
                <w:numId w:val="21"/>
              </w:numPr>
              <w:ind w:left="156" w:hanging="156"/>
              <w:rPr>
                <w:sz w:val="15"/>
                <w:szCs w:val="15"/>
              </w:rPr>
            </w:pPr>
            <w:r w:rsidRPr="00DD10E9">
              <w:rPr>
                <w:sz w:val="15"/>
                <w:szCs w:val="15"/>
              </w:rPr>
              <w:t>Develop ‘the transparency dot on the horizon’ (where do we want to be in 2017/18?);</w:t>
            </w:r>
          </w:p>
          <w:p w14:paraId="4D0CA30F" w14:textId="598C2425" w:rsidR="00344C8F" w:rsidRPr="00DD10E9" w:rsidRDefault="00344C8F" w:rsidP="0000098D">
            <w:pPr>
              <w:pStyle w:val="ListParagraph"/>
              <w:numPr>
                <w:ilvl w:val="0"/>
                <w:numId w:val="21"/>
              </w:numPr>
              <w:ind w:left="156" w:hanging="156"/>
              <w:rPr>
                <w:sz w:val="15"/>
                <w:szCs w:val="15"/>
              </w:rPr>
            </w:pPr>
            <w:r w:rsidRPr="00DD10E9">
              <w:rPr>
                <w:sz w:val="15"/>
                <w:szCs w:val="15"/>
              </w:rPr>
              <w:t>Develop a baseline (survey);</w:t>
            </w:r>
          </w:p>
          <w:p w14:paraId="78D8505C" w14:textId="00453C41" w:rsidR="00344C8F" w:rsidRPr="00DD10E9" w:rsidRDefault="00344C8F" w:rsidP="0000098D">
            <w:pPr>
              <w:pStyle w:val="ListParagraph"/>
              <w:numPr>
                <w:ilvl w:val="0"/>
                <w:numId w:val="21"/>
              </w:numPr>
              <w:ind w:left="156" w:hanging="156"/>
              <w:rPr>
                <w:sz w:val="15"/>
                <w:szCs w:val="15"/>
              </w:rPr>
            </w:pPr>
            <w:r w:rsidRPr="00DD10E9">
              <w:rPr>
                <w:sz w:val="15"/>
                <w:szCs w:val="15"/>
              </w:rPr>
              <w:t>Support gap analysis &amp; prioritization;</w:t>
            </w:r>
          </w:p>
          <w:p w14:paraId="1D8FD86E" w14:textId="358DC85C" w:rsidR="00344C8F" w:rsidRPr="00DD10E9" w:rsidRDefault="00344C8F" w:rsidP="0000098D">
            <w:pPr>
              <w:pStyle w:val="ListParagraph"/>
              <w:numPr>
                <w:ilvl w:val="0"/>
                <w:numId w:val="21"/>
              </w:numPr>
              <w:ind w:left="156" w:hanging="156"/>
              <w:rPr>
                <w:sz w:val="15"/>
                <w:szCs w:val="15"/>
              </w:rPr>
            </w:pPr>
            <w:r w:rsidRPr="00DD10E9">
              <w:rPr>
                <w:sz w:val="15"/>
                <w:szCs w:val="15"/>
              </w:rPr>
              <w:t xml:space="preserve">Start a dialogue on common definitions leading to reduced reporting workload; </w:t>
            </w:r>
          </w:p>
          <w:p w14:paraId="326EA2F1" w14:textId="05BAA24E" w:rsidR="00344C8F" w:rsidRPr="00DD10E9" w:rsidRDefault="00344C8F" w:rsidP="0000098D">
            <w:pPr>
              <w:pStyle w:val="ListParagraph"/>
              <w:numPr>
                <w:ilvl w:val="0"/>
                <w:numId w:val="21"/>
              </w:numPr>
              <w:ind w:left="156" w:hanging="156"/>
              <w:rPr>
                <w:sz w:val="15"/>
                <w:szCs w:val="15"/>
              </w:rPr>
            </w:pPr>
            <w:r w:rsidRPr="00DD10E9">
              <w:rPr>
                <w:sz w:val="15"/>
                <w:szCs w:val="15"/>
              </w:rPr>
              <w:t>Improve traceability of funding</w:t>
            </w:r>
          </w:p>
          <w:p w14:paraId="36FDE4A0" w14:textId="77777777" w:rsidR="00344C8F" w:rsidRPr="00DD10E9" w:rsidRDefault="00344C8F" w:rsidP="0000098D">
            <w:pPr>
              <w:rPr>
                <w:sz w:val="15"/>
                <w:szCs w:val="15"/>
              </w:rPr>
            </w:pPr>
          </w:p>
        </w:tc>
        <w:tc>
          <w:tcPr>
            <w:tcW w:w="2268" w:type="dxa"/>
            <w:tcBorders>
              <w:bottom w:val="single" w:sz="4" w:space="0" w:color="auto"/>
            </w:tcBorders>
            <w:shd w:val="clear" w:color="auto" w:fill="F7CAAC" w:themeFill="accent2" w:themeFillTint="66"/>
          </w:tcPr>
          <w:p w14:paraId="503903FF" w14:textId="7B086871" w:rsidR="00344C8F" w:rsidRPr="00DD10E9" w:rsidRDefault="005A0946" w:rsidP="0000098D">
            <w:pPr>
              <w:rPr>
                <w:sz w:val="15"/>
                <w:szCs w:val="15"/>
              </w:rPr>
            </w:pPr>
            <w:r w:rsidRPr="00DD10E9">
              <w:rPr>
                <w:sz w:val="15"/>
                <w:szCs w:val="15"/>
              </w:rPr>
              <w:t xml:space="preserve">Adapt, support, establish </w:t>
            </w:r>
            <w:r w:rsidRPr="00DD10E9">
              <w:rPr>
                <w:b/>
                <w:sz w:val="15"/>
                <w:szCs w:val="15"/>
              </w:rPr>
              <w:t>p</w:t>
            </w:r>
            <w:r w:rsidR="00344C8F" w:rsidRPr="00DD10E9">
              <w:rPr>
                <w:b/>
                <w:sz w:val="15"/>
                <w:szCs w:val="15"/>
              </w:rPr>
              <w:t xml:space="preserve">ooled-funding </w:t>
            </w:r>
            <w:r w:rsidR="00344C8F" w:rsidRPr="00DD10E9">
              <w:rPr>
                <w:sz w:val="15"/>
                <w:szCs w:val="15"/>
              </w:rPr>
              <w:t xml:space="preserve">mechanisms: </w:t>
            </w:r>
          </w:p>
          <w:p w14:paraId="365B2E12" w14:textId="4045F36F" w:rsidR="00344C8F" w:rsidRPr="00DD10E9" w:rsidRDefault="00344C8F" w:rsidP="0000098D">
            <w:pPr>
              <w:pStyle w:val="ListParagraph"/>
              <w:numPr>
                <w:ilvl w:val="0"/>
                <w:numId w:val="18"/>
              </w:numPr>
              <w:ind w:left="152" w:hanging="152"/>
              <w:rPr>
                <w:sz w:val="15"/>
                <w:szCs w:val="15"/>
              </w:rPr>
            </w:pPr>
            <w:r w:rsidRPr="00DD10E9">
              <w:rPr>
                <w:sz w:val="15"/>
                <w:szCs w:val="15"/>
              </w:rPr>
              <w:t>Pilot locally managed pooled funds in at least 2 countries.</w:t>
            </w:r>
          </w:p>
          <w:p w14:paraId="6303399C" w14:textId="224CF184" w:rsidR="00344C8F" w:rsidRPr="00DD10E9" w:rsidRDefault="00344C8F" w:rsidP="0000098D">
            <w:pPr>
              <w:pStyle w:val="ListParagraph"/>
              <w:numPr>
                <w:ilvl w:val="0"/>
                <w:numId w:val="18"/>
              </w:numPr>
              <w:ind w:left="152" w:hanging="152"/>
              <w:rPr>
                <w:sz w:val="15"/>
                <w:szCs w:val="15"/>
              </w:rPr>
            </w:pPr>
            <w:r w:rsidRPr="00DD10E9">
              <w:rPr>
                <w:sz w:val="15"/>
                <w:szCs w:val="15"/>
              </w:rPr>
              <w:t>Adapt exiting pooled funds (e.g. CBPFs, DREF, START)</w:t>
            </w:r>
            <w:r w:rsidR="005A0946" w:rsidRPr="00DD10E9">
              <w:rPr>
                <w:rStyle w:val="FootnoteReference"/>
                <w:sz w:val="15"/>
                <w:szCs w:val="15"/>
              </w:rPr>
              <w:footnoteReference w:id="2"/>
            </w:r>
          </w:p>
          <w:p w14:paraId="04FB8E3C" w14:textId="77777777" w:rsidR="00344C8F" w:rsidRPr="00DD10E9" w:rsidRDefault="00344C8F" w:rsidP="0000098D">
            <w:pPr>
              <w:rPr>
                <w:sz w:val="15"/>
                <w:szCs w:val="15"/>
              </w:rPr>
            </w:pPr>
          </w:p>
        </w:tc>
        <w:tc>
          <w:tcPr>
            <w:tcW w:w="1842" w:type="dxa"/>
            <w:shd w:val="clear" w:color="auto" w:fill="FFFFFF" w:themeFill="background1"/>
          </w:tcPr>
          <w:p w14:paraId="5F62A1ED" w14:textId="77777777" w:rsidR="00344C8F" w:rsidRPr="00DD10E9" w:rsidRDefault="00344C8F" w:rsidP="0000098D">
            <w:pPr>
              <w:rPr>
                <w:sz w:val="15"/>
                <w:szCs w:val="15"/>
              </w:rPr>
            </w:pPr>
            <w:r w:rsidRPr="00DD10E9">
              <w:rPr>
                <w:sz w:val="15"/>
                <w:szCs w:val="15"/>
              </w:rPr>
              <w:t xml:space="preserve">Sharing good </w:t>
            </w:r>
            <w:r w:rsidRPr="00DD10E9">
              <w:rPr>
                <w:b/>
                <w:sz w:val="15"/>
                <w:szCs w:val="15"/>
              </w:rPr>
              <w:t>positive examples</w:t>
            </w:r>
            <w:r w:rsidRPr="00DD10E9">
              <w:rPr>
                <w:sz w:val="15"/>
                <w:szCs w:val="15"/>
              </w:rPr>
              <w:t xml:space="preserve"> (benefits and impact for recipients)</w:t>
            </w:r>
          </w:p>
          <w:p w14:paraId="6F2F0367" w14:textId="3AE1D6D5" w:rsidR="00344C8F" w:rsidRPr="00DD10E9" w:rsidRDefault="00344C8F" w:rsidP="0000098D">
            <w:pPr>
              <w:rPr>
                <w:sz w:val="15"/>
                <w:szCs w:val="15"/>
              </w:rPr>
            </w:pPr>
          </w:p>
        </w:tc>
        <w:tc>
          <w:tcPr>
            <w:tcW w:w="2127" w:type="dxa"/>
          </w:tcPr>
          <w:p w14:paraId="1B25384F" w14:textId="3BD79645" w:rsidR="00344C8F" w:rsidRPr="00DD10E9" w:rsidRDefault="00344C8F" w:rsidP="0000098D">
            <w:pPr>
              <w:rPr>
                <w:sz w:val="15"/>
                <w:szCs w:val="15"/>
              </w:rPr>
            </w:pPr>
            <w:r w:rsidRPr="00DD10E9">
              <w:rPr>
                <w:sz w:val="15"/>
                <w:szCs w:val="15"/>
              </w:rPr>
              <w:t xml:space="preserve">UNHCR, UNICEF, &amp; WFP are exploring </w:t>
            </w:r>
            <w:r w:rsidRPr="00DD10E9">
              <w:rPr>
                <w:b/>
                <w:sz w:val="15"/>
                <w:szCs w:val="15"/>
              </w:rPr>
              <w:t xml:space="preserve">harmonizing approaches to partnership with NGOs: </w:t>
            </w:r>
            <w:r w:rsidRPr="00DD10E9">
              <w:rPr>
                <w:sz w:val="15"/>
                <w:szCs w:val="15"/>
              </w:rPr>
              <w:t>(a) due diligence and partner assessment criteria, (b) agreement templates, (c) reporting formats, (d) audit and (e) pre-qualification for procurement.  Once the initial work is completed, other organizations will be invited to join.</w:t>
            </w:r>
          </w:p>
        </w:tc>
        <w:tc>
          <w:tcPr>
            <w:tcW w:w="1985" w:type="dxa"/>
          </w:tcPr>
          <w:p w14:paraId="73CF9E34" w14:textId="54C86DE7" w:rsidR="00344C8F" w:rsidRPr="00DD10E9" w:rsidRDefault="00344C8F" w:rsidP="0000098D">
            <w:pPr>
              <w:rPr>
                <w:sz w:val="15"/>
                <w:szCs w:val="15"/>
              </w:rPr>
            </w:pPr>
            <w:r w:rsidRPr="00DD10E9">
              <w:rPr>
                <w:sz w:val="15"/>
                <w:szCs w:val="15"/>
              </w:rPr>
              <w:t xml:space="preserve">The EC plans, together with interested parties, to launch a </w:t>
            </w:r>
            <w:r w:rsidRPr="00DD10E9">
              <w:rPr>
                <w:b/>
                <w:sz w:val="15"/>
                <w:szCs w:val="15"/>
              </w:rPr>
              <w:t>baseline study</w:t>
            </w:r>
            <w:r w:rsidRPr="00DD10E9">
              <w:rPr>
                <w:sz w:val="15"/>
                <w:szCs w:val="15"/>
              </w:rPr>
              <w:t xml:space="preserve"> to assess to which degree the needs assessments of the past years met the criteria of the GB commitments.</w:t>
            </w:r>
          </w:p>
        </w:tc>
        <w:tc>
          <w:tcPr>
            <w:tcW w:w="2268" w:type="dxa"/>
            <w:shd w:val="clear" w:color="auto" w:fill="B4C6E7" w:themeFill="accent5" w:themeFillTint="66"/>
          </w:tcPr>
          <w:p w14:paraId="6E9E1229" w14:textId="77777777" w:rsidR="00344C8F" w:rsidRPr="00DD10E9" w:rsidRDefault="00344C8F" w:rsidP="0000098D">
            <w:pPr>
              <w:rPr>
                <w:sz w:val="15"/>
                <w:szCs w:val="15"/>
              </w:rPr>
            </w:pPr>
            <w:r w:rsidRPr="00DD10E9">
              <w:rPr>
                <w:sz w:val="15"/>
                <w:szCs w:val="15"/>
              </w:rPr>
              <w:t xml:space="preserve">IASC AAP/PSEA TT proposing a </w:t>
            </w:r>
            <w:r w:rsidRPr="00DD10E9">
              <w:rPr>
                <w:b/>
                <w:sz w:val="15"/>
                <w:szCs w:val="15"/>
              </w:rPr>
              <w:t>light, refined version of the Commitments</w:t>
            </w:r>
            <w:r w:rsidRPr="00DD10E9">
              <w:rPr>
                <w:sz w:val="15"/>
                <w:szCs w:val="15"/>
              </w:rPr>
              <w:t xml:space="preserve"> on AAP to reinforce leadership accountabilities across agency heads, cluster leads, and HC/HCTs.</w:t>
            </w:r>
          </w:p>
          <w:p w14:paraId="412BA79B" w14:textId="77777777" w:rsidR="00344C8F" w:rsidRPr="00DD10E9" w:rsidRDefault="00344C8F" w:rsidP="0000098D">
            <w:pPr>
              <w:rPr>
                <w:sz w:val="15"/>
                <w:szCs w:val="15"/>
              </w:rPr>
            </w:pPr>
          </w:p>
          <w:p w14:paraId="44761125" w14:textId="77777777" w:rsidR="00344C8F" w:rsidRPr="00DD10E9" w:rsidRDefault="00344C8F" w:rsidP="0000098D">
            <w:pPr>
              <w:rPr>
                <w:sz w:val="15"/>
                <w:szCs w:val="15"/>
              </w:rPr>
            </w:pPr>
          </w:p>
        </w:tc>
        <w:tc>
          <w:tcPr>
            <w:tcW w:w="2410" w:type="dxa"/>
            <w:shd w:val="clear" w:color="auto" w:fill="C5E0B3" w:themeFill="accent6" w:themeFillTint="66"/>
          </w:tcPr>
          <w:p w14:paraId="23D4339A" w14:textId="620E8670" w:rsidR="00344C8F" w:rsidRPr="00DD10E9" w:rsidRDefault="00344C8F" w:rsidP="0000098D">
            <w:pPr>
              <w:rPr>
                <w:b/>
                <w:sz w:val="15"/>
                <w:szCs w:val="15"/>
              </w:rPr>
            </w:pPr>
            <w:r w:rsidRPr="00DD10E9">
              <w:rPr>
                <w:b/>
                <w:sz w:val="15"/>
                <w:szCs w:val="15"/>
              </w:rPr>
              <w:t>HCTs intend to use multi-year planning</w:t>
            </w:r>
            <w:r w:rsidRPr="00DD10E9">
              <w:rPr>
                <w:sz w:val="15"/>
                <w:szCs w:val="15"/>
              </w:rPr>
              <w:t xml:space="preserve"> in the Sahel (Niger, Mali, Nigeria, Chad, Cameroon), Somalia, DRC, &amp; CAR</w:t>
            </w:r>
          </w:p>
        </w:tc>
        <w:tc>
          <w:tcPr>
            <w:tcW w:w="2409" w:type="dxa"/>
            <w:shd w:val="clear" w:color="auto" w:fill="F7CAAC" w:themeFill="accent2" w:themeFillTint="66"/>
          </w:tcPr>
          <w:p w14:paraId="684FA88A" w14:textId="77777777" w:rsidR="00344C8F" w:rsidRPr="00DD10E9" w:rsidRDefault="00344C8F" w:rsidP="0000098D">
            <w:pPr>
              <w:rPr>
                <w:sz w:val="15"/>
                <w:szCs w:val="15"/>
              </w:rPr>
            </w:pPr>
            <w:r w:rsidRPr="00DD10E9">
              <w:rPr>
                <w:sz w:val="15"/>
                <w:szCs w:val="15"/>
              </w:rPr>
              <w:t xml:space="preserve">The co-convenors will reach out to the chairs of GHD, IASC HFTT, PFWG to </w:t>
            </w:r>
            <w:r w:rsidRPr="00DD10E9">
              <w:rPr>
                <w:b/>
                <w:sz w:val="15"/>
                <w:szCs w:val="15"/>
              </w:rPr>
              <w:t>define how best to integrate the commitments</w:t>
            </w:r>
            <w:r w:rsidRPr="00DD10E9">
              <w:rPr>
                <w:sz w:val="15"/>
                <w:szCs w:val="15"/>
              </w:rPr>
              <w:t xml:space="preserve"> on reducing earmarking in their </w:t>
            </w:r>
            <w:proofErr w:type="spellStart"/>
            <w:r w:rsidRPr="00DD10E9">
              <w:rPr>
                <w:sz w:val="15"/>
                <w:szCs w:val="15"/>
              </w:rPr>
              <w:t>workplans</w:t>
            </w:r>
            <w:proofErr w:type="spellEnd"/>
            <w:r w:rsidRPr="00DD10E9">
              <w:rPr>
                <w:sz w:val="15"/>
                <w:szCs w:val="15"/>
              </w:rPr>
              <w:t>, with a focus on:</w:t>
            </w:r>
          </w:p>
          <w:p w14:paraId="53019CC9" w14:textId="77777777" w:rsidR="00344C8F" w:rsidRPr="00DD10E9" w:rsidRDefault="00344C8F" w:rsidP="0000098D">
            <w:pPr>
              <w:pStyle w:val="ListParagraph"/>
              <w:numPr>
                <w:ilvl w:val="0"/>
                <w:numId w:val="19"/>
              </w:numPr>
              <w:ind w:left="302" w:hanging="270"/>
              <w:rPr>
                <w:sz w:val="15"/>
                <w:szCs w:val="15"/>
              </w:rPr>
            </w:pPr>
            <w:r w:rsidRPr="00DD10E9">
              <w:rPr>
                <w:sz w:val="15"/>
                <w:szCs w:val="15"/>
              </w:rPr>
              <w:t>Mini-targets</w:t>
            </w:r>
          </w:p>
          <w:p w14:paraId="7FE89F03" w14:textId="77777777" w:rsidR="00344C8F" w:rsidRPr="00DD10E9" w:rsidRDefault="00344C8F" w:rsidP="0000098D">
            <w:pPr>
              <w:pStyle w:val="ListParagraph"/>
              <w:numPr>
                <w:ilvl w:val="0"/>
                <w:numId w:val="19"/>
              </w:numPr>
              <w:ind w:left="302" w:hanging="270"/>
              <w:rPr>
                <w:sz w:val="15"/>
                <w:szCs w:val="15"/>
              </w:rPr>
            </w:pPr>
            <w:r w:rsidRPr="00DD10E9">
              <w:rPr>
                <w:sz w:val="15"/>
                <w:szCs w:val="15"/>
              </w:rPr>
              <w:t>Shared understanding</w:t>
            </w:r>
          </w:p>
          <w:p w14:paraId="1A2927AF" w14:textId="77777777" w:rsidR="00344C8F" w:rsidRPr="00DD10E9" w:rsidRDefault="00344C8F" w:rsidP="0000098D">
            <w:pPr>
              <w:pStyle w:val="ListParagraph"/>
              <w:numPr>
                <w:ilvl w:val="0"/>
                <w:numId w:val="19"/>
              </w:numPr>
              <w:ind w:left="302" w:hanging="270"/>
              <w:rPr>
                <w:sz w:val="15"/>
                <w:szCs w:val="15"/>
              </w:rPr>
            </w:pPr>
            <w:r w:rsidRPr="00DD10E9">
              <w:rPr>
                <w:sz w:val="15"/>
                <w:szCs w:val="15"/>
              </w:rPr>
              <w:t>List of requirements</w:t>
            </w:r>
          </w:p>
          <w:p w14:paraId="37E42623" w14:textId="77777777" w:rsidR="00344C8F" w:rsidRPr="00DD10E9" w:rsidRDefault="00344C8F" w:rsidP="0000098D">
            <w:pPr>
              <w:pStyle w:val="ListParagraph"/>
              <w:numPr>
                <w:ilvl w:val="0"/>
                <w:numId w:val="19"/>
              </w:numPr>
              <w:ind w:left="302" w:hanging="270"/>
              <w:rPr>
                <w:sz w:val="15"/>
                <w:szCs w:val="15"/>
              </w:rPr>
            </w:pPr>
            <w:r w:rsidRPr="00DD10E9">
              <w:rPr>
                <w:sz w:val="15"/>
                <w:szCs w:val="15"/>
              </w:rPr>
              <w:t>Showcasing benefits</w:t>
            </w:r>
          </w:p>
          <w:p w14:paraId="4697E415" w14:textId="77777777" w:rsidR="00344C8F" w:rsidRPr="00DD10E9" w:rsidRDefault="00344C8F" w:rsidP="0000098D">
            <w:pPr>
              <w:pStyle w:val="ListParagraph"/>
              <w:numPr>
                <w:ilvl w:val="0"/>
                <w:numId w:val="19"/>
              </w:numPr>
              <w:ind w:left="302" w:hanging="270"/>
              <w:rPr>
                <w:sz w:val="15"/>
                <w:szCs w:val="15"/>
              </w:rPr>
            </w:pPr>
            <w:r w:rsidRPr="00DD10E9">
              <w:rPr>
                <w:sz w:val="15"/>
                <w:szCs w:val="15"/>
              </w:rPr>
              <w:t>Gathering data</w:t>
            </w:r>
          </w:p>
          <w:p w14:paraId="4F1B9014" w14:textId="77777777" w:rsidR="00344C8F" w:rsidRPr="00DD10E9" w:rsidRDefault="00344C8F" w:rsidP="0000098D">
            <w:pPr>
              <w:rPr>
                <w:sz w:val="15"/>
                <w:szCs w:val="15"/>
              </w:rPr>
            </w:pPr>
          </w:p>
        </w:tc>
        <w:tc>
          <w:tcPr>
            <w:tcW w:w="2127" w:type="dxa"/>
            <w:shd w:val="clear" w:color="auto" w:fill="F7CAAC" w:themeFill="accent2" w:themeFillTint="66"/>
          </w:tcPr>
          <w:p w14:paraId="75DC73CA" w14:textId="2983CA4F" w:rsidR="00344C8F" w:rsidRPr="00DD10E9" w:rsidRDefault="00344C8F" w:rsidP="0000098D">
            <w:pPr>
              <w:rPr>
                <w:sz w:val="15"/>
                <w:szCs w:val="15"/>
              </w:rPr>
            </w:pPr>
            <w:r w:rsidRPr="00DD10E9">
              <w:rPr>
                <w:sz w:val="15"/>
                <w:szCs w:val="15"/>
              </w:rPr>
              <w:t xml:space="preserve">The IASC HFTT and GHD will host a workshop in November 2016 </w:t>
            </w:r>
            <w:proofErr w:type="spellStart"/>
            <w:r w:rsidRPr="00DD10E9">
              <w:rPr>
                <w:sz w:val="15"/>
                <w:szCs w:val="15"/>
              </w:rPr>
              <w:t>conventing</w:t>
            </w:r>
            <w:proofErr w:type="spellEnd"/>
            <w:r w:rsidRPr="00DD10E9">
              <w:rPr>
                <w:sz w:val="15"/>
                <w:szCs w:val="15"/>
              </w:rPr>
              <w:t xml:space="preserve"> </w:t>
            </w:r>
            <w:r w:rsidRPr="00DD10E9">
              <w:rPr>
                <w:b/>
                <w:sz w:val="15"/>
                <w:szCs w:val="15"/>
              </w:rPr>
              <w:t>reporting experts</w:t>
            </w:r>
            <w:r w:rsidRPr="00DD10E9">
              <w:rPr>
                <w:sz w:val="15"/>
                <w:szCs w:val="15"/>
              </w:rPr>
              <w:t xml:space="preserve"> from the donor, UN and NGO community to discuss the proposed GPPI reporting template and articulate a path forward for various collective actions.</w:t>
            </w:r>
          </w:p>
        </w:tc>
        <w:tc>
          <w:tcPr>
            <w:tcW w:w="2126" w:type="dxa"/>
          </w:tcPr>
          <w:p w14:paraId="1ECC62A7" w14:textId="5360657D" w:rsidR="00344C8F" w:rsidRPr="00DD10E9" w:rsidRDefault="00344C8F" w:rsidP="0000098D">
            <w:pPr>
              <w:rPr>
                <w:sz w:val="15"/>
                <w:szCs w:val="15"/>
              </w:rPr>
            </w:pPr>
            <w:r w:rsidRPr="00DD10E9">
              <w:rPr>
                <w:sz w:val="15"/>
                <w:szCs w:val="15"/>
              </w:rPr>
              <w:t xml:space="preserve">UNDP &amp; Denmark to establish </w:t>
            </w:r>
            <w:r w:rsidRPr="00DD10E9">
              <w:rPr>
                <w:b/>
                <w:sz w:val="15"/>
                <w:szCs w:val="15"/>
              </w:rPr>
              <w:t>online platform</w:t>
            </w:r>
            <w:r w:rsidRPr="00DD10E9">
              <w:rPr>
                <w:sz w:val="15"/>
                <w:szCs w:val="15"/>
              </w:rPr>
              <w:t xml:space="preserve"> for informati</w:t>
            </w:r>
            <w:r w:rsidR="00BE4E08">
              <w:rPr>
                <w:sz w:val="15"/>
                <w:szCs w:val="15"/>
              </w:rPr>
              <w:t>on exchange on initiatives, cap</w:t>
            </w:r>
            <w:r w:rsidRPr="00DD10E9">
              <w:rPr>
                <w:sz w:val="15"/>
                <w:szCs w:val="15"/>
              </w:rPr>
              <w:t xml:space="preserve">turing best practices, &amp; knowledge management.  </w:t>
            </w:r>
          </w:p>
        </w:tc>
      </w:tr>
      <w:tr w:rsidR="0000098D" w:rsidRPr="0000098D" w14:paraId="4A0656D9" w14:textId="77777777" w:rsidTr="00BE4E08">
        <w:trPr>
          <w:trHeight w:val="1034"/>
        </w:trPr>
        <w:tc>
          <w:tcPr>
            <w:tcW w:w="846" w:type="dxa"/>
            <w:vMerge/>
            <w:shd w:val="clear" w:color="auto" w:fill="FFFFFF" w:themeFill="background1"/>
          </w:tcPr>
          <w:p w14:paraId="5198B49F" w14:textId="5B796139" w:rsidR="00344C8F" w:rsidRPr="00DD10E9" w:rsidRDefault="00344C8F" w:rsidP="0000098D">
            <w:pPr>
              <w:rPr>
                <w:rFonts w:cs="Helv"/>
                <w:b/>
                <w:bCs/>
                <w:color w:val="000000"/>
                <w:sz w:val="15"/>
                <w:szCs w:val="15"/>
              </w:rPr>
            </w:pPr>
          </w:p>
        </w:tc>
        <w:tc>
          <w:tcPr>
            <w:tcW w:w="1984" w:type="dxa"/>
            <w:shd w:val="clear" w:color="auto" w:fill="F7CAAC" w:themeFill="accent2" w:themeFillTint="66"/>
          </w:tcPr>
          <w:p w14:paraId="27A216A6" w14:textId="1882E08F" w:rsidR="00344C8F" w:rsidRPr="00DD10E9" w:rsidRDefault="00344C8F" w:rsidP="0000098D">
            <w:pPr>
              <w:rPr>
                <w:sz w:val="15"/>
                <w:szCs w:val="15"/>
              </w:rPr>
            </w:pPr>
            <w:r w:rsidRPr="00DD10E9">
              <w:rPr>
                <w:sz w:val="15"/>
                <w:szCs w:val="15"/>
              </w:rPr>
              <w:t xml:space="preserve">IASC Humanitarian Financing Task Team (HFTT) work plan includes activities related to developing IATI guidelines (how to use it, how it relates to FTS) and FTS policy (reporting commitments, criteria for inclusion). </w:t>
            </w:r>
          </w:p>
        </w:tc>
        <w:tc>
          <w:tcPr>
            <w:tcW w:w="2268" w:type="dxa"/>
            <w:shd w:val="clear" w:color="auto" w:fill="DBDBDB" w:themeFill="accent3" w:themeFillTint="66"/>
          </w:tcPr>
          <w:p w14:paraId="0DC6040B" w14:textId="77777777" w:rsidR="00344C8F" w:rsidRPr="00DD10E9" w:rsidRDefault="00344C8F" w:rsidP="0000098D">
            <w:pPr>
              <w:rPr>
                <w:sz w:val="15"/>
                <w:szCs w:val="15"/>
              </w:rPr>
            </w:pPr>
            <w:r w:rsidRPr="00DD10E9">
              <w:rPr>
                <w:sz w:val="15"/>
                <w:szCs w:val="15"/>
              </w:rPr>
              <w:t>Increasing meaningful participation in Humanitarian Country Teams (HCTs)</w:t>
            </w:r>
          </w:p>
          <w:p w14:paraId="4065B9C5" w14:textId="77777777" w:rsidR="00344C8F" w:rsidRPr="00DD10E9" w:rsidRDefault="00344C8F" w:rsidP="0000098D">
            <w:pPr>
              <w:rPr>
                <w:sz w:val="15"/>
                <w:szCs w:val="15"/>
              </w:rPr>
            </w:pPr>
          </w:p>
        </w:tc>
        <w:tc>
          <w:tcPr>
            <w:tcW w:w="1842" w:type="dxa"/>
            <w:shd w:val="clear" w:color="auto" w:fill="FFFFFF" w:themeFill="background1"/>
          </w:tcPr>
          <w:p w14:paraId="65EAE55A" w14:textId="77777777" w:rsidR="00344C8F" w:rsidRPr="00DD10E9" w:rsidRDefault="00344C8F" w:rsidP="0000098D">
            <w:pPr>
              <w:rPr>
                <w:sz w:val="15"/>
                <w:szCs w:val="15"/>
              </w:rPr>
            </w:pPr>
            <w:r w:rsidRPr="00DD10E9">
              <w:rPr>
                <w:sz w:val="15"/>
                <w:szCs w:val="15"/>
              </w:rPr>
              <w:t xml:space="preserve">Communicating high level political and public </w:t>
            </w:r>
            <w:r w:rsidRPr="00DD10E9">
              <w:rPr>
                <w:b/>
                <w:sz w:val="15"/>
                <w:szCs w:val="15"/>
              </w:rPr>
              <w:t>messages</w:t>
            </w:r>
            <w:r w:rsidRPr="00DD10E9">
              <w:rPr>
                <w:sz w:val="15"/>
                <w:szCs w:val="15"/>
              </w:rPr>
              <w:t xml:space="preserve"> (Q&amp;A)</w:t>
            </w:r>
          </w:p>
          <w:p w14:paraId="6786FC60" w14:textId="418C5A01" w:rsidR="00344C8F" w:rsidRPr="00DD10E9" w:rsidRDefault="00344C8F" w:rsidP="0000098D">
            <w:pPr>
              <w:rPr>
                <w:sz w:val="15"/>
                <w:szCs w:val="15"/>
              </w:rPr>
            </w:pPr>
          </w:p>
        </w:tc>
        <w:tc>
          <w:tcPr>
            <w:tcW w:w="2127" w:type="dxa"/>
            <w:tcBorders>
              <w:bottom w:val="single" w:sz="4" w:space="0" w:color="auto"/>
            </w:tcBorders>
          </w:tcPr>
          <w:p w14:paraId="58ACB978" w14:textId="7395E2F2" w:rsidR="00344C8F" w:rsidRPr="00DD10E9" w:rsidRDefault="00344C8F" w:rsidP="0000098D">
            <w:pPr>
              <w:rPr>
                <w:b/>
                <w:sz w:val="15"/>
                <w:szCs w:val="15"/>
              </w:rPr>
            </w:pPr>
            <w:r w:rsidRPr="00DD10E9">
              <w:rPr>
                <w:sz w:val="15"/>
                <w:szCs w:val="15"/>
              </w:rPr>
              <w:t xml:space="preserve">UNHCR has commissioned a consultant to review duplication amongst UN agencies </w:t>
            </w:r>
            <w:r w:rsidR="007435A7" w:rsidRPr="00DD10E9">
              <w:rPr>
                <w:sz w:val="15"/>
                <w:szCs w:val="15"/>
              </w:rPr>
              <w:t xml:space="preserve">in the </w:t>
            </w:r>
            <w:r w:rsidR="007435A7" w:rsidRPr="00DD10E9">
              <w:rPr>
                <w:b/>
                <w:sz w:val="15"/>
                <w:szCs w:val="15"/>
              </w:rPr>
              <w:t>UN Proc</w:t>
            </w:r>
            <w:r w:rsidRPr="00DD10E9">
              <w:rPr>
                <w:b/>
                <w:sz w:val="15"/>
                <w:szCs w:val="15"/>
              </w:rPr>
              <w:t>u</w:t>
            </w:r>
            <w:r w:rsidR="007435A7" w:rsidRPr="00DD10E9">
              <w:rPr>
                <w:b/>
                <w:sz w:val="15"/>
                <w:szCs w:val="15"/>
              </w:rPr>
              <w:t>r</w:t>
            </w:r>
            <w:r w:rsidRPr="00DD10E9">
              <w:rPr>
                <w:b/>
                <w:sz w:val="15"/>
                <w:szCs w:val="15"/>
              </w:rPr>
              <w:t>em</w:t>
            </w:r>
            <w:r w:rsidR="007435A7" w:rsidRPr="00DD10E9">
              <w:rPr>
                <w:b/>
                <w:sz w:val="15"/>
                <w:szCs w:val="15"/>
              </w:rPr>
              <w:t>e</w:t>
            </w:r>
            <w:r w:rsidRPr="00DD10E9">
              <w:rPr>
                <w:b/>
                <w:sz w:val="15"/>
                <w:szCs w:val="15"/>
              </w:rPr>
              <w:t>nt Network.</w:t>
            </w:r>
          </w:p>
          <w:p w14:paraId="755419B7" w14:textId="77777777" w:rsidR="00344C8F" w:rsidRPr="00DD10E9" w:rsidRDefault="00344C8F" w:rsidP="0000098D">
            <w:pPr>
              <w:rPr>
                <w:sz w:val="15"/>
                <w:szCs w:val="15"/>
              </w:rPr>
            </w:pPr>
          </w:p>
          <w:p w14:paraId="2EB0B47B" w14:textId="77777777" w:rsidR="00344C8F" w:rsidRPr="00DD10E9" w:rsidRDefault="00344C8F" w:rsidP="0000098D">
            <w:pPr>
              <w:rPr>
                <w:sz w:val="15"/>
                <w:szCs w:val="15"/>
              </w:rPr>
            </w:pPr>
          </w:p>
        </w:tc>
        <w:tc>
          <w:tcPr>
            <w:tcW w:w="1985" w:type="dxa"/>
            <w:tcBorders>
              <w:bottom w:val="single" w:sz="4" w:space="0" w:color="auto"/>
            </w:tcBorders>
            <w:shd w:val="clear" w:color="auto" w:fill="C5E0B3" w:themeFill="accent6" w:themeFillTint="66"/>
          </w:tcPr>
          <w:p w14:paraId="1D584F44" w14:textId="282D169A" w:rsidR="00344C8F" w:rsidRPr="00DD10E9" w:rsidRDefault="00344C8F" w:rsidP="0000098D">
            <w:pPr>
              <w:rPr>
                <w:sz w:val="15"/>
                <w:szCs w:val="15"/>
              </w:rPr>
            </w:pPr>
            <w:r w:rsidRPr="00DD10E9">
              <w:rPr>
                <w:sz w:val="15"/>
                <w:szCs w:val="15"/>
              </w:rPr>
              <w:t xml:space="preserve">The EC and OCHA as co-facilitators will organize </w:t>
            </w:r>
            <w:r w:rsidRPr="00DD10E9">
              <w:rPr>
                <w:b/>
                <w:sz w:val="15"/>
                <w:szCs w:val="15"/>
              </w:rPr>
              <w:t>technical workshop</w:t>
            </w:r>
            <w:r w:rsidRPr="00DD10E9">
              <w:rPr>
                <w:sz w:val="15"/>
                <w:szCs w:val="15"/>
              </w:rPr>
              <w:t xml:space="preserve"> with all relevant stakeholders to launch baseline study, to come to a shared understanding of the problem and to identify steps forward.</w:t>
            </w:r>
          </w:p>
        </w:tc>
        <w:tc>
          <w:tcPr>
            <w:tcW w:w="2268" w:type="dxa"/>
            <w:tcBorders>
              <w:bottom w:val="single" w:sz="4" w:space="0" w:color="auto"/>
            </w:tcBorders>
          </w:tcPr>
          <w:p w14:paraId="4546EE5D" w14:textId="42C9B0C3" w:rsidR="00344C8F" w:rsidRPr="00DD10E9" w:rsidRDefault="00344C8F" w:rsidP="0000098D">
            <w:pPr>
              <w:rPr>
                <w:sz w:val="15"/>
                <w:szCs w:val="15"/>
              </w:rPr>
            </w:pPr>
            <w:r w:rsidRPr="00DD10E9">
              <w:rPr>
                <w:bCs/>
                <w:sz w:val="15"/>
                <w:szCs w:val="15"/>
              </w:rPr>
              <w:t xml:space="preserve">UNICEF, IFRC &amp; 40 organizations (w/ CSOs) setting out an </w:t>
            </w:r>
            <w:r w:rsidRPr="00DD10E9">
              <w:rPr>
                <w:b/>
                <w:bCs/>
                <w:sz w:val="15"/>
                <w:szCs w:val="15"/>
              </w:rPr>
              <w:t>inter-organizational group</w:t>
            </w:r>
            <w:r w:rsidRPr="00DD10E9">
              <w:rPr>
                <w:bCs/>
                <w:sz w:val="15"/>
                <w:szCs w:val="15"/>
              </w:rPr>
              <w:t xml:space="preserve"> to create a common communication &amp; community engagement mechanism.</w:t>
            </w:r>
          </w:p>
        </w:tc>
        <w:tc>
          <w:tcPr>
            <w:tcW w:w="2410" w:type="dxa"/>
            <w:tcBorders>
              <w:bottom w:val="single" w:sz="4" w:space="0" w:color="auto"/>
            </w:tcBorders>
            <w:shd w:val="clear" w:color="auto" w:fill="C5E0B3" w:themeFill="accent6" w:themeFillTint="66"/>
          </w:tcPr>
          <w:p w14:paraId="37B80D55" w14:textId="0E53F98B" w:rsidR="00344C8F" w:rsidRPr="00DD10E9" w:rsidRDefault="00344C8F" w:rsidP="0000098D">
            <w:pPr>
              <w:rPr>
                <w:b/>
                <w:sz w:val="15"/>
                <w:szCs w:val="15"/>
              </w:rPr>
            </w:pPr>
            <w:r w:rsidRPr="00DD10E9">
              <w:rPr>
                <w:sz w:val="15"/>
                <w:szCs w:val="15"/>
              </w:rPr>
              <w:t xml:space="preserve">OCHA </w:t>
            </w:r>
            <w:r w:rsidRPr="00DD10E9">
              <w:rPr>
                <w:b/>
                <w:sz w:val="15"/>
                <w:szCs w:val="15"/>
              </w:rPr>
              <w:t>evaluation of multi-year planning</w:t>
            </w:r>
            <w:r w:rsidRPr="00DD10E9">
              <w:rPr>
                <w:sz w:val="15"/>
                <w:szCs w:val="15"/>
              </w:rPr>
              <w:t xml:space="preserve"> will inform 2018 Humanitarian Programme Cycle and possible guidance; case studies = </w:t>
            </w:r>
            <w:proofErr w:type="spellStart"/>
            <w:r w:rsidRPr="00DD10E9">
              <w:rPr>
                <w:sz w:val="15"/>
                <w:szCs w:val="15"/>
              </w:rPr>
              <w:t>Myanpar</w:t>
            </w:r>
            <w:proofErr w:type="spellEnd"/>
            <w:r w:rsidRPr="00DD10E9">
              <w:rPr>
                <w:sz w:val="15"/>
                <w:szCs w:val="15"/>
              </w:rPr>
              <w:t xml:space="preserve">, </w:t>
            </w:r>
            <w:proofErr w:type="spellStart"/>
            <w:r w:rsidRPr="00DD10E9">
              <w:rPr>
                <w:sz w:val="15"/>
                <w:szCs w:val="15"/>
              </w:rPr>
              <w:t>OpT</w:t>
            </w:r>
            <w:proofErr w:type="spellEnd"/>
            <w:r w:rsidRPr="00DD10E9">
              <w:rPr>
                <w:sz w:val="15"/>
                <w:szCs w:val="15"/>
              </w:rPr>
              <w:t>, Haiti, Somalia</w:t>
            </w:r>
          </w:p>
        </w:tc>
        <w:tc>
          <w:tcPr>
            <w:tcW w:w="2409" w:type="dxa"/>
            <w:tcBorders>
              <w:bottom w:val="single" w:sz="4" w:space="0" w:color="auto"/>
            </w:tcBorders>
          </w:tcPr>
          <w:p w14:paraId="32FF1FD2" w14:textId="7B2DC1F9" w:rsidR="00344C8F" w:rsidRPr="00DD10E9" w:rsidRDefault="00344C8F" w:rsidP="0000098D">
            <w:pPr>
              <w:rPr>
                <w:sz w:val="15"/>
                <w:szCs w:val="15"/>
              </w:rPr>
            </w:pPr>
            <w:r w:rsidRPr="00DD10E9">
              <w:rPr>
                <w:sz w:val="15"/>
                <w:szCs w:val="15"/>
              </w:rPr>
              <w:t xml:space="preserve">A </w:t>
            </w:r>
            <w:r w:rsidRPr="00DD10E9">
              <w:rPr>
                <w:b/>
                <w:sz w:val="15"/>
                <w:szCs w:val="15"/>
              </w:rPr>
              <w:t>workshop</w:t>
            </w:r>
            <w:r w:rsidRPr="00DD10E9">
              <w:rPr>
                <w:sz w:val="15"/>
                <w:szCs w:val="15"/>
              </w:rPr>
              <w:t>/ meeting will bring together donors and agencies under the auspices of the GHD to finalize the above by end 2016.</w:t>
            </w:r>
          </w:p>
        </w:tc>
        <w:tc>
          <w:tcPr>
            <w:tcW w:w="2127" w:type="dxa"/>
            <w:tcBorders>
              <w:bottom w:val="single" w:sz="4" w:space="0" w:color="auto"/>
            </w:tcBorders>
          </w:tcPr>
          <w:p w14:paraId="3FF4F1CB" w14:textId="77777777" w:rsidR="00344C8F" w:rsidRPr="00DD10E9" w:rsidRDefault="00344C8F" w:rsidP="0000098D">
            <w:pPr>
              <w:rPr>
                <w:sz w:val="15"/>
                <w:szCs w:val="15"/>
              </w:rPr>
            </w:pPr>
          </w:p>
          <w:p w14:paraId="7D2812E5" w14:textId="77777777" w:rsidR="00344C8F" w:rsidRPr="00DD10E9" w:rsidRDefault="00344C8F" w:rsidP="0000098D">
            <w:pPr>
              <w:rPr>
                <w:sz w:val="15"/>
                <w:szCs w:val="15"/>
              </w:rPr>
            </w:pPr>
          </w:p>
        </w:tc>
        <w:tc>
          <w:tcPr>
            <w:tcW w:w="2126" w:type="dxa"/>
            <w:tcBorders>
              <w:bottom w:val="single" w:sz="4" w:space="0" w:color="auto"/>
            </w:tcBorders>
          </w:tcPr>
          <w:p w14:paraId="105DCAD1" w14:textId="2553065E" w:rsidR="00344C8F" w:rsidRPr="00DD10E9" w:rsidRDefault="00344C8F" w:rsidP="0000098D">
            <w:pPr>
              <w:rPr>
                <w:sz w:val="15"/>
                <w:szCs w:val="15"/>
              </w:rPr>
            </w:pPr>
            <w:r w:rsidRPr="00DD10E9">
              <w:rPr>
                <w:sz w:val="15"/>
                <w:szCs w:val="15"/>
              </w:rPr>
              <w:t xml:space="preserve">UNDP &amp; UNICEF to convene a </w:t>
            </w:r>
            <w:r w:rsidRPr="00DD10E9">
              <w:rPr>
                <w:b/>
                <w:sz w:val="15"/>
                <w:szCs w:val="15"/>
              </w:rPr>
              <w:t>follow-up discussion</w:t>
            </w:r>
            <w:r w:rsidRPr="00DD10E9">
              <w:rPr>
                <w:sz w:val="15"/>
                <w:szCs w:val="15"/>
              </w:rPr>
              <w:t xml:space="preserve"> with interested Sherpas on articulating what the Grand Bargain means for countries in the context of the 2030 Agenda.</w:t>
            </w:r>
          </w:p>
        </w:tc>
      </w:tr>
      <w:tr w:rsidR="0000098D" w:rsidRPr="0000098D" w14:paraId="1EAE7B6A" w14:textId="77777777" w:rsidTr="0000098D">
        <w:trPr>
          <w:trHeight w:val="1205"/>
        </w:trPr>
        <w:tc>
          <w:tcPr>
            <w:tcW w:w="846" w:type="dxa"/>
            <w:vMerge/>
            <w:shd w:val="clear" w:color="auto" w:fill="FFFFFF" w:themeFill="background1"/>
          </w:tcPr>
          <w:p w14:paraId="703EAECD" w14:textId="24E52A25" w:rsidR="00344C8F" w:rsidRPr="00DD10E9" w:rsidRDefault="00344C8F" w:rsidP="0000098D">
            <w:pPr>
              <w:rPr>
                <w:rFonts w:cs="Helv"/>
                <w:b/>
                <w:bCs/>
                <w:color w:val="000000"/>
                <w:sz w:val="15"/>
                <w:szCs w:val="15"/>
              </w:rPr>
            </w:pPr>
          </w:p>
        </w:tc>
        <w:tc>
          <w:tcPr>
            <w:tcW w:w="1984" w:type="dxa"/>
            <w:shd w:val="clear" w:color="auto" w:fill="FFFFFF" w:themeFill="background1"/>
          </w:tcPr>
          <w:p w14:paraId="40D0988C" w14:textId="77777777" w:rsidR="00344C8F" w:rsidRPr="00DD10E9" w:rsidRDefault="00344C8F" w:rsidP="0000098D">
            <w:pPr>
              <w:rPr>
                <w:sz w:val="15"/>
                <w:szCs w:val="15"/>
              </w:rPr>
            </w:pPr>
          </w:p>
        </w:tc>
        <w:tc>
          <w:tcPr>
            <w:tcW w:w="2268" w:type="dxa"/>
            <w:tcBorders>
              <w:bottom w:val="single" w:sz="4" w:space="0" w:color="auto"/>
            </w:tcBorders>
            <w:shd w:val="clear" w:color="auto" w:fill="FFFFFF" w:themeFill="background1"/>
          </w:tcPr>
          <w:p w14:paraId="74D1A2A8" w14:textId="07EC856B" w:rsidR="00344C8F" w:rsidRPr="00DD10E9" w:rsidRDefault="00344C8F" w:rsidP="0000098D">
            <w:pPr>
              <w:rPr>
                <w:sz w:val="15"/>
                <w:szCs w:val="15"/>
              </w:rPr>
            </w:pPr>
            <w:r w:rsidRPr="00DD10E9">
              <w:rPr>
                <w:sz w:val="15"/>
                <w:szCs w:val="15"/>
              </w:rPr>
              <w:t>Develop capacity exchange programs, including through embedding international staff in local and national organizations</w:t>
            </w:r>
            <w:r w:rsidR="00D26113" w:rsidRPr="00DD10E9">
              <w:rPr>
                <w:sz w:val="15"/>
                <w:szCs w:val="15"/>
              </w:rPr>
              <w:t xml:space="preserve"> (</w:t>
            </w:r>
            <w:r w:rsidRPr="00DD10E9">
              <w:rPr>
                <w:sz w:val="15"/>
                <w:szCs w:val="15"/>
              </w:rPr>
              <w:t>IFRC, British Red Cross, CRS, NRC</w:t>
            </w:r>
            <w:r w:rsidR="00D26113" w:rsidRPr="00DD10E9">
              <w:rPr>
                <w:sz w:val="15"/>
                <w:szCs w:val="15"/>
              </w:rPr>
              <w:t>)</w:t>
            </w:r>
          </w:p>
        </w:tc>
        <w:tc>
          <w:tcPr>
            <w:tcW w:w="1842" w:type="dxa"/>
            <w:shd w:val="clear" w:color="auto" w:fill="FFFFFF" w:themeFill="background1"/>
          </w:tcPr>
          <w:p w14:paraId="7F6D9FE2" w14:textId="77777777" w:rsidR="00344C8F" w:rsidRPr="00DD10E9" w:rsidRDefault="00344C8F" w:rsidP="0000098D">
            <w:pPr>
              <w:rPr>
                <w:sz w:val="15"/>
                <w:szCs w:val="15"/>
              </w:rPr>
            </w:pPr>
            <w:r w:rsidRPr="00DD10E9">
              <w:rPr>
                <w:sz w:val="15"/>
                <w:szCs w:val="15"/>
              </w:rPr>
              <w:t>Identifying barriers and concerns, and addressing them openly</w:t>
            </w:r>
          </w:p>
          <w:p w14:paraId="74A95E64" w14:textId="19949981" w:rsidR="00344C8F" w:rsidRPr="00DD10E9" w:rsidRDefault="00344C8F" w:rsidP="0000098D">
            <w:pPr>
              <w:rPr>
                <w:sz w:val="15"/>
                <w:szCs w:val="15"/>
              </w:rPr>
            </w:pPr>
          </w:p>
        </w:tc>
        <w:tc>
          <w:tcPr>
            <w:tcW w:w="2127" w:type="dxa"/>
            <w:shd w:val="clear" w:color="auto" w:fill="auto"/>
          </w:tcPr>
          <w:p w14:paraId="0106826E" w14:textId="366B7B9D" w:rsidR="00344C8F" w:rsidRPr="00DD10E9" w:rsidRDefault="00344C8F" w:rsidP="0000098D">
            <w:pPr>
              <w:rPr>
                <w:sz w:val="15"/>
                <w:szCs w:val="15"/>
              </w:rPr>
            </w:pPr>
            <w:r w:rsidRPr="00DD10E9">
              <w:rPr>
                <w:sz w:val="15"/>
                <w:szCs w:val="15"/>
              </w:rPr>
              <w:t xml:space="preserve">UNICEF/UNHCR are looking into </w:t>
            </w:r>
            <w:r w:rsidRPr="00DD10E9">
              <w:rPr>
                <w:b/>
                <w:sz w:val="15"/>
                <w:szCs w:val="15"/>
              </w:rPr>
              <w:t>collaborative procurement</w:t>
            </w:r>
            <w:r w:rsidRPr="00DD10E9">
              <w:rPr>
                <w:sz w:val="15"/>
                <w:szCs w:val="15"/>
              </w:rPr>
              <w:t xml:space="preserve"> of core relief items &amp; WASH items.</w:t>
            </w:r>
          </w:p>
        </w:tc>
        <w:tc>
          <w:tcPr>
            <w:tcW w:w="1985" w:type="dxa"/>
            <w:tcBorders>
              <w:bottom w:val="single" w:sz="4" w:space="0" w:color="auto"/>
            </w:tcBorders>
            <w:shd w:val="clear" w:color="auto" w:fill="auto"/>
          </w:tcPr>
          <w:p w14:paraId="05899586" w14:textId="64C8EA0F" w:rsidR="00344C8F" w:rsidRPr="00DD10E9" w:rsidRDefault="00344C8F" w:rsidP="0000098D">
            <w:pPr>
              <w:rPr>
                <w:sz w:val="15"/>
                <w:szCs w:val="15"/>
              </w:rPr>
            </w:pPr>
            <w:r w:rsidRPr="00DD10E9">
              <w:rPr>
                <w:sz w:val="15"/>
                <w:szCs w:val="15"/>
              </w:rPr>
              <w:t xml:space="preserve">The EC may set-up a </w:t>
            </w:r>
            <w:r w:rsidRPr="00DD10E9">
              <w:rPr>
                <w:b/>
                <w:sz w:val="15"/>
                <w:szCs w:val="15"/>
              </w:rPr>
              <w:t>funding mechanism</w:t>
            </w:r>
            <w:r w:rsidRPr="00DD10E9">
              <w:rPr>
                <w:sz w:val="15"/>
                <w:szCs w:val="15"/>
              </w:rPr>
              <w:t xml:space="preserve"> to ensure resources are available for timely needs assessments</w:t>
            </w:r>
          </w:p>
        </w:tc>
        <w:tc>
          <w:tcPr>
            <w:tcW w:w="2268" w:type="dxa"/>
            <w:tcBorders>
              <w:bottom w:val="single" w:sz="4" w:space="0" w:color="auto"/>
            </w:tcBorders>
            <w:shd w:val="clear" w:color="auto" w:fill="auto"/>
          </w:tcPr>
          <w:p w14:paraId="4E8EFF4E" w14:textId="77777777" w:rsidR="00344C8F" w:rsidRPr="00DD10E9" w:rsidRDefault="00344C8F" w:rsidP="0000098D">
            <w:pPr>
              <w:rPr>
                <w:sz w:val="15"/>
                <w:szCs w:val="15"/>
              </w:rPr>
            </w:pPr>
            <w:r w:rsidRPr="00DD10E9">
              <w:rPr>
                <w:sz w:val="15"/>
                <w:szCs w:val="15"/>
              </w:rPr>
              <w:t>IFRC, UNICEF, WFP in the “One Billion Coalition for Resilience” movement developing tools/ platforms to engage at-risk people &amp; communities</w:t>
            </w:r>
          </w:p>
          <w:p w14:paraId="428FB517" w14:textId="77777777" w:rsidR="00344C8F" w:rsidRPr="00DD10E9" w:rsidRDefault="00344C8F" w:rsidP="0000098D">
            <w:pPr>
              <w:rPr>
                <w:sz w:val="15"/>
                <w:szCs w:val="15"/>
              </w:rPr>
            </w:pPr>
          </w:p>
        </w:tc>
        <w:tc>
          <w:tcPr>
            <w:tcW w:w="2410" w:type="dxa"/>
            <w:shd w:val="clear" w:color="auto" w:fill="FFE599" w:themeFill="accent4" w:themeFillTint="66"/>
          </w:tcPr>
          <w:p w14:paraId="41B47C07" w14:textId="34157728" w:rsidR="00344C8F" w:rsidRPr="00DD10E9" w:rsidRDefault="00344C8F" w:rsidP="0000098D">
            <w:pPr>
              <w:rPr>
                <w:b/>
                <w:sz w:val="15"/>
                <w:szCs w:val="15"/>
              </w:rPr>
            </w:pPr>
            <w:r w:rsidRPr="00DD10E9">
              <w:rPr>
                <w:b/>
                <w:sz w:val="15"/>
                <w:szCs w:val="15"/>
              </w:rPr>
              <w:t>IASC-UNDG retreat</w:t>
            </w:r>
            <w:r w:rsidRPr="00DD10E9">
              <w:rPr>
                <w:sz w:val="15"/>
                <w:szCs w:val="15"/>
              </w:rPr>
              <w:t xml:space="preserve"> on multi-year planning to take place at end October 2016 to start discussions on multi-year planning frameworks across the hum-dev-peacebuilding divide.  Guidanc</w:t>
            </w:r>
            <w:r w:rsidR="008A65B0" w:rsidRPr="00DD10E9">
              <w:rPr>
                <w:sz w:val="15"/>
                <w:szCs w:val="15"/>
              </w:rPr>
              <w:t>e will inform new cycle of UNDAF</w:t>
            </w:r>
            <w:r w:rsidRPr="00DD10E9">
              <w:rPr>
                <w:sz w:val="15"/>
                <w:szCs w:val="15"/>
              </w:rPr>
              <w:t>s and SRPs.</w:t>
            </w:r>
          </w:p>
        </w:tc>
        <w:tc>
          <w:tcPr>
            <w:tcW w:w="2409" w:type="dxa"/>
            <w:shd w:val="clear" w:color="auto" w:fill="auto"/>
          </w:tcPr>
          <w:p w14:paraId="14B4D737" w14:textId="77777777" w:rsidR="00344C8F" w:rsidRPr="00DD10E9" w:rsidRDefault="00344C8F" w:rsidP="0000098D">
            <w:pPr>
              <w:rPr>
                <w:sz w:val="15"/>
                <w:szCs w:val="15"/>
              </w:rPr>
            </w:pPr>
          </w:p>
        </w:tc>
        <w:tc>
          <w:tcPr>
            <w:tcW w:w="2127" w:type="dxa"/>
            <w:shd w:val="clear" w:color="auto" w:fill="auto"/>
          </w:tcPr>
          <w:p w14:paraId="4885A9DA" w14:textId="77777777" w:rsidR="00344C8F" w:rsidRPr="00DD10E9" w:rsidRDefault="00344C8F" w:rsidP="0000098D">
            <w:pPr>
              <w:rPr>
                <w:sz w:val="15"/>
                <w:szCs w:val="15"/>
              </w:rPr>
            </w:pPr>
          </w:p>
        </w:tc>
        <w:tc>
          <w:tcPr>
            <w:tcW w:w="2126" w:type="dxa"/>
            <w:shd w:val="clear" w:color="auto" w:fill="FFE599" w:themeFill="accent4" w:themeFillTint="66"/>
          </w:tcPr>
          <w:p w14:paraId="4407026B" w14:textId="0569D7BA" w:rsidR="00344C8F" w:rsidRPr="00DD10E9" w:rsidRDefault="00344C8F" w:rsidP="0000098D">
            <w:pPr>
              <w:rPr>
                <w:sz w:val="15"/>
                <w:szCs w:val="15"/>
              </w:rPr>
            </w:pPr>
            <w:r w:rsidRPr="00DD10E9">
              <w:rPr>
                <w:sz w:val="15"/>
                <w:szCs w:val="15"/>
              </w:rPr>
              <w:t xml:space="preserve">IASC HDNTT-UNDG Working Group on Transitions </w:t>
            </w:r>
            <w:r w:rsidRPr="00DD10E9">
              <w:rPr>
                <w:b/>
                <w:sz w:val="15"/>
                <w:szCs w:val="15"/>
              </w:rPr>
              <w:t xml:space="preserve">retreat </w:t>
            </w:r>
            <w:r w:rsidRPr="00DD10E9">
              <w:rPr>
                <w:sz w:val="15"/>
                <w:szCs w:val="15"/>
              </w:rPr>
              <w:t>to take place at end October 2016 on joint analysis &amp; multi-year planning.</w:t>
            </w:r>
          </w:p>
        </w:tc>
      </w:tr>
      <w:tr w:rsidR="0000098D" w:rsidRPr="0000098D" w14:paraId="43881068" w14:textId="77777777" w:rsidTr="00BE4E08">
        <w:trPr>
          <w:trHeight w:val="649"/>
        </w:trPr>
        <w:tc>
          <w:tcPr>
            <w:tcW w:w="846" w:type="dxa"/>
            <w:vMerge/>
            <w:shd w:val="clear" w:color="auto" w:fill="FFFFFF" w:themeFill="background1"/>
          </w:tcPr>
          <w:p w14:paraId="26C14523" w14:textId="77777777" w:rsidR="00344C8F" w:rsidRPr="00DD10E9" w:rsidRDefault="00344C8F" w:rsidP="0000098D">
            <w:pPr>
              <w:rPr>
                <w:rFonts w:cs="Helv"/>
                <w:b/>
                <w:bCs/>
                <w:color w:val="000000"/>
                <w:sz w:val="15"/>
                <w:szCs w:val="15"/>
              </w:rPr>
            </w:pPr>
          </w:p>
        </w:tc>
        <w:tc>
          <w:tcPr>
            <w:tcW w:w="1984" w:type="dxa"/>
            <w:shd w:val="clear" w:color="auto" w:fill="FFFFFF" w:themeFill="background1"/>
          </w:tcPr>
          <w:p w14:paraId="4A55E4C4" w14:textId="77777777" w:rsidR="00344C8F" w:rsidRPr="00DD10E9" w:rsidRDefault="00344C8F" w:rsidP="0000098D">
            <w:pPr>
              <w:rPr>
                <w:sz w:val="15"/>
                <w:szCs w:val="15"/>
              </w:rPr>
            </w:pPr>
          </w:p>
        </w:tc>
        <w:tc>
          <w:tcPr>
            <w:tcW w:w="2268" w:type="dxa"/>
            <w:shd w:val="clear" w:color="auto" w:fill="F7CAAC" w:themeFill="accent2" w:themeFillTint="66"/>
          </w:tcPr>
          <w:p w14:paraId="7C02AF7E" w14:textId="112BA7C6" w:rsidR="00344C8F" w:rsidRPr="00DD10E9" w:rsidRDefault="00344C8F" w:rsidP="0000098D">
            <w:pPr>
              <w:rPr>
                <w:sz w:val="15"/>
                <w:szCs w:val="15"/>
              </w:rPr>
            </w:pPr>
            <w:r w:rsidRPr="00DD10E9">
              <w:rPr>
                <w:sz w:val="15"/>
                <w:szCs w:val="15"/>
              </w:rPr>
              <w:t xml:space="preserve">A working group will be established, comprised of IASC HF TT members, the OECD, Canada and Australia to develop a </w:t>
            </w:r>
            <w:r w:rsidRPr="00DD10E9">
              <w:rPr>
                <w:b/>
                <w:sz w:val="15"/>
                <w:szCs w:val="15"/>
              </w:rPr>
              <w:t>“localization marker”.</w:t>
            </w:r>
            <w:r w:rsidRPr="00DD10E9">
              <w:rPr>
                <w:sz w:val="15"/>
                <w:szCs w:val="15"/>
              </w:rPr>
              <w:t xml:space="preserve"> This group will also develop a “quality review” to assess: 1) quality of funding, 2) quality of partnership, and 3) quality of local and national response. IFRC will work on this initial concept of this review.</w:t>
            </w:r>
          </w:p>
        </w:tc>
        <w:tc>
          <w:tcPr>
            <w:tcW w:w="1842" w:type="dxa"/>
            <w:shd w:val="clear" w:color="auto" w:fill="FFFFFF" w:themeFill="background1"/>
          </w:tcPr>
          <w:p w14:paraId="5E73EB6A" w14:textId="2B9B9A69" w:rsidR="00344C8F" w:rsidRPr="00DD10E9" w:rsidRDefault="00344C8F" w:rsidP="0000098D">
            <w:pPr>
              <w:rPr>
                <w:sz w:val="15"/>
                <w:szCs w:val="15"/>
              </w:rPr>
            </w:pPr>
            <w:r w:rsidRPr="00DD10E9">
              <w:rPr>
                <w:sz w:val="15"/>
                <w:szCs w:val="15"/>
              </w:rPr>
              <w:t>Platform for sharing information and following latest developments</w:t>
            </w:r>
          </w:p>
        </w:tc>
        <w:tc>
          <w:tcPr>
            <w:tcW w:w="2127" w:type="dxa"/>
            <w:shd w:val="clear" w:color="auto" w:fill="auto"/>
          </w:tcPr>
          <w:p w14:paraId="61A597EE" w14:textId="547212DF" w:rsidR="00344C8F" w:rsidRPr="00DD10E9" w:rsidRDefault="00344C8F" w:rsidP="0000098D">
            <w:pPr>
              <w:rPr>
                <w:sz w:val="15"/>
                <w:szCs w:val="15"/>
              </w:rPr>
            </w:pPr>
            <w:r w:rsidRPr="00DD10E9">
              <w:rPr>
                <w:bCs/>
                <w:sz w:val="15"/>
                <w:szCs w:val="15"/>
              </w:rPr>
              <w:t xml:space="preserve">IRC launching a steering committee to inform the development of the </w:t>
            </w:r>
            <w:r w:rsidRPr="00DD10E9">
              <w:rPr>
                <w:b/>
                <w:bCs/>
                <w:sz w:val="15"/>
                <w:szCs w:val="15"/>
              </w:rPr>
              <w:t>Systematic Cost Analysis (SCAN)</w:t>
            </w:r>
            <w:r w:rsidRPr="00DD10E9">
              <w:rPr>
                <w:bCs/>
                <w:sz w:val="15"/>
                <w:szCs w:val="15"/>
              </w:rPr>
              <w:t xml:space="preserve"> tool.</w:t>
            </w:r>
          </w:p>
        </w:tc>
        <w:tc>
          <w:tcPr>
            <w:tcW w:w="1985" w:type="dxa"/>
            <w:shd w:val="clear" w:color="auto" w:fill="C5E0B3" w:themeFill="accent6" w:themeFillTint="66"/>
          </w:tcPr>
          <w:p w14:paraId="6D251902" w14:textId="292F0823" w:rsidR="00344C8F" w:rsidRPr="00DD10E9" w:rsidRDefault="00650AE6" w:rsidP="0000098D">
            <w:pPr>
              <w:rPr>
                <w:sz w:val="15"/>
                <w:szCs w:val="15"/>
              </w:rPr>
            </w:pPr>
            <w:r w:rsidRPr="00DD10E9">
              <w:rPr>
                <w:sz w:val="15"/>
                <w:szCs w:val="15"/>
              </w:rPr>
              <w:t xml:space="preserve">OCHA will </w:t>
            </w:r>
            <w:r w:rsidRPr="00DD10E9">
              <w:rPr>
                <w:b/>
                <w:sz w:val="15"/>
                <w:szCs w:val="15"/>
              </w:rPr>
              <w:t>improve HNOs</w:t>
            </w:r>
            <w:r w:rsidRPr="00DD10E9">
              <w:rPr>
                <w:sz w:val="15"/>
                <w:szCs w:val="15"/>
              </w:rPr>
              <w:t xml:space="preserve"> within the current cycle, to be built upon in subsequent cycles.</w:t>
            </w:r>
          </w:p>
        </w:tc>
        <w:tc>
          <w:tcPr>
            <w:tcW w:w="2268" w:type="dxa"/>
            <w:shd w:val="clear" w:color="auto" w:fill="auto"/>
          </w:tcPr>
          <w:p w14:paraId="5EE544B3" w14:textId="77777777" w:rsidR="00344C8F" w:rsidRPr="00DD10E9" w:rsidRDefault="00344C8F" w:rsidP="0000098D">
            <w:pPr>
              <w:rPr>
                <w:sz w:val="15"/>
                <w:szCs w:val="15"/>
              </w:rPr>
            </w:pPr>
            <w:r w:rsidRPr="00DD10E9">
              <w:rPr>
                <w:sz w:val="15"/>
                <w:szCs w:val="15"/>
              </w:rPr>
              <w:t xml:space="preserve">Consultation to validate an overarching </w:t>
            </w:r>
            <w:r w:rsidRPr="00DD10E9">
              <w:rPr>
                <w:b/>
                <w:sz w:val="15"/>
                <w:szCs w:val="15"/>
              </w:rPr>
              <w:t>Theory of Change</w:t>
            </w:r>
            <w:r w:rsidRPr="00DD10E9">
              <w:rPr>
                <w:sz w:val="15"/>
                <w:szCs w:val="15"/>
              </w:rPr>
              <w:t xml:space="preserve"> to support a convergence of efforts, including links to participation, localization, communication and community engagement, commitments to AAP, as well as capacity development support to local/national responders.</w:t>
            </w:r>
          </w:p>
          <w:p w14:paraId="3EC44B1C" w14:textId="77777777" w:rsidR="00344C8F" w:rsidRPr="00DD10E9" w:rsidRDefault="00344C8F" w:rsidP="0000098D">
            <w:pPr>
              <w:rPr>
                <w:sz w:val="15"/>
                <w:szCs w:val="15"/>
              </w:rPr>
            </w:pPr>
          </w:p>
        </w:tc>
        <w:tc>
          <w:tcPr>
            <w:tcW w:w="2410" w:type="dxa"/>
            <w:shd w:val="clear" w:color="auto" w:fill="F7CAAC" w:themeFill="accent2" w:themeFillTint="66"/>
          </w:tcPr>
          <w:p w14:paraId="34129684" w14:textId="64DABC9C" w:rsidR="00344C8F" w:rsidRPr="00DD10E9" w:rsidRDefault="00344C8F" w:rsidP="0000098D">
            <w:pPr>
              <w:rPr>
                <w:b/>
                <w:sz w:val="15"/>
                <w:szCs w:val="15"/>
              </w:rPr>
            </w:pPr>
            <w:r w:rsidRPr="00DD10E9">
              <w:rPr>
                <w:b/>
                <w:sz w:val="15"/>
                <w:szCs w:val="15"/>
              </w:rPr>
              <w:t>OCHA study</w:t>
            </w:r>
            <w:r w:rsidRPr="00DD10E9">
              <w:rPr>
                <w:sz w:val="15"/>
                <w:szCs w:val="15"/>
              </w:rPr>
              <w:t xml:space="preserve"> on multi-year financing under the IASC Task Team on Humanitarian Financing (TORs under development)</w:t>
            </w:r>
          </w:p>
        </w:tc>
        <w:tc>
          <w:tcPr>
            <w:tcW w:w="2409" w:type="dxa"/>
          </w:tcPr>
          <w:p w14:paraId="3A298DD6" w14:textId="77777777" w:rsidR="00344C8F" w:rsidRPr="00DD10E9" w:rsidRDefault="00344C8F" w:rsidP="0000098D">
            <w:pPr>
              <w:rPr>
                <w:sz w:val="15"/>
                <w:szCs w:val="15"/>
              </w:rPr>
            </w:pPr>
          </w:p>
        </w:tc>
        <w:tc>
          <w:tcPr>
            <w:tcW w:w="2127" w:type="dxa"/>
          </w:tcPr>
          <w:p w14:paraId="6FD5E66A" w14:textId="77777777" w:rsidR="00344C8F" w:rsidRPr="00DD10E9" w:rsidRDefault="00344C8F" w:rsidP="0000098D">
            <w:pPr>
              <w:rPr>
                <w:sz w:val="15"/>
                <w:szCs w:val="15"/>
              </w:rPr>
            </w:pPr>
          </w:p>
        </w:tc>
        <w:tc>
          <w:tcPr>
            <w:tcW w:w="2126" w:type="dxa"/>
            <w:shd w:val="clear" w:color="auto" w:fill="auto"/>
          </w:tcPr>
          <w:p w14:paraId="51A0B32B" w14:textId="4AD1DB46" w:rsidR="00344C8F" w:rsidRPr="00DD10E9" w:rsidRDefault="00344C8F" w:rsidP="0000098D">
            <w:pPr>
              <w:rPr>
                <w:sz w:val="15"/>
                <w:szCs w:val="15"/>
              </w:rPr>
            </w:pPr>
            <w:r w:rsidRPr="00DD10E9">
              <w:rPr>
                <w:sz w:val="15"/>
                <w:szCs w:val="15"/>
              </w:rPr>
              <w:t xml:space="preserve">Sherpa members to map out various initiative bringing commitments to </w:t>
            </w:r>
            <w:r w:rsidRPr="00DD10E9">
              <w:rPr>
                <w:b/>
                <w:sz w:val="15"/>
                <w:szCs w:val="15"/>
              </w:rPr>
              <w:t xml:space="preserve">country level </w:t>
            </w:r>
            <w:r w:rsidRPr="00DD10E9">
              <w:rPr>
                <w:sz w:val="15"/>
                <w:szCs w:val="15"/>
              </w:rPr>
              <w:t xml:space="preserve">(e.g. Solutions Alliance, UN/WB Partnership, etc.), keep track of them through the online platform, &amp; </w:t>
            </w:r>
            <w:proofErr w:type="spellStart"/>
            <w:r w:rsidRPr="00DD10E9">
              <w:rPr>
                <w:sz w:val="15"/>
                <w:szCs w:val="15"/>
              </w:rPr>
              <w:t>initiatve</w:t>
            </w:r>
            <w:proofErr w:type="spellEnd"/>
            <w:r w:rsidRPr="00DD10E9">
              <w:rPr>
                <w:sz w:val="15"/>
                <w:szCs w:val="15"/>
              </w:rPr>
              <w:t xml:space="preserve"> dialogue around best practice. </w:t>
            </w:r>
          </w:p>
        </w:tc>
      </w:tr>
      <w:tr w:rsidR="0000098D" w:rsidRPr="0000098D" w14:paraId="3B66B862" w14:textId="77777777" w:rsidTr="00DD10E9">
        <w:trPr>
          <w:trHeight w:val="649"/>
        </w:trPr>
        <w:tc>
          <w:tcPr>
            <w:tcW w:w="846" w:type="dxa"/>
            <w:vMerge/>
            <w:shd w:val="clear" w:color="auto" w:fill="FFFFFF" w:themeFill="background1"/>
          </w:tcPr>
          <w:p w14:paraId="55EA4FCE" w14:textId="48538D39" w:rsidR="00344C8F" w:rsidRPr="00DD10E9" w:rsidRDefault="00344C8F" w:rsidP="0000098D">
            <w:pPr>
              <w:rPr>
                <w:rFonts w:cs="Helv"/>
                <w:b/>
                <w:bCs/>
                <w:color w:val="000000"/>
                <w:sz w:val="15"/>
                <w:szCs w:val="15"/>
              </w:rPr>
            </w:pPr>
          </w:p>
        </w:tc>
        <w:tc>
          <w:tcPr>
            <w:tcW w:w="1984" w:type="dxa"/>
            <w:shd w:val="clear" w:color="auto" w:fill="FFFFFF" w:themeFill="background1"/>
          </w:tcPr>
          <w:p w14:paraId="1F62FEE5" w14:textId="77777777" w:rsidR="00344C8F" w:rsidRPr="00DD10E9" w:rsidRDefault="00344C8F" w:rsidP="0000098D">
            <w:pPr>
              <w:rPr>
                <w:sz w:val="15"/>
                <w:szCs w:val="15"/>
              </w:rPr>
            </w:pPr>
          </w:p>
        </w:tc>
        <w:tc>
          <w:tcPr>
            <w:tcW w:w="2268" w:type="dxa"/>
            <w:shd w:val="clear" w:color="auto" w:fill="F7CAAC" w:themeFill="accent2" w:themeFillTint="66"/>
          </w:tcPr>
          <w:p w14:paraId="52D018B8" w14:textId="77777777" w:rsidR="00344C8F" w:rsidRPr="00DD10E9" w:rsidRDefault="00344C8F" w:rsidP="0000098D">
            <w:pPr>
              <w:rPr>
                <w:sz w:val="15"/>
                <w:szCs w:val="15"/>
              </w:rPr>
            </w:pPr>
          </w:p>
          <w:p w14:paraId="1905E8D1" w14:textId="0C50F99F" w:rsidR="00344C8F" w:rsidRPr="00DD10E9" w:rsidRDefault="00850E68" w:rsidP="0000098D">
            <w:pPr>
              <w:rPr>
                <w:rFonts w:cs="Arial"/>
                <w:sz w:val="15"/>
                <w:szCs w:val="15"/>
              </w:rPr>
            </w:pPr>
            <w:r w:rsidRPr="00DD10E9">
              <w:rPr>
                <w:rFonts w:cs="Arial"/>
                <w:sz w:val="15"/>
                <w:szCs w:val="15"/>
              </w:rPr>
              <w:t xml:space="preserve">HFTT to commission a field-focused study and a follow-up multi-stakeholder event to review existing practices and mechanisms to improve local actors’ engagement in the programming and delivery of humanitarian assistance, particularly through their </w:t>
            </w:r>
            <w:r w:rsidRPr="00DD10E9">
              <w:rPr>
                <w:rFonts w:cs="Arial"/>
                <w:b/>
                <w:sz w:val="15"/>
                <w:szCs w:val="15"/>
              </w:rPr>
              <w:t>access to pooled funding mechanisms</w:t>
            </w:r>
          </w:p>
        </w:tc>
        <w:tc>
          <w:tcPr>
            <w:tcW w:w="1842" w:type="dxa"/>
            <w:shd w:val="clear" w:color="auto" w:fill="FFFFFF" w:themeFill="background1"/>
          </w:tcPr>
          <w:p w14:paraId="0B7F8AFC" w14:textId="77777777" w:rsidR="00344C8F" w:rsidRPr="00DD10E9" w:rsidRDefault="00344C8F" w:rsidP="0000098D">
            <w:pPr>
              <w:rPr>
                <w:sz w:val="15"/>
                <w:szCs w:val="15"/>
              </w:rPr>
            </w:pPr>
            <w:r w:rsidRPr="00DD10E9">
              <w:rPr>
                <w:sz w:val="15"/>
                <w:szCs w:val="15"/>
              </w:rPr>
              <w:t>Individual commitments to voluntary targets</w:t>
            </w:r>
          </w:p>
          <w:p w14:paraId="4CB842B3" w14:textId="0E136492" w:rsidR="00344C8F" w:rsidRPr="00DD10E9" w:rsidRDefault="00344C8F" w:rsidP="0000098D">
            <w:pPr>
              <w:rPr>
                <w:sz w:val="15"/>
                <w:szCs w:val="15"/>
              </w:rPr>
            </w:pPr>
          </w:p>
        </w:tc>
        <w:tc>
          <w:tcPr>
            <w:tcW w:w="2127" w:type="dxa"/>
          </w:tcPr>
          <w:p w14:paraId="47D3F058" w14:textId="374AD0E0" w:rsidR="00344C8F" w:rsidRPr="00DD10E9" w:rsidRDefault="00344C8F" w:rsidP="0000098D">
            <w:pPr>
              <w:rPr>
                <w:sz w:val="15"/>
                <w:szCs w:val="15"/>
              </w:rPr>
            </w:pPr>
            <w:r w:rsidRPr="00DD10E9">
              <w:rPr>
                <w:bCs/>
                <w:sz w:val="15"/>
                <w:szCs w:val="15"/>
              </w:rPr>
              <w:t xml:space="preserve">GHD to encourage the full use of </w:t>
            </w:r>
            <w:r w:rsidRPr="00DD10E9">
              <w:rPr>
                <w:b/>
                <w:bCs/>
                <w:sz w:val="15"/>
                <w:szCs w:val="15"/>
              </w:rPr>
              <w:t>MOPAN</w:t>
            </w:r>
            <w:r w:rsidRPr="00DD10E9">
              <w:rPr>
                <w:bCs/>
                <w:sz w:val="15"/>
                <w:szCs w:val="15"/>
              </w:rPr>
              <w:t xml:space="preserve"> (Multilateral Organizational Performance </w:t>
            </w:r>
            <w:proofErr w:type="spellStart"/>
            <w:r w:rsidRPr="00DD10E9">
              <w:rPr>
                <w:bCs/>
                <w:sz w:val="15"/>
                <w:szCs w:val="15"/>
              </w:rPr>
              <w:t>Asssement</w:t>
            </w:r>
            <w:proofErr w:type="spellEnd"/>
            <w:r w:rsidRPr="00DD10E9">
              <w:rPr>
                <w:bCs/>
                <w:sz w:val="15"/>
                <w:szCs w:val="15"/>
              </w:rPr>
              <w:t xml:space="preserve"> Network) to reduce individual donor assessments/ evaluations.</w:t>
            </w:r>
          </w:p>
        </w:tc>
        <w:tc>
          <w:tcPr>
            <w:tcW w:w="1985" w:type="dxa"/>
          </w:tcPr>
          <w:p w14:paraId="226A55A9" w14:textId="77777777" w:rsidR="00344C8F" w:rsidRPr="00DD10E9" w:rsidRDefault="00344C8F" w:rsidP="0000098D">
            <w:pPr>
              <w:rPr>
                <w:sz w:val="15"/>
                <w:szCs w:val="15"/>
              </w:rPr>
            </w:pPr>
          </w:p>
        </w:tc>
        <w:tc>
          <w:tcPr>
            <w:tcW w:w="2268" w:type="dxa"/>
          </w:tcPr>
          <w:p w14:paraId="1D6287D9" w14:textId="77777777" w:rsidR="00344C8F" w:rsidRPr="00DD10E9" w:rsidRDefault="00344C8F" w:rsidP="0000098D">
            <w:pPr>
              <w:rPr>
                <w:sz w:val="15"/>
                <w:szCs w:val="15"/>
              </w:rPr>
            </w:pPr>
          </w:p>
        </w:tc>
        <w:tc>
          <w:tcPr>
            <w:tcW w:w="2410" w:type="dxa"/>
            <w:shd w:val="clear" w:color="auto" w:fill="auto"/>
          </w:tcPr>
          <w:p w14:paraId="43C9781E" w14:textId="4C297653" w:rsidR="00344C8F" w:rsidRPr="00DD10E9" w:rsidRDefault="00344C8F" w:rsidP="0000098D">
            <w:pPr>
              <w:rPr>
                <w:sz w:val="15"/>
                <w:szCs w:val="15"/>
              </w:rPr>
            </w:pPr>
            <w:r w:rsidRPr="00DD10E9">
              <w:rPr>
                <w:sz w:val="15"/>
                <w:szCs w:val="15"/>
              </w:rPr>
              <w:t>GHD work</w:t>
            </w:r>
          </w:p>
          <w:p w14:paraId="31E55D81" w14:textId="2311E2FD" w:rsidR="00344C8F" w:rsidRPr="00DD10E9" w:rsidRDefault="00344C8F" w:rsidP="0000098D">
            <w:pPr>
              <w:rPr>
                <w:b/>
                <w:sz w:val="15"/>
                <w:szCs w:val="15"/>
              </w:rPr>
            </w:pPr>
            <w:r w:rsidRPr="00DD10E9">
              <w:rPr>
                <w:sz w:val="15"/>
                <w:szCs w:val="15"/>
              </w:rPr>
              <w:t>stream on multi-year funding modalities</w:t>
            </w:r>
          </w:p>
        </w:tc>
        <w:tc>
          <w:tcPr>
            <w:tcW w:w="2409" w:type="dxa"/>
          </w:tcPr>
          <w:p w14:paraId="2D015CFB" w14:textId="77777777" w:rsidR="00344C8F" w:rsidRPr="00DD10E9" w:rsidRDefault="00344C8F" w:rsidP="0000098D">
            <w:pPr>
              <w:rPr>
                <w:sz w:val="15"/>
                <w:szCs w:val="15"/>
              </w:rPr>
            </w:pPr>
          </w:p>
        </w:tc>
        <w:tc>
          <w:tcPr>
            <w:tcW w:w="2127" w:type="dxa"/>
          </w:tcPr>
          <w:p w14:paraId="12CF1DD6" w14:textId="77777777" w:rsidR="00344C8F" w:rsidRPr="00DD10E9" w:rsidRDefault="00344C8F" w:rsidP="0000098D">
            <w:pPr>
              <w:rPr>
                <w:sz w:val="15"/>
                <w:szCs w:val="15"/>
              </w:rPr>
            </w:pPr>
          </w:p>
        </w:tc>
        <w:tc>
          <w:tcPr>
            <w:tcW w:w="2126" w:type="dxa"/>
          </w:tcPr>
          <w:p w14:paraId="5E41FC55" w14:textId="7BF5767A" w:rsidR="00344C8F" w:rsidRPr="00DD10E9" w:rsidRDefault="00344C8F" w:rsidP="0000098D">
            <w:pPr>
              <w:rPr>
                <w:sz w:val="15"/>
                <w:szCs w:val="15"/>
              </w:rPr>
            </w:pPr>
            <w:r w:rsidRPr="00DD10E9">
              <w:rPr>
                <w:sz w:val="15"/>
                <w:szCs w:val="15"/>
              </w:rPr>
              <w:t xml:space="preserve">Utilise existing mechanisms, particularly the </w:t>
            </w:r>
            <w:r w:rsidRPr="00DD10E9">
              <w:rPr>
                <w:b/>
                <w:sz w:val="15"/>
                <w:szCs w:val="15"/>
              </w:rPr>
              <w:t>IASC HDN TT &amp; HFTT.</w:t>
            </w:r>
          </w:p>
          <w:p w14:paraId="214C12FF" w14:textId="77777777" w:rsidR="00344C8F" w:rsidRPr="00DD10E9" w:rsidRDefault="00344C8F" w:rsidP="0000098D">
            <w:pPr>
              <w:rPr>
                <w:sz w:val="15"/>
                <w:szCs w:val="15"/>
              </w:rPr>
            </w:pPr>
          </w:p>
        </w:tc>
      </w:tr>
      <w:tr w:rsidR="0000098D" w:rsidRPr="0000098D" w14:paraId="3026377E" w14:textId="77777777" w:rsidTr="0000098D">
        <w:trPr>
          <w:trHeight w:val="649"/>
        </w:trPr>
        <w:tc>
          <w:tcPr>
            <w:tcW w:w="846" w:type="dxa"/>
            <w:vMerge/>
            <w:shd w:val="clear" w:color="auto" w:fill="FFFFFF" w:themeFill="background1"/>
          </w:tcPr>
          <w:p w14:paraId="6EBC4DCF" w14:textId="25D38723" w:rsidR="00344C8F" w:rsidRPr="00DD10E9" w:rsidRDefault="00344C8F" w:rsidP="0000098D">
            <w:pPr>
              <w:rPr>
                <w:rFonts w:cs="Helv"/>
                <w:b/>
                <w:bCs/>
                <w:color w:val="000000"/>
                <w:sz w:val="15"/>
                <w:szCs w:val="15"/>
              </w:rPr>
            </w:pPr>
          </w:p>
        </w:tc>
        <w:tc>
          <w:tcPr>
            <w:tcW w:w="1984" w:type="dxa"/>
            <w:shd w:val="clear" w:color="auto" w:fill="FFFFFF" w:themeFill="background1"/>
          </w:tcPr>
          <w:p w14:paraId="36B29E83" w14:textId="77777777" w:rsidR="00344C8F" w:rsidRPr="00DD10E9" w:rsidRDefault="00344C8F" w:rsidP="0000098D">
            <w:pPr>
              <w:rPr>
                <w:sz w:val="15"/>
                <w:szCs w:val="15"/>
              </w:rPr>
            </w:pPr>
          </w:p>
        </w:tc>
        <w:tc>
          <w:tcPr>
            <w:tcW w:w="2268" w:type="dxa"/>
            <w:shd w:val="clear" w:color="auto" w:fill="FFFFFF" w:themeFill="background1"/>
          </w:tcPr>
          <w:p w14:paraId="1FB73814" w14:textId="77777777" w:rsidR="00344C8F" w:rsidRPr="00DD10E9" w:rsidRDefault="00344C8F" w:rsidP="0000098D">
            <w:pPr>
              <w:rPr>
                <w:sz w:val="15"/>
                <w:szCs w:val="15"/>
              </w:rPr>
            </w:pPr>
          </w:p>
        </w:tc>
        <w:tc>
          <w:tcPr>
            <w:tcW w:w="1842" w:type="dxa"/>
            <w:shd w:val="clear" w:color="auto" w:fill="FFFFFF" w:themeFill="background1"/>
          </w:tcPr>
          <w:p w14:paraId="37039B0C" w14:textId="77777777" w:rsidR="00344C8F" w:rsidRPr="00DD10E9" w:rsidRDefault="00344C8F" w:rsidP="0000098D">
            <w:pPr>
              <w:rPr>
                <w:sz w:val="15"/>
                <w:szCs w:val="15"/>
              </w:rPr>
            </w:pPr>
          </w:p>
          <w:p w14:paraId="603A7C2C" w14:textId="12C1611C" w:rsidR="00344C8F" w:rsidRPr="00DD10E9" w:rsidRDefault="00344C8F" w:rsidP="0000098D">
            <w:pPr>
              <w:rPr>
                <w:sz w:val="15"/>
                <w:szCs w:val="15"/>
              </w:rPr>
            </w:pPr>
          </w:p>
        </w:tc>
        <w:tc>
          <w:tcPr>
            <w:tcW w:w="2127" w:type="dxa"/>
          </w:tcPr>
          <w:p w14:paraId="419C68B2" w14:textId="77777777" w:rsidR="00344C8F" w:rsidRPr="00DD10E9" w:rsidRDefault="00344C8F" w:rsidP="0000098D">
            <w:pPr>
              <w:rPr>
                <w:sz w:val="15"/>
                <w:szCs w:val="15"/>
              </w:rPr>
            </w:pPr>
          </w:p>
        </w:tc>
        <w:tc>
          <w:tcPr>
            <w:tcW w:w="1985" w:type="dxa"/>
          </w:tcPr>
          <w:p w14:paraId="12BD9289" w14:textId="77777777" w:rsidR="00344C8F" w:rsidRPr="00DD10E9" w:rsidRDefault="00344C8F" w:rsidP="0000098D">
            <w:pPr>
              <w:rPr>
                <w:sz w:val="15"/>
                <w:szCs w:val="15"/>
              </w:rPr>
            </w:pPr>
          </w:p>
        </w:tc>
        <w:tc>
          <w:tcPr>
            <w:tcW w:w="2268" w:type="dxa"/>
          </w:tcPr>
          <w:p w14:paraId="39A0A216" w14:textId="77777777" w:rsidR="00344C8F" w:rsidRPr="00DD10E9" w:rsidRDefault="00344C8F" w:rsidP="0000098D">
            <w:pPr>
              <w:rPr>
                <w:sz w:val="15"/>
                <w:szCs w:val="15"/>
              </w:rPr>
            </w:pPr>
          </w:p>
        </w:tc>
        <w:tc>
          <w:tcPr>
            <w:tcW w:w="2410" w:type="dxa"/>
          </w:tcPr>
          <w:p w14:paraId="680455AE" w14:textId="28C1377B" w:rsidR="00344C8F" w:rsidRPr="00DD10E9" w:rsidRDefault="00344C8F" w:rsidP="0000098D">
            <w:pPr>
              <w:rPr>
                <w:b/>
                <w:sz w:val="15"/>
                <w:szCs w:val="15"/>
              </w:rPr>
            </w:pPr>
            <w:r w:rsidRPr="00DD10E9">
              <w:rPr>
                <w:sz w:val="15"/>
                <w:szCs w:val="15"/>
              </w:rPr>
              <w:t xml:space="preserve">SPIAC-B subgroup on social protection-humanitarian linkages, implementation over </w:t>
            </w:r>
            <w:proofErr w:type="spellStart"/>
            <w:r w:rsidRPr="00DD10E9">
              <w:rPr>
                <w:sz w:val="15"/>
                <w:szCs w:val="15"/>
              </w:rPr>
              <w:t>multi year</w:t>
            </w:r>
            <w:proofErr w:type="spellEnd"/>
            <w:r w:rsidRPr="00DD10E9">
              <w:rPr>
                <w:sz w:val="15"/>
                <w:szCs w:val="15"/>
              </w:rPr>
              <w:t xml:space="preserve"> planning and financing frameworks</w:t>
            </w:r>
          </w:p>
        </w:tc>
        <w:tc>
          <w:tcPr>
            <w:tcW w:w="2409" w:type="dxa"/>
          </w:tcPr>
          <w:p w14:paraId="707B235B" w14:textId="77777777" w:rsidR="00344C8F" w:rsidRPr="00DD10E9" w:rsidRDefault="00344C8F" w:rsidP="0000098D">
            <w:pPr>
              <w:rPr>
                <w:sz w:val="15"/>
                <w:szCs w:val="15"/>
              </w:rPr>
            </w:pPr>
          </w:p>
        </w:tc>
        <w:tc>
          <w:tcPr>
            <w:tcW w:w="2127" w:type="dxa"/>
          </w:tcPr>
          <w:p w14:paraId="6DFF9EA3" w14:textId="77777777" w:rsidR="00344C8F" w:rsidRPr="00DD10E9" w:rsidRDefault="00344C8F" w:rsidP="0000098D">
            <w:pPr>
              <w:rPr>
                <w:sz w:val="15"/>
                <w:szCs w:val="15"/>
              </w:rPr>
            </w:pPr>
          </w:p>
        </w:tc>
        <w:tc>
          <w:tcPr>
            <w:tcW w:w="2126" w:type="dxa"/>
            <w:shd w:val="clear" w:color="auto" w:fill="auto"/>
          </w:tcPr>
          <w:p w14:paraId="0C76AD22" w14:textId="2EB8436E" w:rsidR="00344C8F" w:rsidRPr="00DD10E9" w:rsidRDefault="00344C8F" w:rsidP="0000098D">
            <w:pPr>
              <w:rPr>
                <w:sz w:val="15"/>
                <w:szCs w:val="15"/>
              </w:rPr>
            </w:pPr>
            <w:r w:rsidRPr="00DD10E9">
              <w:rPr>
                <w:sz w:val="15"/>
                <w:szCs w:val="15"/>
              </w:rPr>
              <w:t xml:space="preserve">All Sherpa members to reach out to partners to </w:t>
            </w:r>
            <w:r w:rsidRPr="00DD10E9">
              <w:rPr>
                <w:b/>
                <w:sz w:val="15"/>
                <w:szCs w:val="15"/>
              </w:rPr>
              <w:t>promote inclusivity.</w:t>
            </w:r>
          </w:p>
        </w:tc>
      </w:tr>
      <w:tr w:rsidR="0000098D" w:rsidRPr="0000098D" w14:paraId="684BF65D" w14:textId="77777777" w:rsidTr="0000098D">
        <w:trPr>
          <w:trHeight w:val="649"/>
        </w:trPr>
        <w:tc>
          <w:tcPr>
            <w:tcW w:w="846" w:type="dxa"/>
            <w:vMerge/>
            <w:tcBorders>
              <w:bottom w:val="single" w:sz="4" w:space="0" w:color="auto"/>
            </w:tcBorders>
            <w:shd w:val="clear" w:color="auto" w:fill="FFFFFF" w:themeFill="background1"/>
          </w:tcPr>
          <w:p w14:paraId="452BB530" w14:textId="77777777" w:rsidR="00344C8F" w:rsidRPr="00DD10E9" w:rsidRDefault="00344C8F" w:rsidP="0000098D">
            <w:pPr>
              <w:rPr>
                <w:rFonts w:cs="Helv"/>
                <w:b/>
                <w:bCs/>
                <w:color w:val="000000"/>
                <w:sz w:val="15"/>
                <w:szCs w:val="15"/>
              </w:rPr>
            </w:pPr>
          </w:p>
        </w:tc>
        <w:tc>
          <w:tcPr>
            <w:tcW w:w="1984" w:type="dxa"/>
            <w:tcBorders>
              <w:bottom w:val="single" w:sz="4" w:space="0" w:color="auto"/>
            </w:tcBorders>
          </w:tcPr>
          <w:p w14:paraId="79835C7A" w14:textId="77777777" w:rsidR="00344C8F" w:rsidRPr="00DD10E9" w:rsidRDefault="00344C8F" w:rsidP="0000098D">
            <w:pPr>
              <w:rPr>
                <w:b/>
                <w:sz w:val="15"/>
                <w:szCs w:val="15"/>
              </w:rPr>
            </w:pPr>
          </w:p>
        </w:tc>
        <w:tc>
          <w:tcPr>
            <w:tcW w:w="2268" w:type="dxa"/>
            <w:tcBorders>
              <w:bottom w:val="single" w:sz="4" w:space="0" w:color="auto"/>
            </w:tcBorders>
          </w:tcPr>
          <w:p w14:paraId="3BB79BF1" w14:textId="77777777" w:rsidR="00344C8F" w:rsidRPr="00DD10E9" w:rsidRDefault="00344C8F" w:rsidP="0000098D">
            <w:pPr>
              <w:rPr>
                <w:b/>
                <w:sz w:val="15"/>
                <w:szCs w:val="15"/>
              </w:rPr>
            </w:pPr>
          </w:p>
        </w:tc>
        <w:tc>
          <w:tcPr>
            <w:tcW w:w="1842" w:type="dxa"/>
            <w:tcBorders>
              <w:bottom w:val="single" w:sz="4" w:space="0" w:color="auto"/>
            </w:tcBorders>
          </w:tcPr>
          <w:p w14:paraId="14BEAAB7" w14:textId="52EF26FD" w:rsidR="00344C8F" w:rsidRPr="00DD10E9" w:rsidRDefault="00344C8F" w:rsidP="0000098D">
            <w:pPr>
              <w:rPr>
                <w:b/>
                <w:sz w:val="15"/>
                <w:szCs w:val="15"/>
              </w:rPr>
            </w:pPr>
          </w:p>
        </w:tc>
        <w:tc>
          <w:tcPr>
            <w:tcW w:w="2127" w:type="dxa"/>
            <w:tcBorders>
              <w:bottom w:val="single" w:sz="4" w:space="0" w:color="auto"/>
            </w:tcBorders>
          </w:tcPr>
          <w:p w14:paraId="69A24BCB" w14:textId="77777777" w:rsidR="00344C8F" w:rsidRPr="00DD10E9" w:rsidRDefault="00344C8F" w:rsidP="0000098D">
            <w:pPr>
              <w:rPr>
                <w:sz w:val="15"/>
                <w:szCs w:val="15"/>
              </w:rPr>
            </w:pPr>
          </w:p>
        </w:tc>
        <w:tc>
          <w:tcPr>
            <w:tcW w:w="1985" w:type="dxa"/>
            <w:tcBorders>
              <w:bottom w:val="single" w:sz="4" w:space="0" w:color="auto"/>
            </w:tcBorders>
          </w:tcPr>
          <w:p w14:paraId="7D9DBE4A" w14:textId="77777777" w:rsidR="00344C8F" w:rsidRPr="00DD10E9" w:rsidRDefault="00344C8F" w:rsidP="0000098D">
            <w:pPr>
              <w:rPr>
                <w:sz w:val="15"/>
                <w:szCs w:val="15"/>
              </w:rPr>
            </w:pPr>
          </w:p>
        </w:tc>
        <w:tc>
          <w:tcPr>
            <w:tcW w:w="2268" w:type="dxa"/>
            <w:tcBorders>
              <w:bottom w:val="single" w:sz="4" w:space="0" w:color="auto"/>
            </w:tcBorders>
          </w:tcPr>
          <w:p w14:paraId="0BA8AFE3" w14:textId="77777777" w:rsidR="00344C8F" w:rsidRPr="00DD10E9" w:rsidRDefault="00344C8F" w:rsidP="0000098D">
            <w:pPr>
              <w:rPr>
                <w:sz w:val="15"/>
                <w:szCs w:val="15"/>
              </w:rPr>
            </w:pPr>
          </w:p>
        </w:tc>
        <w:tc>
          <w:tcPr>
            <w:tcW w:w="2410" w:type="dxa"/>
            <w:tcBorders>
              <w:bottom w:val="single" w:sz="4" w:space="0" w:color="auto"/>
            </w:tcBorders>
          </w:tcPr>
          <w:p w14:paraId="776F80D0" w14:textId="43A37538" w:rsidR="00344C8F" w:rsidRPr="00DD10E9" w:rsidRDefault="00344C8F" w:rsidP="0000098D">
            <w:pPr>
              <w:rPr>
                <w:sz w:val="15"/>
                <w:szCs w:val="15"/>
              </w:rPr>
            </w:pPr>
          </w:p>
        </w:tc>
        <w:tc>
          <w:tcPr>
            <w:tcW w:w="2409" w:type="dxa"/>
            <w:tcBorders>
              <w:bottom w:val="single" w:sz="4" w:space="0" w:color="auto"/>
            </w:tcBorders>
          </w:tcPr>
          <w:p w14:paraId="3C312878" w14:textId="77777777" w:rsidR="00344C8F" w:rsidRPr="00DD10E9" w:rsidRDefault="00344C8F" w:rsidP="0000098D">
            <w:pPr>
              <w:rPr>
                <w:sz w:val="15"/>
                <w:szCs w:val="15"/>
              </w:rPr>
            </w:pPr>
          </w:p>
        </w:tc>
        <w:tc>
          <w:tcPr>
            <w:tcW w:w="2127" w:type="dxa"/>
            <w:tcBorders>
              <w:bottom w:val="single" w:sz="4" w:space="0" w:color="auto"/>
            </w:tcBorders>
          </w:tcPr>
          <w:p w14:paraId="7A1D6591" w14:textId="77777777" w:rsidR="00344C8F" w:rsidRPr="00DD10E9" w:rsidRDefault="00344C8F" w:rsidP="0000098D">
            <w:pPr>
              <w:rPr>
                <w:sz w:val="15"/>
                <w:szCs w:val="15"/>
              </w:rPr>
            </w:pPr>
          </w:p>
        </w:tc>
        <w:tc>
          <w:tcPr>
            <w:tcW w:w="2126" w:type="dxa"/>
            <w:tcBorders>
              <w:bottom w:val="single" w:sz="4" w:space="0" w:color="auto"/>
            </w:tcBorders>
          </w:tcPr>
          <w:p w14:paraId="0BAD93DE" w14:textId="3CC316A2" w:rsidR="00344C8F" w:rsidRPr="00DD10E9" w:rsidRDefault="00344C8F" w:rsidP="0000098D">
            <w:pPr>
              <w:rPr>
                <w:sz w:val="15"/>
                <w:szCs w:val="15"/>
              </w:rPr>
            </w:pPr>
            <w:r w:rsidRPr="00DD10E9">
              <w:rPr>
                <w:sz w:val="15"/>
                <w:szCs w:val="15"/>
              </w:rPr>
              <w:t xml:space="preserve">Relevant donors will pass discussions back to capitals &amp; missions working on the </w:t>
            </w:r>
            <w:r w:rsidRPr="00DD10E9">
              <w:rPr>
                <w:b/>
                <w:sz w:val="15"/>
                <w:szCs w:val="15"/>
              </w:rPr>
              <w:t>QCPR</w:t>
            </w:r>
          </w:p>
        </w:tc>
      </w:tr>
    </w:tbl>
    <w:p w14:paraId="2EDAA5D1" w14:textId="090DC2D8" w:rsidR="0079033D" w:rsidRPr="0079033D" w:rsidRDefault="00DD10E9" w:rsidP="0079033D">
      <w:r w:rsidRPr="00DD10E9">
        <w:rPr>
          <w:b/>
          <w:bCs/>
          <w:u w:val="single"/>
        </w:rPr>
        <w:t>Key</w:t>
      </w:r>
      <w:r w:rsidR="0079033D" w:rsidRPr="0079033D">
        <w:t xml:space="preserve">.  Note: This document </w:t>
      </w:r>
      <w:r w:rsidR="0079033D" w:rsidRPr="0079033D">
        <w:rPr>
          <w:b/>
          <w:bCs/>
          <w:u w:val="single"/>
        </w:rPr>
        <w:t>reflects clear collective actions only</w:t>
      </w:r>
      <w:r w:rsidR="0079033D" w:rsidRPr="0079033D">
        <w:t xml:space="preserve"> from the Grand Bargain 2-pager document</w:t>
      </w:r>
      <w:r w:rsidR="0079033D">
        <w:t>s</w:t>
      </w:r>
      <w:r w:rsidR="0079033D" w:rsidRPr="0079033D">
        <w:t xml:space="preserve"> provided for each </w:t>
      </w:r>
      <w:proofErr w:type="spellStart"/>
      <w:r w:rsidR="0079033D" w:rsidRPr="0079033D">
        <w:t>workstream</w:t>
      </w:r>
      <w:proofErr w:type="spellEnd"/>
      <w:r w:rsidR="0079033D" w:rsidRPr="0079033D">
        <w:t xml:space="preserve">. </w:t>
      </w:r>
    </w:p>
    <w:tbl>
      <w:tblPr>
        <w:tblStyle w:val="TableGrid"/>
        <w:tblW w:w="0" w:type="auto"/>
        <w:tblLook w:val="04A0" w:firstRow="1" w:lastRow="0" w:firstColumn="1" w:lastColumn="0" w:noHBand="0" w:noVBand="1"/>
      </w:tblPr>
      <w:tblGrid>
        <w:gridCol w:w="7454"/>
        <w:gridCol w:w="7455"/>
        <w:gridCol w:w="7455"/>
      </w:tblGrid>
      <w:tr w:rsidR="00DD10E9" w14:paraId="3B2E2979" w14:textId="77777777" w:rsidTr="00DD10E9">
        <w:tc>
          <w:tcPr>
            <w:tcW w:w="7454" w:type="dxa"/>
            <w:shd w:val="clear" w:color="auto" w:fill="F7CAAC" w:themeFill="accent2" w:themeFillTint="66"/>
          </w:tcPr>
          <w:p w14:paraId="0A639823" w14:textId="06B10A8A" w:rsidR="00DD10E9" w:rsidRPr="00BE4E08" w:rsidRDefault="00DD10E9" w:rsidP="00DD10E9">
            <w:pPr>
              <w:rPr>
                <w:sz w:val="16"/>
                <w:szCs w:val="16"/>
              </w:rPr>
            </w:pPr>
            <w:r w:rsidRPr="00BE4E08">
              <w:rPr>
                <w:sz w:val="16"/>
                <w:szCs w:val="16"/>
              </w:rPr>
              <w:t>IASC TT on Humanitarian Financing</w:t>
            </w:r>
          </w:p>
        </w:tc>
        <w:tc>
          <w:tcPr>
            <w:tcW w:w="7455" w:type="dxa"/>
            <w:shd w:val="clear" w:color="auto" w:fill="FFE599" w:themeFill="accent4" w:themeFillTint="66"/>
          </w:tcPr>
          <w:p w14:paraId="29D02ACB" w14:textId="50EE0C99" w:rsidR="00DD10E9" w:rsidRPr="00BE4E08" w:rsidRDefault="00DD10E9" w:rsidP="00DD10E9">
            <w:pPr>
              <w:rPr>
                <w:sz w:val="16"/>
                <w:szCs w:val="16"/>
              </w:rPr>
            </w:pPr>
            <w:r w:rsidRPr="00BE4E08">
              <w:rPr>
                <w:sz w:val="16"/>
                <w:szCs w:val="16"/>
              </w:rPr>
              <w:t>IASC TT on Humanitarian/Development Nexus</w:t>
            </w:r>
          </w:p>
        </w:tc>
        <w:tc>
          <w:tcPr>
            <w:tcW w:w="7455" w:type="dxa"/>
          </w:tcPr>
          <w:p w14:paraId="32066A70" w14:textId="576639D3" w:rsidR="00DD10E9" w:rsidRPr="00BE4E08" w:rsidRDefault="00DD10E9" w:rsidP="00DD10E9">
            <w:pPr>
              <w:rPr>
                <w:sz w:val="16"/>
                <w:szCs w:val="16"/>
              </w:rPr>
            </w:pPr>
            <w:r w:rsidRPr="00BE4E08">
              <w:rPr>
                <w:sz w:val="16"/>
                <w:szCs w:val="16"/>
              </w:rPr>
              <w:t>IASC TT on Protracted Displacement</w:t>
            </w:r>
          </w:p>
        </w:tc>
      </w:tr>
      <w:tr w:rsidR="00DD10E9" w14:paraId="338CD823" w14:textId="77777777" w:rsidTr="00BE4E08">
        <w:tc>
          <w:tcPr>
            <w:tcW w:w="7454" w:type="dxa"/>
            <w:shd w:val="clear" w:color="auto" w:fill="B4C6E7" w:themeFill="accent5" w:themeFillTint="66"/>
          </w:tcPr>
          <w:p w14:paraId="74F9D82D" w14:textId="07C5313E" w:rsidR="00DD10E9" w:rsidRPr="00BE4E08" w:rsidRDefault="00DD10E9" w:rsidP="00DD10E9">
            <w:pPr>
              <w:rPr>
                <w:sz w:val="16"/>
                <w:szCs w:val="16"/>
              </w:rPr>
            </w:pPr>
            <w:r w:rsidRPr="00BE4E08">
              <w:rPr>
                <w:sz w:val="16"/>
                <w:szCs w:val="16"/>
              </w:rPr>
              <w:t>IASC TT on AAP/PSEA</w:t>
            </w:r>
          </w:p>
        </w:tc>
        <w:tc>
          <w:tcPr>
            <w:tcW w:w="7455" w:type="dxa"/>
            <w:shd w:val="clear" w:color="auto" w:fill="DBDBDB" w:themeFill="accent3" w:themeFillTint="66"/>
          </w:tcPr>
          <w:p w14:paraId="2FE732A8" w14:textId="03FD1634" w:rsidR="00DD10E9" w:rsidRPr="00BE4E08" w:rsidRDefault="00BE4E08" w:rsidP="00DD10E9">
            <w:pPr>
              <w:rPr>
                <w:sz w:val="16"/>
                <w:szCs w:val="16"/>
              </w:rPr>
            </w:pPr>
            <w:r>
              <w:rPr>
                <w:sz w:val="16"/>
                <w:szCs w:val="16"/>
              </w:rPr>
              <w:t>IASC Emergency Directors Group/</w:t>
            </w:r>
            <w:r w:rsidR="00DD10E9" w:rsidRPr="00BE4E08">
              <w:rPr>
                <w:sz w:val="16"/>
                <w:szCs w:val="16"/>
              </w:rPr>
              <w:t>STAIT</w:t>
            </w:r>
          </w:p>
        </w:tc>
        <w:tc>
          <w:tcPr>
            <w:tcW w:w="7455" w:type="dxa"/>
            <w:shd w:val="clear" w:color="auto" w:fill="C5E0B3" w:themeFill="accent6" w:themeFillTint="66"/>
          </w:tcPr>
          <w:p w14:paraId="538F17B2" w14:textId="092B0FE8" w:rsidR="00DD10E9" w:rsidRPr="00BE4E08" w:rsidRDefault="00BE4E08" w:rsidP="00DD10E9">
            <w:pPr>
              <w:rPr>
                <w:sz w:val="16"/>
                <w:szCs w:val="16"/>
              </w:rPr>
            </w:pPr>
            <w:r>
              <w:rPr>
                <w:sz w:val="16"/>
                <w:szCs w:val="16"/>
              </w:rPr>
              <w:t>Informal Inter-agency HPC Group</w:t>
            </w:r>
          </w:p>
        </w:tc>
      </w:tr>
    </w:tbl>
    <w:p w14:paraId="5AE75039" w14:textId="77777777" w:rsidR="00DD10E9" w:rsidRDefault="00DD10E9" w:rsidP="0079033D"/>
    <w:sectPr w:rsidR="00DD10E9" w:rsidSect="0000098D">
      <w:headerReference w:type="even" r:id="rId9"/>
      <w:footerReference w:type="even" r:id="rId10"/>
      <w:footerReference w:type="default" r:id="rId11"/>
      <w:headerReference w:type="first" r:id="rId12"/>
      <w:pgSz w:w="23814" w:h="16839" w:orient="landscape" w:code="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1E7B9" w14:textId="77777777" w:rsidR="004E09F6" w:rsidRDefault="004E09F6" w:rsidP="001D1B7E">
      <w:pPr>
        <w:spacing w:after="0" w:line="240" w:lineRule="auto"/>
      </w:pPr>
      <w:r>
        <w:separator/>
      </w:r>
    </w:p>
  </w:endnote>
  <w:endnote w:type="continuationSeparator" w:id="0">
    <w:p w14:paraId="34E8E392" w14:textId="77777777" w:rsidR="004E09F6" w:rsidRDefault="004E09F6" w:rsidP="001D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73C6A" w14:textId="77777777" w:rsidR="00D62E65" w:rsidRDefault="00D62E65" w:rsidP="008A07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304AE" w14:textId="77777777" w:rsidR="00D62E65" w:rsidRDefault="00D62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615B4" w14:textId="77777777" w:rsidR="00D62E65" w:rsidRDefault="00D62E65" w:rsidP="008A07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33D">
      <w:rPr>
        <w:rStyle w:val="PageNumber"/>
        <w:noProof/>
      </w:rPr>
      <w:t>2</w:t>
    </w:r>
    <w:r>
      <w:rPr>
        <w:rStyle w:val="PageNumber"/>
      </w:rPr>
      <w:fldChar w:fldCharType="end"/>
    </w:r>
  </w:p>
  <w:p w14:paraId="2049148D" w14:textId="77777777" w:rsidR="00D62E65" w:rsidRDefault="00D62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4034A" w14:textId="77777777" w:rsidR="004E09F6" w:rsidRDefault="004E09F6" w:rsidP="001D1B7E">
      <w:pPr>
        <w:spacing w:after="0" w:line="240" w:lineRule="auto"/>
      </w:pPr>
      <w:r>
        <w:separator/>
      </w:r>
    </w:p>
  </w:footnote>
  <w:footnote w:type="continuationSeparator" w:id="0">
    <w:p w14:paraId="7C8C5614" w14:textId="77777777" w:rsidR="004E09F6" w:rsidRDefault="004E09F6" w:rsidP="001D1B7E">
      <w:pPr>
        <w:spacing w:after="0" w:line="240" w:lineRule="auto"/>
      </w:pPr>
      <w:r>
        <w:continuationSeparator/>
      </w:r>
    </w:p>
  </w:footnote>
  <w:footnote w:id="1">
    <w:p w14:paraId="08FAC14F" w14:textId="54F3AE8B" w:rsidR="00344C8F" w:rsidRPr="00BE4E08" w:rsidRDefault="00344C8F">
      <w:pPr>
        <w:pStyle w:val="FootnoteText"/>
        <w:rPr>
          <w:sz w:val="16"/>
          <w:szCs w:val="16"/>
          <w:lang w:val="en-US"/>
        </w:rPr>
      </w:pPr>
      <w:r w:rsidRPr="00BE4E08">
        <w:rPr>
          <w:rStyle w:val="FootnoteReference"/>
          <w:sz w:val="16"/>
          <w:szCs w:val="16"/>
        </w:rPr>
        <w:footnoteRef/>
      </w:r>
      <w:r w:rsidRPr="00BE4E08">
        <w:rPr>
          <w:sz w:val="16"/>
          <w:szCs w:val="16"/>
        </w:rPr>
        <w:t xml:space="preserve"> </w:t>
      </w:r>
      <w:r w:rsidRPr="00BE4E08">
        <w:rPr>
          <w:sz w:val="16"/>
          <w:szCs w:val="16"/>
          <w:lang w:val="en-US"/>
        </w:rPr>
        <w:t>Development Initiatives is an active member of the IASC HFTT.</w:t>
      </w:r>
    </w:p>
  </w:footnote>
  <w:footnote w:id="2">
    <w:p w14:paraId="7CDA1FCE" w14:textId="3CB6D4C1" w:rsidR="005A0946" w:rsidRPr="005A0946" w:rsidRDefault="005A0946">
      <w:pPr>
        <w:pStyle w:val="FootnoteText"/>
        <w:rPr>
          <w:lang w:val="en-US"/>
        </w:rPr>
      </w:pPr>
      <w:r w:rsidRPr="00BE4E08">
        <w:rPr>
          <w:rStyle w:val="FootnoteReference"/>
          <w:sz w:val="16"/>
          <w:szCs w:val="16"/>
        </w:rPr>
        <w:footnoteRef/>
      </w:r>
      <w:r w:rsidRPr="00BE4E08">
        <w:rPr>
          <w:sz w:val="16"/>
          <w:szCs w:val="16"/>
        </w:rPr>
        <w:t xml:space="preserve"> </w:t>
      </w:r>
      <w:r w:rsidRPr="00BE4E08">
        <w:rPr>
          <w:rFonts w:asciiTheme="minorBidi" w:hAnsiTheme="minorBidi"/>
          <w:sz w:val="16"/>
          <w:szCs w:val="16"/>
        </w:rPr>
        <w:t>Switzerland, IFRC, ICVA, DFID, START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713C1" w14:textId="478940AC" w:rsidR="00504913" w:rsidRDefault="004E09F6">
    <w:pPr>
      <w:pStyle w:val="Header"/>
    </w:pPr>
    <w:r>
      <w:rPr>
        <w:noProof/>
      </w:rPr>
      <w:pict w14:anchorId="109F3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38.05pt;height:246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4D59E" w14:textId="58F57B8D" w:rsidR="0000098D" w:rsidRDefault="0000098D" w:rsidP="0000098D">
    <w:pPr>
      <w:pStyle w:val="Header"/>
      <w:jc w:val="center"/>
    </w:pPr>
    <w:r>
      <w:rPr>
        <w:sz w:val="32"/>
        <w:szCs w:val="32"/>
      </w:rPr>
      <w:t>C</w:t>
    </w:r>
    <w:r w:rsidRPr="004F3A39">
      <w:rPr>
        <w:sz w:val="32"/>
        <w:szCs w:val="32"/>
      </w:rPr>
      <w:t xml:space="preserve">ollective </w:t>
    </w:r>
    <w:r>
      <w:rPr>
        <w:sz w:val="32"/>
        <w:szCs w:val="32"/>
      </w:rPr>
      <w:t>Action Underway for Grand Bargain Implementation</w:t>
    </w:r>
  </w:p>
  <w:p w14:paraId="40BF69B6" w14:textId="252D7581" w:rsidR="00504913" w:rsidRDefault="00504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75D"/>
    <w:multiLevelType w:val="hybridMultilevel"/>
    <w:tmpl w:val="A4D8681C"/>
    <w:lvl w:ilvl="0" w:tplc="0809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
    <w:nsid w:val="08ED1A13"/>
    <w:multiLevelType w:val="hybridMultilevel"/>
    <w:tmpl w:val="49768670"/>
    <w:lvl w:ilvl="0" w:tplc="F1667BDA">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EB1DA6"/>
    <w:multiLevelType w:val="hybridMultilevel"/>
    <w:tmpl w:val="28000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AB2905"/>
    <w:multiLevelType w:val="hybridMultilevel"/>
    <w:tmpl w:val="42D2C64E"/>
    <w:lvl w:ilvl="0" w:tplc="0409000F">
      <w:start w:val="1"/>
      <w:numFmt w:val="decimal"/>
      <w:lvlText w:val="%1."/>
      <w:lvlJc w:val="left"/>
      <w:pPr>
        <w:ind w:left="720" w:hanging="360"/>
      </w:pPr>
      <w:rPr>
        <w:rFonts w:hint="default"/>
      </w:rPr>
    </w:lvl>
    <w:lvl w:ilvl="1" w:tplc="F62A324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F4A18"/>
    <w:multiLevelType w:val="hybridMultilevel"/>
    <w:tmpl w:val="95AE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835F6A"/>
    <w:multiLevelType w:val="hybridMultilevel"/>
    <w:tmpl w:val="B6545F26"/>
    <w:lvl w:ilvl="0" w:tplc="377E64DA">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91387A"/>
    <w:multiLevelType w:val="hybridMultilevel"/>
    <w:tmpl w:val="CC1A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163CAF"/>
    <w:multiLevelType w:val="hybridMultilevel"/>
    <w:tmpl w:val="7E202B9C"/>
    <w:lvl w:ilvl="0" w:tplc="D7347EF2">
      <w:numFmt w:val="bullet"/>
      <w:lvlText w:val="•"/>
      <w:lvlJc w:val="left"/>
      <w:pPr>
        <w:ind w:left="720" w:hanging="360"/>
      </w:pPr>
      <w:rPr>
        <w:rFonts w:asciiTheme="minorHAnsi" w:eastAsiaTheme="minorEastAsia"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B6A0D"/>
    <w:multiLevelType w:val="hybridMultilevel"/>
    <w:tmpl w:val="BCB4B45E"/>
    <w:lvl w:ilvl="0" w:tplc="92FE9ECE">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7F3641"/>
    <w:multiLevelType w:val="hybridMultilevel"/>
    <w:tmpl w:val="37760404"/>
    <w:lvl w:ilvl="0" w:tplc="F1667BDA">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90D9D"/>
    <w:multiLevelType w:val="hybridMultilevel"/>
    <w:tmpl w:val="E7FA266E"/>
    <w:lvl w:ilvl="0" w:tplc="F99446E4">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546CE4"/>
    <w:multiLevelType w:val="hybridMultilevel"/>
    <w:tmpl w:val="86E8E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951458"/>
    <w:multiLevelType w:val="hybridMultilevel"/>
    <w:tmpl w:val="493CF91E"/>
    <w:lvl w:ilvl="0" w:tplc="830611EE">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F708B7"/>
    <w:multiLevelType w:val="hybridMultilevel"/>
    <w:tmpl w:val="9ED4A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476870"/>
    <w:multiLevelType w:val="hybridMultilevel"/>
    <w:tmpl w:val="F2DE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D45976"/>
    <w:multiLevelType w:val="hybridMultilevel"/>
    <w:tmpl w:val="7982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712CBF"/>
    <w:multiLevelType w:val="hybridMultilevel"/>
    <w:tmpl w:val="BB58C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213C07"/>
    <w:multiLevelType w:val="hybridMultilevel"/>
    <w:tmpl w:val="7FEA9D4C"/>
    <w:lvl w:ilvl="0" w:tplc="17F6ADDC">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5578A5"/>
    <w:multiLevelType w:val="hybridMultilevel"/>
    <w:tmpl w:val="E1088548"/>
    <w:lvl w:ilvl="0" w:tplc="F1667BDA">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37941"/>
    <w:multiLevelType w:val="hybridMultilevel"/>
    <w:tmpl w:val="F8C06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1F6967"/>
    <w:multiLevelType w:val="hybridMultilevel"/>
    <w:tmpl w:val="00A28EFA"/>
    <w:lvl w:ilvl="0" w:tplc="ECFE57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19"/>
  </w:num>
  <w:num w:numId="4">
    <w:abstractNumId w:val="6"/>
  </w:num>
  <w:num w:numId="5">
    <w:abstractNumId w:val="14"/>
  </w:num>
  <w:num w:numId="6">
    <w:abstractNumId w:val="5"/>
  </w:num>
  <w:num w:numId="7">
    <w:abstractNumId w:val="20"/>
  </w:num>
  <w:num w:numId="8">
    <w:abstractNumId w:val="15"/>
  </w:num>
  <w:num w:numId="9">
    <w:abstractNumId w:val="4"/>
  </w:num>
  <w:num w:numId="10">
    <w:abstractNumId w:val="7"/>
  </w:num>
  <w:num w:numId="11">
    <w:abstractNumId w:val="12"/>
  </w:num>
  <w:num w:numId="12">
    <w:abstractNumId w:val="17"/>
  </w:num>
  <w:num w:numId="13">
    <w:abstractNumId w:val="10"/>
  </w:num>
  <w:num w:numId="14">
    <w:abstractNumId w:val="8"/>
  </w:num>
  <w:num w:numId="15">
    <w:abstractNumId w:val="0"/>
  </w:num>
  <w:num w:numId="16">
    <w:abstractNumId w:val="3"/>
  </w:num>
  <w:num w:numId="17">
    <w:abstractNumId w:val="13"/>
  </w:num>
  <w:num w:numId="18">
    <w:abstractNumId w:val="2"/>
  </w:num>
  <w:num w:numId="19">
    <w:abstractNumId w:val="18"/>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A4"/>
    <w:rsid w:val="0000098D"/>
    <w:rsid w:val="0006023F"/>
    <w:rsid w:val="00087037"/>
    <w:rsid w:val="00087A97"/>
    <w:rsid w:val="000B36A4"/>
    <w:rsid w:val="000F71E5"/>
    <w:rsid w:val="0013455C"/>
    <w:rsid w:val="00146079"/>
    <w:rsid w:val="00150305"/>
    <w:rsid w:val="0016061D"/>
    <w:rsid w:val="001A2635"/>
    <w:rsid w:val="001D1B7E"/>
    <w:rsid w:val="002267FE"/>
    <w:rsid w:val="00226F16"/>
    <w:rsid w:val="002336CF"/>
    <w:rsid w:val="00265977"/>
    <w:rsid w:val="002B0866"/>
    <w:rsid w:val="002D4B24"/>
    <w:rsid w:val="002E51DF"/>
    <w:rsid w:val="00336A25"/>
    <w:rsid w:val="00344C8F"/>
    <w:rsid w:val="00376D87"/>
    <w:rsid w:val="00380F5C"/>
    <w:rsid w:val="00391AB3"/>
    <w:rsid w:val="003A2B3C"/>
    <w:rsid w:val="003C60C9"/>
    <w:rsid w:val="00452F55"/>
    <w:rsid w:val="00455A46"/>
    <w:rsid w:val="00492428"/>
    <w:rsid w:val="004C4BE3"/>
    <w:rsid w:val="004D6AD1"/>
    <w:rsid w:val="004E09F6"/>
    <w:rsid w:val="004F3A39"/>
    <w:rsid w:val="00504913"/>
    <w:rsid w:val="0052664B"/>
    <w:rsid w:val="00537288"/>
    <w:rsid w:val="00551420"/>
    <w:rsid w:val="005560B8"/>
    <w:rsid w:val="005A0946"/>
    <w:rsid w:val="005F3C86"/>
    <w:rsid w:val="006317E2"/>
    <w:rsid w:val="00633C7F"/>
    <w:rsid w:val="00650AE6"/>
    <w:rsid w:val="00652398"/>
    <w:rsid w:val="006A56C0"/>
    <w:rsid w:val="006D5F49"/>
    <w:rsid w:val="006F1C98"/>
    <w:rsid w:val="006F2C83"/>
    <w:rsid w:val="00715430"/>
    <w:rsid w:val="007435A7"/>
    <w:rsid w:val="00775FBA"/>
    <w:rsid w:val="00780E37"/>
    <w:rsid w:val="00781257"/>
    <w:rsid w:val="0079033D"/>
    <w:rsid w:val="007C0BA1"/>
    <w:rsid w:val="007C3404"/>
    <w:rsid w:val="007D2DD2"/>
    <w:rsid w:val="008239C4"/>
    <w:rsid w:val="00827D91"/>
    <w:rsid w:val="00844B1C"/>
    <w:rsid w:val="00850E68"/>
    <w:rsid w:val="008A65B0"/>
    <w:rsid w:val="008C5267"/>
    <w:rsid w:val="008D56B1"/>
    <w:rsid w:val="008E3DCF"/>
    <w:rsid w:val="008E66B9"/>
    <w:rsid w:val="008E7B39"/>
    <w:rsid w:val="00914DBA"/>
    <w:rsid w:val="00945597"/>
    <w:rsid w:val="009B5B09"/>
    <w:rsid w:val="00A35577"/>
    <w:rsid w:val="00A8555A"/>
    <w:rsid w:val="00AC6284"/>
    <w:rsid w:val="00AD5244"/>
    <w:rsid w:val="00B0207E"/>
    <w:rsid w:val="00B17CEA"/>
    <w:rsid w:val="00B41463"/>
    <w:rsid w:val="00B42A5B"/>
    <w:rsid w:val="00B64C26"/>
    <w:rsid w:val="00B87E49"/>
    <w:rsid w:val="00BA292C"/>
    <w:rsid w:val="00BA6C78"/>
    <w:rsid w:val="00BA70B8"/>
    <w:rsid w:val="00BB0ED4"/>
    <w:rsid w:val="00BC1A64"/>
    <w:rsid w:val="00BE4E08"/>
    <w:rsid w:val="00C47542"/>
    <w:rsid w:val="00C62594"/>
    <w:rsid w:val="00C77D91"/>
    <w:rsid w:val="00CA3745"/>
    <w:rsid w:val="00D16D92"/>
    <w:rsid w:val="00D26113"/>
    <w:rsid w:val="00D323A7"/>
    <w:rsid w:val="00D45980"/>
    <w:rsid w:val="00D62990"/>
    <w:rsid w:val="00D62E65"/>
    <w:rsid w:val="00D72DAA"/>
    <w:rsid w:val="00D75D09"/>
    <w:rsid w:val="00D8606F"/>
    <w:rsid w:val="00DA0984"/>
    <w:rsid w:val="00DA456F"/>
    <w:rsid w:val="00DD10E9"/>
    <w:rsid w:val="00E47FB4"/>
    <w:rsid w:val="00EA354D"/>
    <w:rsid w:val="00EC7E9A"/>
    <w:rsid w:val="00ED3C16"/>
    <w:rsid w:val="00F07BB3"/>
    <w:rsid w:val="00F21D83"/>
    <w:rsid w:val="00F2639F"/>
    <w:rsid w:val="00F87EB9"/>
    <w:rsid w:val="00F9641D"/>
    <w:rsid w:val="00FB198E"/>
    <w:rsid w:val="00FB3328"/>
    <w:rsid w:val="00FB65BB"/>
    <w:rsid w:val="00FC2F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06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emier,Paragrap,MCHIP_list paragraph,List Paragraph1,Recommendation,References,List Paragraph (numbered (a)),Bullets,Liste 1,Numbered List Paragraph,List Bullet Mary,Medium Grid 1 - Accent 21,ReferencesCxSpLast,List Paragraph nowy,normal"/>
    <w:basedOn w:val="Normal"/>
    <w:link w:val="ListParagraphChar"/>
    <w:uiPriority w:val="34"/>
    <w:qFormat/>
    <w:rsid w:val="00B41463"/>
    <w:pPr>
      <w:ind w:left="720"/>
      <w:contextualSpacing/>
    </w:pPr>
  </w:style>
  <w:style w:type="paragraph" w:customStyle="1" w:styleId="Default">
    <w:name w:val="Default"/>
    <w:rsid w:val="00D16D9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1D1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7E"/>
  </w:style>
  <w:style w:type="paragraph" w:styleId="Footer">
    <w:name w:val="footer"/>
    <w:basedOn w:val="Normal"/>
    <w:link w:val="FooterChar"/>
    <w:uiPriority w:val="99"/>
    <w:unhideWhenUsed/>
    <w:rsid w:val="001D1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7E"/>
  </w:style>
  <w:style w:type="paragraph" w:styleId="BalloonText">
    <w:name w:val="Balloon Text"/>
    <w:basedOn w:val="Normal"/>
    <w:link w:val="BalloonTextChar"/>
    <w:uiPriority w:val="99"/>
    <w:semiHidden/>
    <w:unhideWhenUsed/>
    <w:rsid w:val="00844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1C"/>
    <w:rPr>
      <w:rFonts w:ascii="Segoe UI" w:hAnsi="Segoe UI" w:cs="Segoe UI"/>
      <w:sz w:val="18"/>
      <w:szCs w:val="18"/>
    </w:rPr>
  </w:style>
  <w:style w:type="character" w:customStyle="1" w:styleId="ListParagraphChar">
    <w:name w:val="List Paragraph Char"/>
    <w:aliases w:val="Premier Char,Paragrap Char,MCHIP_list paragraph Char,List Paragraph1 Char,Recommendation Char,References Char,List Paragraph (numbered (a)) Char,Bullets Char,Liste 1 Char,Numbered List Paragraph Char,List Bullet Mary Char,normal Char"/>
    <w:basedOn w:val="DefaultParagraphFont"/>
    <w:link w:val="ListParagraph"/>
    <w:uiPriority w:val="34"/>
    <w:rsid w:val="003C60C9"/>
  </w:style>
  <w:style w:type="character" w:styleId="PageNumber">
    <w:name w:val="page number"/>
    <w:basedOn w:val="DefaultParagraphFont"/>
    <w:uiPriority w:val="99"/>
    <w:semiHidden/>
    <w:unhideWhenUsed/>
    <w:rsid w:val="00D62E65"/>
  </w:style>
  <w:style w:type="paragraph" w:styleId="FootnoteText">
    <w:name w:val="footnote text"/>
    <w:basedOn w:val="Normal"/>
    <w:link w:val="FootnoteTextChar"/>
    <w:uiPriority w:val="99"/>
    <w:unhideWhenUsed/>
    <w:rsid w:val="00344C8F"/>
    <w:pPr>
      <w:spacing w:after="0" w:line="240" w:lineRule="auto"/>
    </w:pPr>
    <w:rPr>
      <w:sz w:val="24"/>
      <w:szCs w:val="24"/>
    </w:rPr>
  </w:style>
  <w:style w:type="character" w:customStyle="1" w:styleId="FootnoteTextChar">
    <w:name w:val="Footnote Text Char"/>
    <w:basedOn w:val="DefaultParagraphFont"/>
    <w:link w:val="FootnoteText"/>
    <w:uiPriority w:val="99"/>
    <w:rsid w:val="00344C8F"/>
    <w:rPr>
      <w:sz w:val="24"/>
      <w:szCs w:val="24"/>
    </w:rPr>
  </w:style>
  <w:style w:type="character" w:styleId="FootnoteReference">
    <w:name w:val="footnote reference"/>
    <w:basedOn w:val="DefaultParagraphFont"/>
    <w:uiPriority w:val="99"/>
    <w:unhideWhenUsed/>
    <w:rsid w:val="00344C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emier,Paragrap,MCHIP_list paragraph,List Paragraph1,Recommendation,References,List Paragraph (numbered (a)),Bullets,Liste 1,Numbered List Paragraph,List Bullet Mary,Medium Grid 1 - Accent 21,ReferencesCxSpLast,List Paragraph nowy,normal"/>
    <w:basedOn w:val="Normal"/>
    <w:link w:val="ListParagraphChar"/>
    <w:uiPriority w:val="34"/>
    <w:qFormat/>
    <w:rsid w:val="00B41463"/>
    <w:pPr>
      <w:ind w:left="720"/>
      <w:contextualSpacing/>
    </w:pPr>
  </w:style>
  <w:style w:type="paragraph" w:customStyle="1" w:styleId="Default">
    <w:name w:val="Default"/>
    <w:rsid w:val="00D16D9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1D1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7E"/>
  </w:style>
  <w:style w:type="paragraph" w:styleId="Footer">
    <w:name w:val="footer"/>
    <w:basedOn w:val="Normal"/>
    <w:link w:val="FooterChar"/>
    <w:uiPriority w:val="99"/>
    <w:unhideWhenUsed/>
    <w:rsid w:val="001D1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7E"/>
  </w:style>
  <w:style w:type="paragraph" w:styleId="BalloonText">
    <w:name w:val="Balloon Text"/>
    <w:basedOn w:val="Normal"/>
    <w:link w:val="BalloonTextChar"/>
    <w:uiPriority w:val="99"/>
    <w:semiHidden/>
    <w:unhideWhenUsed/>
    <w:rsid w:val="00844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1C"/>
    <w:rPr>
      <w:rFonts w:ascii="Segoe UI" w:hAnsi="Segoe UI" w:cs="Segoe UI"/>
      <w:sz w:val="18"/>
      <w:szCs w:val="18"/>
    </w:rPr>
  </w:style>
  <w:style w:type="character" w:customStyle="1" w:styleId="ListParagraphChar">
    <w:name w:val="List Paragraph Char"/>
    <w:aliases w:val="Premier Char,Paragrap Char,MCHIP_list paragraph Char,List Paragraph1 Char,Recommendation Char,References Char,List Paragraph (numbered (a)) Char,Bullets Char,Liste 1 Char,Numbered List Paragraph Char,List Bullet Mary Char,normal Char"/>
    <w:basedOn w:val="DefaultParagraphFont"/>
    <w:link w:val="ListParagraph"/>
    <w:uiPriority w:val="34"/>
    <w:rsid w:val="003C60C9"/>
  </w:style>
  <w:style w:type="character" w:styleId="PageNumber">
    <w:name w:val="page number"/>
    <w:basedOn w:val="DefaultParagraphFont"/>
    <w:uiPriority w:val="99"/>
    <w:semiHidden/>
    <w:unhideWhenUsed/>
    <w:rsid w:val="00D62E65"/>
  </w:style>
  <w:style w:type="paragraph" w:styleId="FootnoteText">
    <w:name w:val="footnote text"/>
    <w:basedOn w:val="Normal"/>
    <w:link w:val="FootnoteTextChar"/>
    <w:uiPriority w:val="99"/>
    <w:unhideWhenUsed/>
    <w:rsid w:val="00344C8F"/>
    <w:pPr>
      <w:spacing w:after="0" w:line="240" w:lineRule="auto"/>
    </w:pPr>
    <w:rPr>
      <w:sz w:val="24"/>
      <w:szCs w:val="24"/>
    </w:rPr>
  </w:style>
  <w:style w:type="character" w:customStyle="1" w:styleId="FootnoteTextChar">
    <w:name w:val="Footnote Text Char"/>
    <w:basedOn w:val="DefaultParagraphFont"/>
    <w:link w:val="FootnoteText"/>
    <w:uiPriority w:val="99"/>
    <w:rsid w:val="00344C8F"/>
    <w:rPr>
      <w:sz w:val="24"/>
      <w:szCs w:val="24"/>
    </w:rPr>
  </w:style>
  <w:style w:type="character" w:styleId="FootnoteReference">
    <w:name w:val="footnote reference"/>
    <w:basedOn w:val="DefaultParagraphFont"/>
    <w:uiPriority w:val="99"/>
    <w:unhideWhenUsed/>
    <w:rsid w:val="00344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32B32-5CCD-46BE-A4B7-E546623C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ESCODA BRUNED</dc:creator>
  <cp:lastModifiedBy>Melanie Lachica</cp:lastModifiedBy>
  <cp:revision>2</cp:revision>
  <cp:lastPrinted>2016-10-17T11:41:00Z</cp:lastPrinted>
  <dcterms:created xsi:type="dcterms:W3CDTF">2016-10-18T15:07:00Z</dcterms:created>
  <dcterms:modified xsi:type="dcterms:W3CDTF">2016-10-18T15:07:00Z</dcterms:modified>
</cp:coreProperties>
</file>