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5717A" w14:textId="77777777" w:rsidR="00292474" w:rsidRPr="00CD16D5" w:rsidRDefault="0009313F" w:rsidP="00292474">
      <w:pPr>
        <w:rPr>
          <w:rFonts w:ascii="Arial" w:hAnsi="Arial" w:cs="Arial"/>
          <w:b/>
          <w:bCs/>
          <w:color w:val="000000"/>
          <w:sz w:val="20"/>
          <w:szCs w:val="20"/>
          <w:u w:val="single"/>
          <w:lang w:val="en-US"/>
        </w:rPr>
      </w:pPr>
      <w:r w:rsidRPr="00CD16D5">
        <w:rPr>
          <w:rFonts w:ascii="Arial" w:hAnsi="Arial" w:cs="Arial"/>
          <w:b/>
          <w:bCs/>
          <w:noProof/>
          <w:color w:val="000000"/>
          <w:sz w:val="20"/>
          <w:szCs w:val="20"/>
          <w:u w:val="single"/>
          <w:lang w:val="en-US" w:eastAsia="zh-CN"/>
        </w:rPr>
        <mc:AlternateContent>
          <mc:Choice Requires="wps">
            <w:drawing>
              <wp:anchor distT="0" distB="0" distL="114300" distR="114300" simplePos="0" relativeHeight="251694080" behindDoc="0" locked="0" layoutInCell="1" allowOverlap="1" wp14:anchorId="1EB57191" wp14:editId="1EB57192">
                <wp:simplePos x="0" y="0"/>
                <wp:positionH relativeFrom="column">
                  <wp:posOffset>-159488</wp:posOffset>
                </wp:positionH>
                <wp:positionV relativeFrom="paragraph">
                  <wp:posOffset>-340242</wp:posOffset>
                </wp:positionV>
                <wp:extent cx="6985590" cy="1095154"/>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590" cy="1095154"/>
                        </a:xfrm>
                        <a:prstGeom prst="rect">
                          <a:avLst/>
                        </a:prstGeom>
                        <a:solidFill>
                          <a:schemeClr val="tx2">
                            <a:lumMod val="40000"/>
                            <a:lumOff val="60000"/>
                          </a:schemeClr>
                        </a:solidFill>
                        <a:ln w="9525">
                          <a:solidFill>
                            <a:srgbClr val="000000"/>
                          </a:solidFill>
                          <a:miter lim="800000"/>
                          <a:headEnd/>
                          <a:tailEnd/>
                        </a:ln>
                      </wps:spPr>
                      <wps:txbx>
                        <w:txbxContent>
                          <w:p w14:paraId="1EB571B1" w14:textId="77777777" w:rsidR="00D10265" w:rsidRPr="0009313F" w:rsidRDefault="00D10265" w:rsidP="0009313F">
                            <w:pPr>
                              <w:jc w:val="center"/>
                              <w:rPr>
                                <w:rFonts w:ascii="Verdana" w:hAnsi="Verdana" w:cs="Arial"/>
                                <w:b/>
                                <w:bCs/>
                                <w:sz w:val="2"/>
                              </w:rPr>
                            </w:pPr>
                          </w:p>
                          <w:p w14:paraId="1EB571B2" w14:textId="6FD0A12D" w:rsidR="00D10265" w:rsidRPr="005A1F3B" w:rsidRDefault="00D10265" w:rsidP="002A7521">
                            <w:pPr>
                              <w:pStyle w:val="NoSpacing"/>
                              <w:jc w:val="center"/>
                              <w:rPr>
                                <w:b/>
                                <w:color w:val="FFFFFF" w:themeColor="background1"/>
                                <w:sz w:val="36"/>
                                <w14:textOutline w14:w="9525" w14:cap="rnd" w14:cmpd="sng" w14:algn="ctr">
                                  <w14:noFill/>
                                  <w14:prstDash w14:val="solid"/>
                                  <w14:bevel/>
                                </w14:textOutline>
                              </w:rPr>
                            </w:pPr>
                            <w:r w:rsidRPr="005A1F3B">
                              <w:rPr>
                                <w:b/>
                                <w:color w:val="FFFFFF" w:themeColor="background1"/>
                                <w:sz w:val="36"/>
                                <w14:textOutline w14:w="9525" w14:cap="rnd" w14:cmpd="sng" w14:algn="ctr">
                                  <w14:noFill/>
                                  <w14:prstDash w14:val="solid"/>
                                  <w14:bevel/>
                                </w14:textOutline>
                              </w:rPr>
                              <w:t xml:space="preserve">IASC Priority/Task Team Progress Report </w:t>
                            </w:r>
                            <w:r w:rsidR="00BD163A">
                              <w:rPr>
                                <w:b/>
                                <w:color w:val="FFFFFF" w:themeColor="background1"/>
                                <w:sz w:val="36"/>
                                <w14:textOutline w14:w="9525" w14:cap="rnd" w14:cmpd="sng" w14:algn="ctr">
                                  <w14:noFill/>
                                  <w14:prstDash w14:val="solid"/>
                                  <w14:bevel/>
                                </w14:textOutline>
                              </w:rPr>
                              <w:t>2016-2017</w:t>
                            </w:r>
                            <w:r w:rsidRPr="005A1F3B">
                              <w:rPr>
                                <w:b/>
                                <w:color w:val="FFFFFF" w:themeColor="background1"/>
                                <w:sz w:val="36"/>
                                <w14:textOutline w14:w="9525" w14:cap="rnd" w14:cmpd="sng" w14:algn="ctr">
                                  <w14:noFill/>
                                  <w14:prstDash w14:val="solid"/>
                                  <w14:bevel/>
                                </w14:textOutline>
                              </w:rPr>
                              <w:t>:</w:t>
                            </w:r>
                          </w:p>
                          <w:p w14:paraId="1EB571B3" w14:textId="425E27D6" w:rsidR="00D10265" w:rsidRPr="002A7521" w:rsidRDefault="00D10265" w:rsidP="002A7521">
                            <w:pPr>
                              <w:pStyle w:val="NoSpacing"/>
                              <w:jc w:val="center"/>
                              <w:rPr>
                                <w:b/>
                                <w:color w:val="FFFFFF" w:themeColor="background1"/>
                                <w:sz w:val="40"/>
                                <w14:textOutline w14:w="9525" w14:cap="rnd" w14:cmpd="sng" w14:algn="ctr">
                                  <w14:solidFill>
                                    <w14:schemeClr w14:val="accent1">
                                      <w14:lumMod w14:val="75000"/>
                                    </w14:schemeClr>
                                  </w14:solidFill>
                                  <w14:prstDash w14:val="solid"/>
                                  <w14:bevel/>
                                </w14:textOutline>
                              </w:rPr>
                            </w:pPr>
                            <w:r w:rsidRPr="005A1F3B">
                              <w:rPr>
                                <w:b/>
                                <w:color w:val="FFFFFF" w:themeColor="background1"/>
                                <w:sz w:val="40"/>
                                <w14:textOutline w14:w="9525" w14:cap="rnd" w14:cmpd="sng" w14:algn="ctr">
                                  <w14:solidFill>
                                    <w14:schemeClr w14:val="accent1">
                                      <w14:lumMod w14:val="75000"/>
                                    </w14:schemeClr>
                                  </w14:solidFill>
                                  <w14:prstDash w14:val="solid"/>
                                  <w14:bevel/>
                                </w14:textOutline>
                              </w:rPr>
                              <w:t xml:space="preserve">IASC </w:t>
                            </w:r>
                            <w:r w:rsidR="00BD163A">
                              <w:rPr>
                                <w:b/>
                                <w:color w:val="FFFFFF" w:themeColor="background1"/>
                                <w:sz w:val="40"/>
                                <w14:textOutline w14:w="9525" w14:cap="rnd" w14:cmpd="sng" w14:algn="ctr">
                                  <w14:solidFill>
                                    <w14:schemeClr w14:val="accent1">
                                      <w14:lumMod w14:val="75000"/>
                                    </w14:schemeClr>
                                  </w14:solidFill>
                                  <w14:prstDash w14:val="solid"/>
                                  <w14:bevel/>
                                </w14:textOutline>
                              </w:rPr>
                              <w:t>Reference Group</w:t>
                            </w:r>
                            <w:r w:rsidRPr="005A1F3B">
                              <w:rPr>
                                <w:b/>
                                <w:color w:val="FFFFFF" w:themeColor="background1"/>
                                <w:sz w:val="40"/>
                                <w14:textOutline w14:w="9525" w14:cap="rnd" w14:cmpd="sng" w14:algn="ctr">
                                  <w14:solidFill>
                                    <w14:schemeClr w14:val="accent1">
                                      <w14:lumMod w14:val="75000"/>
                                    </w14:schemeClr>
                                  </w14:solidFill>
                                  <w14:prstDash w14:val="solid"/>
                                  <w14:bevel/>
                                </w14:textOutline>
                              </w:rPr>
                              <w:t xml:space="preserve"> on Principled Humanitarian Action (PHA)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57191" id="_x0000_t202" coordsize="21600,21600" o:spt="202" path="m,l,21600r21600,l21600,xe">
                <v:stroke joinstyle="miter"/>
                <v:path gradientshapeok="t" o:connecttype="rect"/>
              </v:shapetype>
              <v:shape id="Text Box 2" o:spid="_x0000_s1026" type="#_x0000_t202" style="position:absolute;margin-left:-12.55pt;margin-top:-26.8pt;width:550.05pt;height:8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" fillcolor="#8db3e2 [1311]">
                <v:textbox>
                  <w:txbxContent>
                    <w:p w14:paraId="1EB571B1" w14:textId="77777777" w:rsidR="00D10265" w:rsidRPr="0009313F" w:rsidRDefault="00D10265" w:rsidP="0009313F">
                      <w:pPr>
                        <w:jc w:val="center"/>
                        <w:rPr>
                          <w:rFonts w:ascii="Verdana" w:hAnsi="Verdana" w:cs="Arial"/>
                          <w:b/>
                          <w:bCs/>
                          <w:sz w:val="2"/>
                        </w:rPr>
                      </w:pPr>
                    </w:p>
                    <w:p w14:paraId="1EB571B2" w14:textId="6FD0A12D" w:rsidR="00D10265" w:rsidRPr="005A1F3B" w:rsidRDefault="00D10265" w:rsidP="002A7521">
                      <w:pPr>
                        <w:pStyle w:val="NoSpacing"/>
                        <w:jc w:val="center"/>
                        <w:rPr>
                          <w:b/>
                          <w:color w:val="FFFFFF" w:themeColor="background1"/>
                          <w:sz w:val="36"/>
                          <w14:textOutline w14:w="9525" w14:cap="rnd" w14:cmpd="sng" w14:algn="ctr">
                            <w14:noFill/>
                            <w14:prstDash w14:val="solid"/>
                            <w14:bevel/>
                          </w14:textOutline>
                        </w:rPr>
                      </w:pPr>
                      <w:r w:rsidRPr="005A1F3B">
                        <w:rPr>
                          <w:b/>
                          <w:color w:val="FFFFFF" w:themeColor="background1"/>
                          <w:sz w:val="36"/>
                          <w14:textOutline w14:w="9525" w14:cap="rnd" w14:cmpd="sng" w14:algn="ctr">
                            <w14:noFill/>
                            <w14:prstDash w14:val="solid"/>
                            <w14:bevel/>
                          </w14:textOutline>
                        </w:rPr>
                        <w:t xml:space="preserve">IASC Priority/Task Team Progress Report </w:t>
                      </w:r>
                      <w:r w:rsidR="00BD163A">
                        <w:rPr>
                          <w:b/>
                          <w:color w:val="FFFFFF" w:themeColor="background1"/>
                          <w:sz w:val="36"/>
                          <w14:textOutline w14:w="9525" w14:cap="rnd" w14:cmpd="sng" w14:algn="ctr">
                            <w14:noFill/>
                            <w14:prstDash w14:val="solid"/>
                            <w14:bevel/>
                          </w14:textOutline>
                        </w:rPr>
                        <w:t>2016-2017</w:t>
                      </w:r>
                      <w:r w:rsidRPr="005A1F3B">
                        <w:rPr>
                          <w:b/>
                          <w:color w:val="FFFFFF" w:themeColor="background1"/>
                          <w:sz w:val="36"/>
                          <w14:textOutline w14:w="9525" w14:cap="rnd" w14:cmpd="sng" w14:algn="ctr">
                            <w14:noFill/>
                            <w14:prstDash w14:val="solid"/>
                            <w14:bevel/>
                          </w14:textOutline>
                        </w:rPr>
                        <w:t>:</w:t>
                      </w:r>
                    </w:p>
                    <w:p w14:paraId="1EB571B3" w14:textId="425E27D6" w:rsidR="00D10265" w:rsidRPr="002A7521" w:rsidRDefault="00D10265" w:rsidP="002A7521">
                      <w:pPr>
                        <w:pStyle w:val="NoSpacing"/>
                        <w:jc w:val="center"/>
                        <w:rPr>
                          <w:b/>
                          <w:color w:val="FFFFFF" w:themeColor="background1"/>
                          <w:sz w:val="40"/>
                          <w14:textOutline w14:w="9525" w14:cap="rnd" w14:cmpd="sng" w14:algn="ctr">
                            <w14:solidFill>
                              <w14:schemeClr w14:val="accent1">
                                <w14:lumMod w14:val="75000"/>
                              </w14:schemeClr>
                            </w14:solidFill>
                            <w14:prstDash w14:val="solid"/>
                            <w14:bevel/>
                          </w14:textOutline>
                        </w:rPr>
                      </w:pPr>
                      <w:r w:rsidRPr="005A1F3B">
                        <w:rPr>
                          <w:b/>
                          <w:color w:val="FFFFFF" w:themeColor="background1"/>
                          <w:sz w:val="40"/>
                          <w14:textOutline w14:w="9525" w14:cap="rnd" w14:cmpd="sng" w14:algn="ctr">
                            <w14:solidFill>
                              <w14:schemeClr w14:val="accent1">
                                <w14:lumMod w14:val="75000"/>
                              </w14:schemeClr>
                            </w14:solidFill>
                            <w14:prstDash w14:val="solid"/>
                            <w14:bevel/>
                          </w14:textOutline>
                        </w:rPr>
                        <w:t xml:space="preserve">IASC </w:t>
                      </w:r>
                      <w:r w:rsidR="00BD163A">
                        <w:rPr>
                          <w:b/>
                          <w:color w:val="FFFFFF" w:themeColor="background1"/>
                          <w:sz w:val="40"/>
                          <w14:textOutline w14:w="9525" w14:cap="rnd" w14:cmpd="sng" w14:algn="ctr">
                            <w14:solidFill>
                              <w14:schemeClr w14:val="accent1">
                                <w14:lumMod w14:val="75000"/>
                              </w14:schemeClr>
                            </w14:solidFill>
                            <w14:prstDash w14:val="solid"/>
                            <w14:bevel/>
                          </w14:textOutline>
                        </w:rPr>
                        <w:t>Reference Group</w:t>
                      </w:r>
                      <w:r w:rsidRPr="005A1F3B">
                        <w:rPr>
                          <w:b/>
                          <w:color w:val="FFFFFF" w:themeColor="background1"/>
                          <w:sz w:val="40"/>
                          <w14:textOutline w14:w="9525" w14:cap="rnd" w14:cmpd="sng" w14:algn="ctr">
                            <w14:solidFill>
                              <w14:schemeClr w14:val="accent1">
                                <w14:lumMod w14:val="75000"/>
                              </w14:schemeClr>
                            </w14:solidFill>
                            <w14:prstDash w14:val="solid"/>
                            <w14:bevel/>
                          </w14:textOutline>
                        </w:rPr>
                        <w:t xml:space="preserve"> on Principled Humanitarian Action (PHA)</w:t>
                      </w:r>
                    </w:p>
                  </w:txbxContent>
                </v:textbox>
              </v:shape>
            </w:pict>
          </mc:Fallback>
        </mc:AlternateContent>
      </w:r>
    </w:p>
    <w:p w14:paraId="1EB5717B" w14:textId="77777777" w:rsidR="007F3DE0" w:rsidRPr="00CD16D5" w:rsidRDefault="007F3DE0" w:rsidP="00292474">
      <w:pPr>
        <w:rPr>
          <w:rFonts w:ascii="Arial" w:hAnsi="Arial" w:cs="Arial"/>
          <w:b/>
          <w:bCs/>
          <w:color w:val="000000"/>
          <w:sz w:val="20"/>
          <w:szCs w:val="20"/>
          <w:u w:val="single"/>
          <w:lang w:val="en-US"/>
        </w:rPr>
      </w:pPr>
    </w:p>
    <w:p w14:paraId="1EB5717C" w14:textId="77777777" w:rsidR="007F3DE0" w:rsidRPr="00CD16D5" w:rsidRDefault="00C74442" w:rsidP="00292474">
      <w:pPr>
        <w:rPr>
          <w:rFonts w:ascii="Arial" w:hAnsi="Arial" w:cs="Arial"/>
          <w:b/>
          <w:bCs/>
          <w:color w:val="000000"/>
          <w:sz w:val="20"/>
          <w:szCs w:val="20"/>
          <w:u w:val="single"/>
          <w:lang w:val="en-US"/>
        </w:rPr>
      </w:pPr>
      <w:r w:rsidRPr="00CD16D5">
        <w:rPr>
          <w:rFonts w:ascii="Arial" w:hAnsi="Arial" w:cs="Arial"/>
          <w:b/>
          <w:bCs/>
          <w:noProof/>
          <w:color w:val="000000"/>
          <w:sz w:val="20"/>
          <w:szCs w:val="20"/>
          <w:lang w:val="en-US" w:eastAsia="zh-CN"/>
        </w:rPr>
        <mc:AlternateContent>
          <mc:Choice Requires="wps">
            <w:drawing>
              <wp:anchor distT="0" distB="0" distL="114300" distR="114300" simplePos="0" relativeHeight="251661312" behindDoc="0" locked="0" layoutInCell="1" allowOverlap="1" wp14:anchorId="1EB57193" wp14:editId="1EB57194">
                <wp:simplePos x="0" y="0"/>
                <wp:positionH relativeFrom="column">
                  <wp:posOffset>-158277</wp:posOffset>
                </wp:positionH>
                <wp:positionV relativeFrom="paragraph">
                  <wp:posOffset>215265</wp:posOffset>
                </wp:positionV>
                <wp:extent cx="6985000" cy="5524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52450"/>
                        </a:xfrm>
                        <a:prstGeom prst="rect">
                          <a:avLst/>
                        </a:prstGeom>
                        <a:pattFill prst="pct80">
                          <a:fgClr>
                            <a:srgbClr val="FDE8D7"/>
                          </a:fgClr>
                          <a:bgClr>
                            <a:schemeClr val="bg1"/>
                          </a:bgClr>
                        </a:pattFill>
                        <a:ln w="9525">
                          <a:solidFill>
                            <a:schemeClr val="accent5">
                              <a:lumMod val="75000"/>
                            </a:schemeClr>
                          </a:solidFill>
                          <a:miter lim="800000"/>
                          <a:headEnd/>
                          <a:tailEnd/>
                        </a:ln>
                      </wps:spPr>
                      <wps:txbx>
                        <w:txbxContent>
                          <w:p w14:paraId="1EB571B4" w14:textId="77777777" w:rsidR="00D10265" w:rsidRPr="0009313F" w:rsidRDefault="00D10265" w:rsidP="00BC4BCD">
                            <w:pPr>
                              <w:pStyle w:val="NoSpacing"/>
                              <w:jc w:val="center"/>
                              <w:rPr>
                                <w:b/>
                                <w:color w:val="E36C0A" w:themeColor="accent6" w:themeShade="BF"/>
                              </w:rPr>
                            </w:pPr>
                            <w:r w:rsidRPr="0009313F">
                              <w:rPr>
                                <w:b/>
                                <w:color w:val="E36C0A" w:themeColor="accent6" w:themeShade="BF"/>
                              </w:rPr>
                              <w:t>KEY OBJECTIVE</w:t>
                            </w:r>
                            <w:r w:rsidR="005409E0">
                              <w:rPr>
                                <w:b/>
                                <w:color w:val="E36C0A" w:themeColor="accent6" w:themeShade="BF"/>
                              </w:rPr>
                              <w:t>S</w:t>
                            </w:r>
                            <w:r w:rsidRPr="0009313F">
                              <w:rPr>
                                <w:b/>
                                <w:color w:val="E36C0A" w:themeColor="accent6" w:themeShade="BF"/>
                              </w:rPr>
                              <w:t>:</w:t>
                            </w:r>
                          </w:p>
                          <w:p w14:paraId="1EB571B5" w14:textId="77777777" w:rsidR="00D10265" w:rsidRPr="00063E87" w:rsidRDefault="00D10265" w:rsidP="00063E87">
                            <w:pPr>
                              <w:autoSpaceDE w:val="0"/>
                              <w:autoSpaceDN w:val="0"/>
                              <w:adjustRightInd w:val="0"/>
                              <w:spacing w:after="0" w:line="240" w:lineRule="auto"/>
                              <w:jc w:val="center"/>
                              <w:rPr>
                                <w:rFonts w:ascii="Calibri" w:hAnsi="Calibri" w:cs="Calibri"/>
                                <w:sz w:val="18"/>
                              </w:rPr>
                            </w:pPr>
                            <w:r w:rsidRPr="00063E87">
                              <w:rPr>
                                <w:rFonts w:ascii="Calibri" w:hAnsi="Calibri" w:cs="Calibri"/>
                                <w:sz w:val="18"/>
                              </w:rPr>
                              <w:t>To help create an environment in which</w:t>
                            </w:r>
                            <w:r>
                              <w:rPr>
                                <w:rFonts w:ascii="Calibri" w:hAnsi="Calibri" w:cs="Calibri"/>
                                <w:sz w:val="18"/>
                              </w:rPr>
                              <w:t xml:space="preserve"> humanitarian actors can better </w:t>
                            </w:r>
                            <w:r w:rsidRPr="00063E87">
                              <w:rPr>
                                <w:rFonts w:ascii="Calibri" w:hAnsi="Calibri" w:cs="Calibri"/>
                                <w:sz w:val="18"/>
                              </w:rPr>
                              <w:t xml:space="preserve">access and respond to people in need, the IASC </w:t>
                            </w:r>
                            <w:r>
                              <w:rPr>
                                <w:rFonts w:ascii="Calibri" w:hAnsi="Calibri" w:cs="Calibri"/>
                                <w:sz w:val="18"/>
                              </w:rPr>
                              <w:t xml:space="preserve">will </w:t>
                            </w:r>
                            <w:r w:rsidRPr="00063E87">
                              <w:rPr>
                                <w:rFonts w:ascii="Calibri" w:hAnsi="Calibri" w:cs="Calibri"/>
                                <w:sz w:val="18"/>
                              </w:rPr>
                              <w:t>promote adherence to</w:t>
                            </w:r>
                            <w:r>
                              <w:rPr>
                                <w:rFonts w:ascii="Calibri" w:hAnsi="Calibri" w:cs="Calibri"/>
                                <w:sz w:val="18"/>
                              </w:rPr>
                              <w:t xml:space="preserve">, and the effective </w:t>
                            </w:r>
                            <w:r w:rsidRPr="00063E87">
                              <w:rPr>
                                <w:rFonts w:ascii="Calibri" w:hAnsi="Calibri" w:cs="Calibri"/>
                                <w:sz w:val="18"/>
                              </w:rPr>
                              <w:t>operationalization of, humanitarian principles in humanitarian operations and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3" id="_x0000_s1027" type="#_x0000_t202" style="position:absolute;margin-left:-12.45pt;margin-top:16.95pt;width:550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" fillcolor="#fde8d7" strokecolor="#31849b [2408]">
                <v:fill r:id="rId11" o:title="" color2="white [3212]" type="pattern"/>
                <v:textbox>
                  <w:txbxContent>
                    <w:p w14:paraId="1EB571B4" w14:textId="77777777" w:rsidR="00D10265" w:rsidRPr="0009313F" w:rsidRDefault="00D10265" w:rsidP="00BC4BCD">
                      <w:pPr>
                        <w:pStyle w:val="NoSpacing"/>
                        <w:jc w:val="center"/>
                        <w:rPr>
                          <w:b/>
                          <w:color w:val="E36C0A" w:themeColor="accent6" w:themeShade="BF"/>
                        </w:rPr>
                      </w:pPr>
                      <w:r w:rsidRPr="0009313F">
                        <w:rPr>
                          <w:b/>
                          <w:color w:val="E36C0A" w:themeColor="accent6" w:themeShade="BF"/>
                        </w:rPr>
                        <w:t>KEY OBJECTIVE</w:t>
                      </w:r>
                      <w:r w:rsidR="005409E0">
                        <w:rPr>
                          <w:b/>
                          <w:color w:val="E36C0A" w:themeColor="accent6" w:themeShade="BF"/>
                        </w:rPr>
                        <w:t>S</w:t>
                      </w:r>
                      <w:r w:rsidRPr="0009313F">
                        <w:rPr>
                          <w:b/>
                          <w:color w:val="E36C0A" w:themeColor="accent6" w:themeShade="BF"/>
                        </w:rPr>
                        <w:t>:</w:t>
                      </w:r>
                    </w:p>
                    <w:p w14:paraId="1EB571B5" w14:textId="77777777" w:rsidR="00D10265" w:rsidRPr="00063E87" w:rsidRDefault="00D10265" w:rsidP="00063E87">
                      <w:pPr>
                        <w:autoSpaceDE w:val="0"/>
                        <w:autoSpaceDN w:val="0"/>
                        <w:adjustRightInd w:val="0"/>
                        <w:spacing w:after="0" w:line="240" w:lineRule="auto"/>
                        <w:jc w:val="center"/>
                        <w:rPr>
                          <w:rFonts w:ascii="Calibri" w:hAnsi="Calibri" w:cs="Calibri"/>
                          <w:sz w:val="18"/>
                        </w:rPr>
                      </w:pPr>
                      <w:r w:rsidRPr="00063E87">
                        <w:rPr>
                          <w:rFonts w:ascii="Calibri" w:hAnsi="Calibri" w:cs="Calibri"/>
                          <w:sz w:val="18"/>
                        </w:rPr>
                        <w:t>To help create an environment in which</w:t>
                      </w:r>
                      <w:r>
                        <w:rPr>
                          <w:rFonts w:ascii="Calibri" w:hAnsi="Calibri" w:cs="Calibri"/>
                          <w:sz w:val="18"/>
                        </w:rPr>
                        <w:t xml:space="preserve"> humanitarian actors can better </w:t>
                      </w:r>
                      <w:r w:rsidRPr="00063E87">
                        <w:rPr>
                          <w:rFonts w:ascii="Calibri" w:hAnsi="Calibri" w:cs="Calibri"/>
                          <w:sz w:val="18"/>
                        </w:rPr>
                        <w:t xml:space="preserve">access and respond to people in need, the IASC </w:t>
                      </w:r>
                      <w:r>
                        <w:rPr>
                          <w:rFonts w:ascii="Calibri" w:hAnsi="Calibri" w:cs="Calibri"/>
                          <w:sz w:val="18"/>
                        </w:rPr>
                        <w:t xml:space="preserve">will </w:t>
                      </w:r>
                      <w:r w:rsidRPr="00063E87">
                        <w:rPr>
                          <w:rFonts w:ascii="Calibri" w:hAnsi="Calibri" w:cs="Calibri"/>
                          <w:sz w:val="18"/>
                        </w:rPr>
                        <w:t>promote adherence to</w:t>
                      </w:r>
                      <w:r>
                        <w:rPr>
                          <w:rFonts w:ascii="Calibri" w:hAnsi="Calibri" w:cs="Calibri"/>
                          <w:sz w:val="18"/>
                        </w:rPr>
                        <w:t xml:space="preserve">, and the effective </w:t>
                      </w:r>
                      <w:r w:rsidRPr="00063E87">
                        <w:rPr>
                          <w:rFonts w:ascii="Calibri" w:hAnsi="Calibri" w:cs="Calibri"/>
                          <w:sz w:val="18"/>
                        </w:rPr>
                        <w:t>operationalization of, humanitarian principles in humanitarian operations and policies.</w:t>
                      </w:r>
                    </w:p>
                  </w:txbxContent>
                </v:textbox>
              </v:shape>
            </w:pict>
          </mc:Fallback>
        </mc:AlternateContent>
      </w:r>
    </w:p>
    <w:p w14:paraId="1EB5717D" w14:textId="77777777" w:rsidR="007F3DE0" w:rsidRPr="00CD16D5" w:rsidRDefault="007F3DE0" w:rsidP="00292474">
      <w:pPr>
        <w:rPr>
          <w:rFonts w:ascii="Arial" w:hAnsi="Arial" w:cs="Arial"/>
          <w:b/>
          <w:bCs/>
          <w:color w:val="000000"/>
          <w:sz w:val="20"/>
          <w:szCs w:val="20"/>
          <w:u w:val="single"/>
          <w:lang w:val="en-US"/>
        </w:rPr>
      </w:pPr>
    </w:p>
    <w:p w14:paraId="1EB5717E" w14:textId="77777777" w:rsidR="007F3DE0" w:rsidRPr="00CD16D5" w:rsidRDefault="004F12F1" w:rsidP="00292474">
      <w:pPr>
        <w:rPr>
          <w:rFonts w:ascii="Arial" w:hAnsi="Arial" w:cs="Arial"/>
          <w:b/>
          <w:bCs/>
          <w:color w:val="000000"/>
          <w:sz w:val="20"/>
          <w:szCs w:val="20"/>
          <w:u w:val="single"/>
          <w:lang w:val="en-US"/>
        </w:rPr>
      </w:pPr>
      <w:r w:rsidRPr="00CD16D5">
        <w:rPr>
          <w:rFonts w:ascii="Arial" w:hAnsi="Arial" w:cs="Arial"/>
          <w:bCs/>
          <w:noProof/>
          <w:color w:val="000000"/>
          <w:sz w:val="20"/>
          <w:szCs w:val="20"/>
          <w:lang w:val="en-US" w:eastAsia="zh-CN"/>
        </w:rPr>
        <mc:AlternateContent>
          <mc:Choice Requires="wps">
            <w:drawing>
              <wp:anchor distT="0" distB="0" distL="114300" distR="114300" simplePos="0" relativeHeight="251696128" behindDoc="0" locked="0" layoutInCell="1" allowOverlap="1" wp14:anchorId="1EB57195" wp14:editId="1EB57196">
                <wp:simplePos x="0" y="0"/>
                <wp:positionH relativeFrom="column">
                  <wp:posOffset>-230429</wp:posOffset>
                </wp:positionH>
                <wp:positionV relativeFrom="paragraph">
                  <wp:posOffset>191770</wp:posOffset>
                </wp:positionV>
                <wp:extent cx="7048795" cy="46085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795" cy="460858"/>
                        </a:xfrm>
                        <a:prstGeom prst="rect">
                          <a:avLst/>
                        </a:prstGeom>
                        <a:solidFill>
                          <a:srgbClr val="FFFFFF"/>
                        </a:solidFill>
                        <a:ln w="9525">
                          <a:noFill/>
                          <a:miter lim="800000"/>
                          <a:headEnd/>
                          <a:tailEnd/>
                        </a:ln>
                      </wps:spPr>
                      <wps:txbx>
                        <w:txbxContent>
                          <w:p w14:paraId="1EB571B6" w14:textId="77777777" w:rsidR="00D10265" w:rsidRPr="00CD16D5" w:rsidRDefault="00364D6F" w:rsidP="004F12F1">
                            <w:pPr>
                              <w:autoSpaceDE w:val="0"/>
                              <w:autoSpaceDN w:val="0"/>
                              <w:adjustRightInd w:val="0"/>
                              <w:spacing w:after="0" w:line="240" w:lineRule="auto"/>
                              <w:jc w:val="center"/>
                              <w:rPr>
                                <w:rFonts w:cs="Calibri"/>
                                <w:sz w:val="16"/>
                                <w:szCs w:val="16"/>
                              </w:rPr>
                            </w:pPr>
                            <w:r w:rsidRPr="00CD16D5">
                              <w:rPr>
                                <w:rFonts w:cs="Calibri"/>
                                <w:color w:val="FF0000"/>
                                <w:sz w:val="16"/>
                                <w:szCs w:val="16"/>
                              </w:rPr>
                              <w:t>Since early</w:t>
                            </w:r>
                            <w:r w:rsidR="00D10265" w:rsidRPr="00CD16D5">
                              <w:rPr>
                                <w:rFonts w:cs="Calibri"/>
                                <w:color w:val="FF0000"/>
                                <w:sz w:val="16"/>
                                <w:szCs w:val="16"/>
                              </w:rPr>
                              <w:t xml:space="preserve"> 2014, </w:t>
                            </w:r>
                            <w:r w:rsidR="00D10265" w:rsidRPr="00CD16D5">
                              <w:rPr>
                                <w:rFonts w:cs="Calibri"/>
                                <w:sz w:val="16"/>
                                <w:szCs w:val="16"/>
                              </w:rPr>
                              <w:t>the Task Team</w:t>
                            </w:r>
                            <w:r w:rsidR="00BD163A">
                              <w:rPr>
                                <w:rFonts w:cs="Calibri"/>
                                <w:sz w:val="16"/>
                                <w:szCs w:val="16"/>
                              </w:rPr>
                              <w:t>, now RG PHA,</w:t>
                            </w:r>
                            <w:r w:rsidR="00D10265" w:rsidRPr="00CD16D5">
                              <w:rPr>
                                <w:rFonts w:cs="Calibri"/>
                                <w:sz w:val="16"/>
                                <w:szCs w:val="16"/>
                              </w:rPr>
                              <w:t xml:space="preserve"> undertook a series of research, policy and advocacy initiatives with respect to four priority themes: namely </w:t>
                            </w:r>
                            <w:r w:rsidR="00D10265" w:rsidRPr="00CD16D5">
                              <w:rPr>
                                <w:rFonts w:cs="Calibri"/>
                                <w:b/>
                                <w:sz w:val="16"/>
                                <w:szCs w:val="16"/>
                              </w:rPr>
                              <w:t>(1)</w:t>
                            </w:r>
                            <w:r w:rsidR="00D10265" w:rsidRPr="00CD16D5">
                              <w:rPr>
                                <w:rFonts w:cs="Calibri"/>
                                <w:sz w:val="16"/>
                                <w:szCs w:val="16"/>
                              </w:rPr>
                              <w:t xml:space="preserve"> Civil-military relations and coordination (e.g. use of armed escorts); </w:t>
                            </w:r>
                            <w:r w:rsidR="00D10265" w:rsidRPr="00CD16D5">
                              <w:rPr>
                                <w:rFonts w:cs="Calibri"/>
                                <w:b/>
                                <w:sz w:val="16"/>
                                <w:szCs w:val="16"/>
                              </w:rPr>
                              <w:t>(2)</w:t>
                            </w:r>
                            <w:r w:rsidR="00D10265" w:rsidRPr="00CD16D5">
                              <w:rPr>
                                <w:rFonts w:cs="Calibri"/>
                                <w:sz w:val="16"/>
                                <w:szCs w:val="16"/>
                              </w:rPr>
                              <w:t xml:space="preserve"> UN integration, (e.g. implementation of the UN Integrated Assessment and Planning Policy); </w:t>
                            </w:r>
                            <w:r w:rsidR="00D10265" w:rsidRPr="00CD16D5">
                              <w:rPr>
                                <w:rFonts w:cs="Calibri"/>
                                <w:b/>
                                <w:sz w:val="16"/>
                                <w:szCs w:val="16"/>
                              </w:rPr>
                              <w:t>(3)</w:t>
                            </w:r>
                            <w:r w:rsidR="00D10265" w:rsidRPr="00CD16D5">
                              <w:rPr>
                                <w:rFonts w:cs="Calibri"/>
                                <w:sz w:val="16"/>
                                <w:szCs w:val="16"/>
                              </w:rPr>
                              <w:t xml:space="preserve"> Mitigating the impact of counter-terrorism measures (e.g. COTER toolkit); and</w:t>
                            </w:r>
                            <w:r w:rsidR="00D10265" w:rsidRPr="00CD16D5">
                              <w:rPr>
                                <w:rFonts w:cs="Calibri"/>
                                <w:b/>
                                <w:sz w:val="16"/>
                                <w:szCs w:val="16"/>
                              </w:rPr>
                              <w:t xml:space="preserve"> (4)</w:t>
                            </w:r>
                            <w:r w:rsidR="00D10265" w:rsidRPr="00CD16D5">
                              <w:rPr>
                                <w:rFonts w:cs="Calibri"/>
                                <w:sz w:val="16"/>
                                <w:szCs w:val="16"/>
                              </w:rPr>
                              <w:t xml:space="preserve"> Improvi</w:t>
                            </w:r>
                            <w:r w:rsidR="005241CD" w:rsidRPr="00CD16D5">
                              <w:rPr>
                                <w:rFonts w:cs="Calibri"/>
                                <w:sz w:val="16"/>
                                <w:szCs w:val="16"/>
                              </w:rPr>
                              <w:t>ng risk analysis and management</w:t>
                            </w:r>
                            <w:r w:rsidR="00B84285" w:rsidRPr="00CD16D5">
                              <w:rPr>
                                <w:rFonts w:cs="Calibr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5" id="_x0000_s1028" type="#_x0000_t202" style="position:absolute;margin-left:-18.15pt;margin-top:15.1pt;width:555pt;height: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" stroked="f">
                <v:textbox>
                  <w:txbxContent>
                    <w:p w14:paraId="1EB571B6" w14:textId="77777777" w:rsidR="00D10265" w:rsidRPr="00CD16D5" w:rsidRDefault="00364D6F" w:rsidP="004F12F1">
                      <w:pPr>
                        <w:autoSpaceDE w:val="0"/>
                        <w:autoSpaceDN w:val="0"/>
                        <w:adjustRightInd w:val="0"/>
                        <w:spacing w:after="0" w:line="240" w:lineRule="auto"/>
                        <w:jc w:val="center"/>
                        <w:rPr>
                          <w:rFonts w:cs="Calibri"/>
                          <w:sz w:val="16"/>
                          <w:szCs w:val="16"/>
                        </w:rPr>
                      </w:pPr>
                      <w:r w:rsidRPr="00CD16D5">
                        <w:rPr>
                          <w:rFonts w:cs="Calibri"/>
                          <w:color w:val="FF0000"/>
                          <w:sz w:val="16"/>
                          <w:szCs w:val="16"/>
                        </w:rPr>
                        <w:t>Since early</w:t>
                      </w:r>
                      <w:r w:rsidR="00D10265" w:rsidRPr="00CD16D5">
                        <w:rPr>
                          <w:rFonts w:cs="Calibri"/>
                          <w:color w:val="FF0000"/>
                          <w:sz w:val="16"/>
                          <w:szCs w:val="16"/>
                        </w:rPr>
                        <w:t xml:space="preserve"> 2014, </w:t>
                      </w:r>
                      <w:r w:rsidR="00D10265" w:rsidRPr="00CD16D5">
                        <w:rPr>
                          <w:rFonts w:cs="Calibri"/>
                          <w:sz w:val="16"/>
                          <w:szCs w:val="16"/>
                        </w:rPr>
                        <w:t>the Task Team</w:t>
                      </w:r>
                      <w:r w:rsidR="00BD163A">
                        <w:rPr>
                          <w:rFonts w:cs="Calibri"/>
                          <w:sz w:val="16"/>
                          <w:szCs w:val="16"/>
                        </w:rPr>
                        <w:t>, now RG PHA,</w:t>
                      </w:r>
                      <w:r w:rsidR="00D10265" w:rsidRPr="00CD16D5">
                        <w:rPr>
                          <w:rFonts w:cs="Calibri"/>
                          <w:sz w:val="16"/>
                          <w:szCs w:val="16"/>
                        </w:rPr>
                        <w:t xml:space="preserve"> undertook a series of research, policy and advocacy initiatives with respect to four priority themes: namely </w:t>
                      </w:r>
                      <w:r w:rsidR="00D10265" w:rsidRPr="00CD16D5">
                        <w:rPr>
                          <w:rFonts w:cs="Calibri"/>
                          <w:b/>
                          <w:sz w:val="16"/>
                          <w:szCs w:val="16"/>
                        </w:rPr>
                        <w:t>(1)</w:t>
                      </w:r>
                      <w:r w:rsidR="00D10265" w:rsidRPr="00CD16D5">
                        <w:rPr>
                          <w:rFonts w:cs="Calibri"/>
                          <w:sz w:val="16"/>
                          <w:szCs w:val="16"/>
                        </w:rPr>
                        <w:t xml:space="preserve"> Civil-military relations and coordination (e.g. use of armed escorts); </w:t>
                      </w:r>
                      <w:r w:rsidR="00D10265" w:rsidRPr="00CD16D5">
                        <w:rPr>
                          <w:rFonts w:cs="Calibri"/>
                          <w:b/>
                          <w:sz w:val="16"/>
                          <w:szCs w:val="16"/>
                        </w:rPr>
                        <w:t>(2)</w:t>
                      </w:r>
                      <w:r w:rsidR="00D10265" w:rsidRPr="00CD16D5">
                        <w:rPr>
                          <w:rFonts w:cs="Calibri"/>
                          <w:sz w:val="16"/>
                          <w:szCs w:val="16"/>
                        </w:rPr>
                        <w:t xml:space="preserve"> UN integration, (e.g. implementation of the UN Integrated Assessment and Planning Policy); </w:t>
                      </w:r>
                      <w:r w:rsidR="00D10265" w:rsidRPr="00CD16D5">
                        <w:rPr>
                          <w:rFonts w:cs="Calibri"/>
                          <w:b/>
                          <w:sz w:val="16"/>
                          <w:szCs w:val="16"/>
                        </w:rPr>
                        <w:t>(3)</w:t>
                      </w:r>
                      <w:r w:rsidR="00D10265" w:rsidRPr="00CD16D5">
                        <w:rPr>
                          <w:rFonts w:cs="Calibri"/>
                          <w:sz w:val="16"/>
                          <w:szCs w:val="16"/>
                        </w:rPr>
                        <w:t xml:space="preserve"> Mitigating the impact of counter-terrorism measures (e.g. COTER toolkit); and</w:t>
                      </w:r>
                      <w:r w:rsidR="00D10265" w:rsidRPr="00CD16D5">
                        <w:rPr>
                          <w:rFonts w:cs="Calibri"/>
                          <w:b/>
                          <w:sz w:val="16"/>
                          <w:szCs w:val="16"/>
                        </w:rPr>
                        <w:t xml:space="preserve"> (4)</w:t>
                      </w:r>
                      <w:r w:rsidR="00D10265" w:rsidRPr="00CD16D5">
                        <w:rPr>
                          <w:rFonts w:cs="Calibri"/>
                          <w:sz w:val="16"/>
                          <w:szCs w:val="16"/>
                        </w:rPr>
                        <w:t xml:space="preserve"> Improvi</w:t>
                      </w:r>
                      <w:r w:rsidR="005241CD" w:rsidRPr="00CD16D5">
                        <w:rPr>
                          <w:rFonts w:cs="Calibri"/>
                          <w:sz w:val="16"/>
                          <w:szCs w:val="16"/>
                        </w:rPr>
                        <w:t>ng risk analysis and management</w:t>
                      </w:r>
                      <w:r w:rsidR="00B84285" w:rsidRPr="00CD16D5">
                        <w:rPr>
                          <w:rFonts w:cs="Calibri"/>
                          <w:sz w:val="16"/>
                          <w:szCs w:val="16"/>
                        </w:rPr>
                        <w:t>.</w:t>
                      </w:r>
                    </w:p>
                  </w:txbxContent>
                </v:textbox>
              </v:shape>
            </w:pict>
          </mc:Fallback>
        </mc:AlternateContent>
      </w:r>
    </w:p>
    <w:p w14:paraId="1EB5717F" w14:textId="77777777" w:rsidR="007F3DE0" w:rsidRPr="00CD16D5" w:rsidRDefault="00CD16D5" w:rsidP="00292474">
      <w:pPr>
        <w:rPr>
          <w:rFonts w:ascii="Arial" w:hAnsi="Arial" w:cs="Arial"/>
          <w:b/>
          <w:bCs/>
          <w:color w:val="000000"/>
          <w:sz w:val="20"/>
          <w:szCs w:val="20"/>
          <w:lang w:val="en-US"/>
        </w:rPr>
      </w:pPr>
      <w:r w:rsidRPr="00CD16D5">
        <w:rPr>
          <w:rFonts w:ascii="Arial" w:hAnsi="Arial" w:cs="Arial"/>
          <w:bCs/>
          <w:noProof/>
          <w:color w:val="000000"/>
          <w:sz w:val="20"/>
          <w:szCs w:val="20"/>
          <w:lang w:val="en-US" w:eastAsia="zh-CN"/>
        </w:rPr>
        <mc:AlternateContent>
          <mc:Choice Requires="wps">
            <w:drawing>
              <wp:anchor distT="0" distB="0" distL="114300" distR="114300" simplePos="0" relativeHeight="251663360" behindDoc="0" locked="0" layoutInCell="1" allowOverlap="1" wp14:anchorId="1EB57197" wp14:editId="1EB57198">
                <wp:simplePos x="0" y="0"/>
                <wp:positionH relativeFrom="column">
                  <wp:posOffset>-224790</wp:posOffset>
                </wp:positionH>
                <wp:positionV relativeFrom="paragraph">
                  <wp:posOffset>274955</wp:posOffset>
                </wp:positionV>
                <wp:extent cx="4656455" cy="28448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84480"/>
                        </a:xfrm>
                        <a:prstGeom prst="rect">
                          <a:avLst/>
                        </a:prstGeom>
                        <a:solidFill>
                          <a:srgbClr val="FFFFFF"/>
                        </a:solidFill>
                        <a:ln w="9525">
                          <a:noFill/>
                          <a:miter lim="800000"/>
                          <a:headEnd/>
                          <a:tailEnd/>
                        </a:ln>
                      </wps:spPr>
                      <wps:txbx>
                        <w:txbxContent>
                          <w:p w14:paraId="1EB571B7" w14:textId="77777777" w:rsidR="00D10265" w:rsidRPr="00664931" w:rsidRDefault="004A3B4E">
                            <w:pPr>
                              <w:rPr>
                                <w:b/>
                                <w:color w:val="548DD4" w:themeColor="text2" w:themeTint="99"/>
                                <w:sz w:val="28"/>
                                <w:lang w:val="en-US"/>
                              </w:rPr>
                            </w:pPr>
                            <w:r>
                              <w:rPr>
                                <w:b/>
                                <w:color w:val="548DD4" w:themeColor="text2" w:themeTint="99"/>
                                <w:sz w:val="28"/>
                                <w:lang w:val="en-US"/>
                              </w:rPr>
                              <w:t xml:space="preserve">TOP </w:t>
                            </w:r>
                            <w:r w:rsidR="00D10265" w:rsidRPr="00664931">
                              <w:rPr>
                                <w:b/>
                                <w:color w:val="548DD4" w:themeColor="text2" w:themeTint="99"/>
                                <w:sz w:val="28"/>
                                <w:lang w:val="en-US"/>
                              </w:rPr>
                              <w:t>ACHIEVEMENTS</w:t>
                            </w:r>
                            <w:r w:rsidR="009E15BE">
                              <w:rPr>
                                <w:b/>
                                <w:color w:val="548DD4" w:themeColor="text2" w:themeTint="99"/>
                                <w:sz w:val="28"/>
                                <w:lang w:val="en-US"/>
                              </w:rPr>
                              <w:t xml:space="preserve"> 2014-2015</w:t>
                            </w:r>
                            <w:r w:rsidR="00442289">
                              <w:rPr>
                                <w:b/>
                                <w:color w:val="548DD4" w:themeColor="text2" w:themeTint="99"/>
                                <w:sz w:val="2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7" id="_x0000_s1029" type="#_x0000_t202" style="position:absolute;margin-left:-17.7pt;margin-top:21.65pt;width:366.6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" stroked="f">
                <v:textbox>
                  <w:txbxContent>
                    <w:p w14:paraId="1EB571B7" w14:textId="77777777" w:rsidR="00D10265" w:rsidRPr="00664931" w:rsidRDefault="004A3B4E">
                      <w:pPr>
                        <w:rPr>
                          <w:b/>
                          <w:color w:val="548DD4" w:themeColor="text2" w:themeTint="99"/>
                          <w:sz w:val="28"/>
                          <w:lang w:val="en-US"/>
                        </w:rPr>
                      </w:pPr>
                      <w:r>
                        <w:rPr>
                          <w:b/>
                          <w:color w:val="548DD4" w:themeColor="text2" w:themeTint="99"/>
                          <w:sz w:val="28"/>
                          <w:lang w:val="en-US"/>
                        </w:rPr>
                        <w:t xml:space="preserve">TOP </w:t>
                      </w:r>
                      <w:r w:rsidR="00D10265" w:rsidRPr="00664931">
                        <w:rPr>
                          <w:b/>
                          <w:color w:val="548DD4" w:themeColor="text2" w:themeTint="99"/>
                          <w:sz w:val="28"/>
                          <w:lang w:val="en-US"/>
                        </w:rPr>
                        <w:t>ACHIEVEMENTS</w:t>
                      </w:r>
                      <w:r w:rsidR="009E15BE">
                        <w:rPr>
                          <w:b/>
                          <w:color w:val="548DD4" w:themeColor="text2" w:themeTint="99"/>
                          <w:sz w:val="28"/>
                          <w:lang w:val="en-US"/>
                        </w:rPr>
                        <w:t xml:space="preserve"> 2014-2015</w:t>
                      </w:r>
                      <w:r w:rsidR="00442289">
                        <w:rPr>
                          <w:b/>
                          <w:color w:val="548DD4" w:themeColor="text2" w:themeTint="99"/>
                          <w:sz w:val="28"/>
                          <w:lang w:val="en-US"/>
                        </w:rPr>
                        <w:t xml:space="preserve"> </w:t>
                      </w:r>
                    </w:p>
                  </w:txbxContent>
                </v:textbox>
              </v:shape>
            </w:pict>
          </mc:Fallback>
        </mc:AlternateContent>
      </w:r>
    </w:p>
    <w:p w14:paraId="1EB57180" w14:textId="77777777" w:rsidR="007F3DE0" w:rsidRPr="00CD16D5" w:rsidRDefault="00CD16D5" w:rsidP="00292474">
      <w:pPr>
        <w:rPr>
          <w:rFonts w:ascii="Arial" w:hAnsi="Arial" w:cs="Arial"/>
          <w:bCs/>
          <w:color w:val="000000"/>
          <w:sz w:val="20"/>
          <w:szCs w:val="20"/>
          <w:lang w:val="en-US"/>
        </w:rPr>
      </w:pPr>
      <w:r w:rsidRPr="00CD16D5">
        <w:rPr>
          <w:noProof/>
          <w:lang w:val="en-US" w:eastAsia="zh-CN"/>
        </w:rPr>
        <mc:AlternateContent>
          <mc:Choice Requires="wps">
            <w:drawing>
              <wp:anchor distT="0" distB="0" distL="114300" distR="114300" simplePos="0" relativeHeight="251671552" behindDoc="0" locked="0" layoutInCell="1" allowOverlap="1" wp14:anchorId="1EB57199" wp14:editId="1EB5719A">
                <wp:simplePos x="0" y="0"/>
                <wp:positionH relativeFrom="column">
                  <wp:posOffset>-162560</wp:posOffset>
                </wp:positionH>
                <wp:positionV relativeFrom="paragraph">
                  <wp:posOffset>269875</wp:posOffset>
                </wp:positionV>
                <wp:extent cx="3402330" cy="254000"/>
                <wp:effectExtent l="0" t="0" r="266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54000"/>
                        </a:xfrm>
                        <a:prstGeom prst="rect">
                          <a:avLst/>
                        </a:prstGeom>
                        <a:pattFill prst="pct20">
                          <a:fgClr>
                            <a:schemeClr val="accent5">
                              <a:lumMod val="40000"/>
                              <a:lumOff val="60000"/>
                            </a:schemeClr>
                          </a:fgClr>
                          <a:bgClr>
                            <a:schemeClr val="bg1"/>
                          </a:bgClr>
                        </a:pattFill>
                        <a:ln w="9525">
                          <a:solidFill>
                            <a:schemeClr val="accent5">
                              <a:lumMod val="60000"/>
                              <a:lumOff val="40000"/>
                            </a:schemeClr>
                          </a:solidFill>
                          <a:miter lim="800000"/>
                          <a:headEnd/>
                          <a:tailEnd/>
                        </a:ln>
                      </wps:spPr>
                      <wps:txbx>
                        <w:txbxContent>
                          <w:p w14:paraId="1EB571B8" w14:textId="77777777" w:rsidR="00D10265" w:rsidRPr="00B84285" w:rsidRDefault="00D10265" w:rsidP="005E242B">
                            <w:pPr>
                              <w:jc w:val="center"/>
                              <w:rPr>
                                <w:b/>
                                <w:sz w:val="20"/>
                                <w:szCs w:val="20"/>
                              </w:rPr>
                            </w:pPr>
                            <w:r w:rsidRPr="00B84285">
                              <w:rPr>
                                <w:b/>
                                <w:sz w:val="20"/>
                                <w:szCs w:val="20"/>
                              </w:rPr>
                              <w:t>Understanding and enhancing UN Integration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9" id="_x0000_s1030" type="#_x0000_t202" style="position:absolute;margin-left:-12.8pt;margin-top:21.25pt;width:267.9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" fillcolor="#b6dde8 [1304]" strokecolor="#92cddc [1944]">
                <v:fill r:id="rId12" o:title="" color2="white [3212]" type="pattern"/>
                <v:textbox>
                  <w:txbxContent>
                    <w:p w14:paraId="1EB571B8" w14:textId="77777777" w:rsidR="00D10265" w:rsidRPr="00B84285" w:rsidRDefault="00D10265" w:rsidP="005E242B">
                      <w:pPr>
                        <w:jc w:val="center"/>
                        <w:rPr>
                          <w:b/>
                          <w:sz w:val="20"/>
                          <w:szCs w:val="20"/>
                        </w:rPr>
                      </w:pPr>
                      <w:r w:rsidRPr="00B84285">
                        <w:rPr>
                          <w:b/>
                          <w:sz w:val="20"/>
                          <w:szCs w:val="20"/>
                        </w:rPr>
                        <w:t>Understanding and enhancing UN Integration</w:t>
                      </w:r>
                    </w:p>
                  </w:txbxContent>
                </v:textbox>
              </v:shape>
            </w:pict>
          </mc:Fallback>
        </mc:AlternateContent>
      </w:r>
    </w:p>
    <w:p w14:paraId="1EB57181" w14:textId="77777777" w:rsidR="007F3DE0" w:rsidRPr="00CD16D5" w:rsidRDefault="00CD16D5" w:rsidP="00292474">
      <w:pPr>
        <w:rPr>
          <w:rFonts w:ascii="Arial" w:hAnsi="Arial" w:cs="Arial"/>
          <w:bCs/>
          <w:color w:val="000000"/>
          <w:sz w:val="20"/>
          <w:szCs w:val="20"/>
          <w:lang w:val="en-US"/>
        </w:rPr>
      </w:pPr>
      <w:r w:rsidRPr="00CD16D5">
        <w:rPr>
          <w:rFonts w:ascii="Arial" w:hAnsi="Arial" w:cs="Arial"/>
          <w:bCs/>
          <w:noProof/>
          <w:color w:val="000000"/>
          <w:sz w:val="20"/>
          <w:szCs w:val="20"/>
          <w:lang w:val="en-US" w:eastAsia="zh-CN"/>
        </w:rPr>
        <mc:AlternateContent>
          <mc:Choice Requires="wps">
            <w:drawing>
              <wp:anchor distT="0" distB="0" distL="114300" distR="114300" simplePos="0" relativeHeight="251669504" behindDoc="0" locked="0" layoutInCell="1" allowOverlap="1" wp14:anchorId="1EB5719B" wp14:editId="1EB5719C">
                <wp:simplePos x="0" y="0"/>
                <wp:positionH relativeFrom="column">
                  <wp:posOffset>-232012</wp:posOffset>
                </wp:positionH>
                <wp:positionV relativeFrom="paragraph">
                  <wp:posOffset>262558</wp:posOffset>
                </wp:positionV>
                <wp:extent cx="3784600" cy="2470245"/>
                <wp:effectExtent l="0" t="0" r="635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470245"/>
                        </a:xfrm>
                        <a:prstGeom prst="rect">
                          <a:avLst/>
                        </a:prstGeom>
                        <a:solidFill>
                          <a:srgbClr val="FFFFFF"/>
                        </a:solidFill>
                        <a:ln w="9525">
                          <a:noFill/>
                          <a:miter lim="800000"/>
                          <a:headEnd/>
                          <a:tailEnd/>
                        </a:ln>
                      </wps:spPr>
                      <wps:txbx>
                        <w:txbxContent>
                          <w:p w14:paraId="1EB571B9" w14:textId="77777777" w:rsidR="00D10265" w:rsidRPr="00CD16D5" w:rsidRDefault="00D10265" w:rsidP="005E242B">
                            <w:pPr>
                              <w:pStyle w:val="ListParagraph"/>
                              <w:numPr>
                                <w:ilvl w:val="0"/>
                                <w:numId w:val="13"/>
                              </w:numPr>
                              <w:jc w:val="both"/>
                              <w:rPr>
                                <w:rFonts w:asciiTheme="minorHAnsi" w:hAnsiTheme="minorHAnsi"/>
                                <w:bCs/>
                                <w:iCs/>
                                <w:sz w:val="16"/>
                                <w:szCs w:val="16"/>
                              </w:rPr>
                            </w:pPr>
                            <w:r w:rsidRPr="00CD16D5">
                              <w:rPr>
                                <w:rFonts w:asciiTheme="minorHAnsi" w:hAnsiTheme="minorHAnsi"/>
                                <w:b/>
                                <w:bCs/>
                                <w:iCs/>
                                <w:sz w:val="16"/>
                                <w:szCs w:val="16"/>
                              </w:rPr>
                              <w:t>Options paper</w:t>
                            </w:r>
                            <w:r w:rsidRPr="00CD16D5">
                              <w:rPr>
                                <w:rFonts w:asciiTheme="minorHAnsi" w:hAnsiTheme="minorHAnsi"/>
                                <w:bCs/>
                                <w:iCs/>
                                <w:sz w:val="16"/>
                                <w:szCs w:val="16"/>
                              </w:rPr>
                              <w:t xml:space="preserve"> developed to carry out a review of the impact of UN integration on humanitarian action, as requested by Principals. </w:t>
                            </w:r>
                          </w:p>
                          <w:p w14:paraId="1EB571BA" w14:textId="77777777" w:rsidR="006A6299" w:rsidRPr="00CD16D5" w:rsidRDefault="00D10265" w:rsidP="006A6299">
                            <w:pPr>
                              <w:pStyle w:val="ListParagraph"/>
                              <w:numPr>
                                <w:ilvl w:val="0"/>
                                <w:numId w:val="13"/>
                              </w:numPr>
                              <w:jc w:val="both"/>
                              <w:rPr>
                                <w:rFonts w:asciiTheme="minorHAnsi" w:hAnsiTheme="minorHAnsi"/>
                                <w:bCs/>
                                <w:iCs/>
                                <w:sz w:val="16"/>
                                <w:szCs w:val="16"/>
                              </w:rPr>
                            </w:pPr>
                            <w:r w:rsidRPr="00CD16D5">
                              <w:rPr>
                                <w:rFonts w:asciiTheme="minorHAnsi" w:hAnsiTheme="minorHAnsi"/>
                                <w:bCs/>
                                <w:iCs/>
                                <w:sz w:val="16"/>
                                <w:szCs w:val="16"/>
                              </w:rPr>
                              <w:t>Implementation mapping of UN Integrated Assessment Policy (IAP) and IASC integration paper developed. IAP Handbook disseminated to HC/RCs, UNCTs and HCTs, which will</w:t>
                            </w:r>
                            <w:r w:rsidRPr="00CD16D5">
                              <w:rPr>
                                <w:rFonts w:asciiTheme="minorHAnsi" w:hAnsiTheme="minorHAnsi"/>
                                <w:sz w:val="16"/>
                                <w:szCs w:val="16"/>
                              </w:rPr>
                              <w:t xml:space="preserve"> support IAP implementation by engaging HCTs and field colleagues at ‘critical moments’.</w:t>
                            </w:r>
                          </w:p>
                          <w:p w14:paraId="1EB571BB" w14:textId="77777777" w:rsidR="006A6299" w:rsidRPr="00CD16D5" w:rsidRDefault="00D10265" w:rsidP="006A6299">
                            <w:pPr>
                              <w:pStyle w:val="ListParagraph"/>
                              <w:numPr>
                                <w:ilvl w:val="0"/>
                                <w:numId w:val="13"/>
                              </w:numPr>
                              <w:jc w:val="both"/>
                              <w:rPr>
                                <w:rFonts w:asciiTheme="minorHAnsi" w:hAnsiTheme="minorHAnsi"/>
                                <w:bCs/>
                                <w:iCs/>
                                <w:sz w:val="16"/>
                                <w:szCs w:val="16"/>
                              </w:rPr>
                            </w:pPr>
                            <w:r w:rsidRPr="00CD16D5">
                              <w:rPr>
                                <w:rFonts w:asciiTheme="minorHAnsi" w:hAnsiTheme="minorHAnsi"/>
                                <w:sz w:val="16"/>
                                <w:szCs w:val="16"/>
                              </w:rPr>
                              <w:t xml:space="preserve">A </w:t>
                            </w:r>
                            <w:r w:rsidRPr="00CD16D5">
                              <w:rPr>
                                <w:rFonts w:asciiTheme="minorHAnsi" w:hAnsiTheme="minorHAnsi"/>
                                <w:b/>
                                <w:sz w:val="16"/>
                                <w:szCs w:val="16"/>
                              </w:rPr>
                              <w:t>roundtable</w:t>
                            </w:r>
                            <w:r w:rsidRPr="00CD16D5">
                              <w:rPr>
                                <w:rFonts w:asciiTheme="minorHAnsi" w:hAnsiTheme="minorHAnsi"/>
                                <w:sz w:val="16"/>
                                <w:szCs w:val="16"/>
                              </w:rPr>
                              <w:t xml:space="preserve"> was hosted with field colleagues to reflect on NGO experiences with UN integration in light of </w:t>
                            </w:r>
                            <w:r w:rsidR="00863FD8" w:rsidRPr="00CD16D5">
                              <w:rPr>
                                <w:rFonts w:asciiTheme="minorHAnsi" w:hAnsiTheme="minorHAnsi"/>
                                <w:sz w:val="16"/>
                                <w:szCs w:val="16"/>
                              </w:rPr>
                              <w:t>stabilization</w:t>
                            </w:r>
                            <w:r w:rsidRPr="00CD16D5">
                              <w:rPr>
                                <w:rFonts w:asciiTheme="minorHAnsi" w:hAnsiTheme="minorHAnsi"/>
                                <w:sz w:val="16"/>
                                <w:szCs w:val="16"/>
                              </w:rPr>
                              <w:t>, peacekeeping operations and political missions (focus - Mali, Somalia, the DRC and South Sudan.)</w:t>
                            </w:r>
                            <w:r w:rsidR="006A6299" w:rsidRPr="00CD16D5">
                              <w:rPr>
                                <w:rFonts w:ascii="Calibri" w:hAnsi="Calibri"/>
                                <w:sz w:val="16"/>
                                <w:szCs w:val="16"/>
                              </w:rPr>
                              <w:t>.</w:t>
                            </w:r>
                          </w:p>
                          <w:p w14:paraId="1EB571BC" w14:textId="77777777" w:rsidR="00767B88" w:rsidRPr="00CD16D5" w:rsidRDefault="00767B88" w:rsidP="00767B88">
                            <w:pPr>
                              <w:numPr>
                                <w:ilvl w:val="0"/>
                                <w:numId w:val="13"/>
                              </w:numPr>
                              <w:spacing w:after="0" w:line="240" w:lineRule="auto"/>
                              <w:rPr>
                                <w:rFonts w:ascii="Calibri" w:eastAsia="Times New Roman" w:hAnsi="Calibri" w:cs="Times New Roman"/>
                                <w:sz w:val="16"/>
                                <w:szCs w:val="16"/>
                                <w:lang w:val="en-US" w:eastAsia="en-GB"/>
                              </w:rPr>
                            </w:pPr>
                            <w:r w:rsidRPr="00CD16D5">
                              <w:rPr>
                                <w:rFonts w:ascii="Calibri" w:eastAsia="Times New Roman" w:hAnsi="Calibri" w:cs="Times New Roman"/>
                                <w:sz w:val="16"/>
                                <w:szCs w:val="16"/>
                                <w:lang w:val="en-US" w:eastAsia="en-GB"/>
                              </w:rPr>
                              <w:t>Concluded the Task Team’s “</w:t>
                            </w:r>
                            <w:r w:rsidRPr="00CD16D5">
                              <w:rPr>
                                <w:rFonts w:ascii="Calibri" w:eastAsia="Times New Roman" w:hAnsi="Calibri" w:cs="Times New Roman"/>
                                <w:b/>
                                <w:sz w:val="16"/>
                                <w:szCs w:val="16"/>
                                <w:lang w:val="en-US" w:eastAsia="en-GB"/>
                              </w:rPr>
                              <w:t>Review of the impact of UN integration on humanitarian action</w:t>
                            </w:r>
                            <w:r w:rsidRPr="00CD16D5">
                              <w:rPr>
                                <w:rFonts w:ascii="Calibri" w:eastAsia="Times New Roman" w:hAnsi="Calibri" w:cs="Times New Roman"/>
                                <w:sz w:val="16"/>
                                <w:szCs w:val="16"/>
                                <w:lang w:val="en-US" w:eastAsia="en-GB"/>
                              </w:rPr>
                              <w:t>”. Completed key informant interviews and desk research, composed analysis of data (survey, interview, and desk review), solicited feedback from stakeholders outside of the Task Team (HCs, DPKO, DPA, and UNDSS), and finalised the report for submission to the IASC WG.</w:t>
                            </w:r>
                          </w:p>
                          <w:p w14:paraId="1EB571BD" w14:textId="77777777" w:rsidR="00D10265" w:rsidRDefault="00767B88" w:rsidP="00767B88">
                            <w:pPr>
                              <w:numPr>
                                <w:ilvl w:val="0"/>
                                <w:numId w:val="13"/>
                              </w:numPr>
                              <w:spacing w:after="0" w:line="240" w:lineRule="auto"/>
                              <w:rPr>
                                <w:rFonts w:ascii="Calibri" w:eastAsia="Times New Roman" w:hAnsi="Calibri" w:cs="Times New Roman"/>
                                <w:sz w:val="16"/>
                                <w:szCs w:val="16"/>
                                <w:lang w:val="en-US" w:eastAsia="en-GB"/>
                              </w:rPr>
                            </w:pPr>
                            <w:r w:rsidRPr="00CD16D5">
                              <w:rPr>
                                <w:rFonts w:ascii="Calibri" w:eastAsia="Times New Roman" w:hAnsi="Calibri" w:cs="Times New Roman"/>
                                <w:sz w:val="16"/>
                                <w:szCs w:val="16"/>
                                <w:lang w:val="en-US" w:eastAsia="en-GB"/>
                              </w:rPr>
                              <w:t xml:space="preserve">For the Review of Peace Operations, Submitted to the HIPPO the </w:t>
                            </w:r>
                            <w:r w:rsidRPr="00B329A5">
                              <w:rPr>
                                <w:rFonts w:ascii="Calibri" w:eastAsia="Times New Roman" w:hAnsi="Calibri" w:cs="Times New Roman"/>
                                <w:b/>
                                <w:sz w:val="16"/>
                                <w:szCs w:val="16"/>
                                <w:lang w:val="en-US" w:eastAsia="en-GB"/>
                              </w:rPr>
                              <w:t>Task Team’s observations on the challenges surrounding UN integration</w:t>
                            </w:r>
                            <w:r w:rsidRPr="00CD16D5">
                              <w:rPr>
                                <w:rFonts w:ascii="Calibri" w:eastAsia="Times New Roman" w:hAnsi="Calibri" w:cs="Times New Roman"/>
                                <w:sz w:val="16"/>
                                <w:szCs w:val="16"/>
                                <w:lang w:val="en-US" w:eastAsia="en-GB"/>
                              </w:rPr>
                              <w:t>.</w:t>
                            </w:r>
                          </w:p>
                          <w:p w14:paraId="1EB571BE" w14:textId="77777777" w:rsidR="009E15BE" w:rsidRPr="00A005EF" w:rsidRDefault="009E15BE" w:rsidP="009E15BE">
                            <w:pPr>
                              <w:pStyle w:val="ListParagraph"/>
                              <w:numPr>
                                <w:ilvl w:val="0"/>
                                <w:numId w:val="13"/>
                              </w:numPr>
                              <w:contextualSpacing w:val="0"/>
                              <w:rPr>
                                <w:rFonts w:asciiTheme="minorHAnsi" w:hAnsiTheme="minorHAnsi"/>
                                <w:sz w:val="16"/>
                                <w:szCs w:val="16"/>
                                <w:lang w:val="en-GB"/>
                              </w:rPr>
                            </w:pPr>
                            <w:r w:rsidRPr="00B329A5">
                              <w:rPr>
                                <w:rFonts w:ascii="Calibri" w:hAnsi="Calibri"/>
                                <w:b/>
                                <w:sz w:val="16"/>
                                <w:szCs w:val="16"/>
                              </w:rPr>
                              <w:t>In follow up to the UN Integration Rev</w:t>
                            </w:r>
                            <w:r w:rsidR="00B329A5" w:rsidRPr="00B329A5">
                              <w:rPr>
                                <w:rFonts w:ascii="Calibri" w:hAnsi="Calibri"/>
                                <w:b/>
                                <w:sz w:val="16"/>
                                <w:szCs w:val="16"/>
                              </w:rPr>
                              <w:t>iew report, the TT developed a management response plan</w:t>
                            </w:r>
                            <w:r w:rsidRPr="00A005EF">
                              <w:rPr>
                                <w:rFonts w:ascii="Calibri" w:hAnsi="Calibri"/>
                                <w:sz w:val="16"/>
                                <w:szCs w:val="16"/>
                              </w:rPr>
                              <w:t xml:space="preserve"> to support the IASC WG and Principals in the implementation of the Review recommendations.</w:t>
                            </w:r>
                          </w:p>
                          <w:p w14:paraId="1EB571BF" w14:textId="77777777" w:rsidR="009E15BE" w:rsidRPr="00CD16D5" w:rsidRDefault="009E15BE" w:rsidP="00767B88">
                            <w:pPr>
                              <w:numPr>
                                <w:ilvl w:val="0"/>
                                <w:numId w:val="13"/>
                              </w:numPr>
                              <w:spacing w:after="0" w:line="240" w:lineRule="auto"/>
                              <w:rPr>
                                <w:rFonts w:ascii="Calibri" w:eastAsia="Times New Roman" w:hAnsi="Calibri" w:cs="Times New Roman"/>
                                <w:sz w:val="16"/>
                                <w:szCs w:val="16"/>
                                <w:lang w:val="en-US"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B" id="_x0000_s1031" type="#_x0000_t202" style="position:absolute;margin-left:-18.25pt;margin-top:20.65pt;width:298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aRIwIAACMEAAAOAAAAZHJzL2Uyb0RvYy54bWysU9uO2yAQfa/Uf0C8N3ZcZ5O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" stroked="f">
                <v:textbox>
                  <w:txbxContent>
                    <w:p w14:paraId="1EB571B9" w14:textId="77777777" w:rsidR="00D10265" w:rsidRPr="00CD16D5" w:rsidRDefault="00D10265" w:rsidP="005E242B">
                      <w:pPr>
                        <w:pStyle w:val="ListParagraph"/>
                        <w:numPr>
                          <w:ilvl w:val="0"/>
                          <w:numId w:val="13"/>
                        </w:numPr>
                        <w:jc w:val="both"/>
                        <w:rPr>
                          <w:rFonts w:asciiTheme="minorHAnsi" w:hAnsiTheme="minorHAnsi"/>
                          <w:bCs/>
                          <w:iCs/>
                          <w:sz w:val="16"/>
                          <w:szCs w:val="16"/>
                        </w:rPr>
                      </w:pPr>
                      <w:r w:rsidRPr="00CD16D5">
                        <w:rPr>
                          <w:rFonts w:asciiTheme="minorHAnsi" w:hAnsiTheme="minorHAnsi"/>
                          <w:b/>
                          <w:bCs/>
                          <w:iCs/>
                          <w:sz w:val="16"/>
                          <w:szCs w:val="16"/>
                        </w:rPr>
                        <w:t>Options paper</w:t>
                      </w:r>
                      <w:r w:rsidRPr="00CD16D5">
                        <w:rPr>
                          <w:rFonts w:asciiTheme="minorHAnsi" w:hAnsiTheme="minorHAnsi"/>
                          <w:bCs/>
                          <w:iCs/>
                          <w:sz w:val="16"/>
                          <w:szCs w:val="16"/>
                        </w:rPr>
                        <w:t xml:space="preserve"> developed to carry out a review of the impact of UN integration on humanitarian action, as requested by Principals. </w:t>
                      </w:r>
                    </w:p>
                    <w:p w14:paraId="1EB571BA" w14:textId="77777777" w:rsidR="006A6299" w:rsidRPr="00CD16D5" w:rsidRDefault="00D10265" w:rsidP="006A6299">
                      <w:pPr>
                        <w:pStyle w:val="ListParagraph"/>
                        <w:numPr>
                          <w:ilvl w:val="0"/>
                          <w:numId w:val="13"/>
                        </w:numPr>
                        <w:jc w:val="both"/>
                        <w:rPr>
                          <w:rFonts w:asciiTheme="minorHAnsi" w:hAnsiTheme="minorHAnsi"/>
                          <w:bCs/>
                          <w:iCs/>
                          <w:sz w:val="16"/>
                          <w:szCs w:val="16"/>
                        </w:rPr>
                      </w:pPr>
                      <w:r w:rsidRPr="00CD16D5">
                        <w:rPr>
                          <w:rFonts w:asciiTheme="minorHAnsi" w:hAnsiTheme="minorHAnsi"/>
                          <w:bCs/>
                          <w:iCs/>
                          <w:sz w:val="16"/>
                          <w:szCs w:val="16"/>
                        </w:rPr>
                        <w:t>Implementation mapping of UN Integrated Assessment Policy (IAP) and IASC integration paper developed. IAP Handbook disseminated to HC/RCs, UNCTs and HCTs, which will</w:t>
                      </w:r>
                      <w:r w:rsidRPr="00CD16D5">
                        <w:rPr>
                          <w:rFonts w:asciiTheme="minorHAnsi" w:hAnsiTheme="minorHAnsi"/>
                          <w:sz w:val="16"/>
                          <w:szCs w:val="16"/>
                        </w:rPr>
                        <w:t xml:space="preserve"> support IAP implementation by engaging HCTs and field colleagues at ‘critical moments’.</w:t>
                      </w:r>
                    </w:p>
                    <w:p w14:paraId="1EB571BB" w14:textId="77777777" w:rsidR="006A6299" w:rsidRPr="00CD16D5" w:rsidRDefault="00D10265" w:rsidP="006A6299">
                      <w:pPr>
                        <w:pStyle w:val="ListParagraph"/>
                        <w:numPr>
                          <w:ilvl w:val="0"/>
                          <w:numId w:val="13"/>
                        </w:numPr>
                        <w:jc w:val="both"/>
                        <w:rPr>
                          <w:rFonts w:asciiTheme="minorHAnsi" w:hAnsiTheme="minorHAnsi"/>
                          <w:bCs/>
                          <w:iCs/>
                          <w:sz w:val="16"/>
                          <w:szCs w:val="16"/>
                        </w:rPr>
                      </w:pPr>
                      <w:r w:rsidRPr="00CD16D5">
                        <w:rPr>
                          <w:rFonts w:asciiTheme="minorHAnsi" w:hAnsiTheme="minorHAnsi"/>
                          <w:sz w:val="16"/>
                          <w:szCs w:val="16"/>
                        </w:rPr>
                        <w:t xml:space="preserve">A </w:t>
                      </w:r>
                      <w:r w:rsidRPr="00CD16D5">
                        <w:rPr>
                          <w:rFonts w:asciiTheme="minorHAnsi" w:hAnsiTheme="minorHAnsi"/>
                          <w:b/>
                          <w:sz w:val="16"/>
                          <w:szCs w:val="16"/>
                        </w:rPr>
                        <w:t>roundtable</w:t>
                      </w:r>
                      <w:r w:rsidRPr="00CD16D5">
                        <w:rPr>
                          <w:rFonts w:asciiTheme="minorHAnsi" w:hAnsiTheme="minorHAnsi"/>
                          <w:sz w:val="16"/>
                          <w:szCs w:val="16"/>
                        </w:rPr>
                        <w:t xml:space="preserve"> was hosted with field colleagues to reflect on NGO experiences with UN integration in light of </w:t>
                      </w:r>
                      <w:r w:rsidR="00863FD8" w:rsidRPr="00CD16D5">
                        <w:rPr>
                          <w:rFonts w:asciiTheme="minorHAnsi" w:hAnsiTheme="minorHAnsi"/>
                          <w:sz w:val="16"/>
                          <w:szCs w:val="16"/>
                        </w:rPr>
                        <w:t>stabilization</w:t>
                      </w:r>
                      <w:r w:rsidRPr="00CD16D5">
                        <w:rPr>
                          <w:rFonts w:asciiTheme="minorHAnsi" w:hAnsiTheme="minorHAnsi"/>
                          <w:sz w:val="16"/>
                          <w:szCs w:val="16"/>
                        </w:rPr>
                        <w:t>, peacekeeping operations and political missions (focus - Mali, Somalia, the DRC and South Sudan.)</w:t>
                      </w:r>
                      <w:r w:rsidR="006A6299" w:rsidRPr="00CD16D5">
                        <w:rPr>
                          <w:rFonts w:ascii="Calibri" w:hAnsi="Calibri"/>
                          <w:sz w:val="16"/>
                          <w:szCs w:val="16"/>
                        </w:rPr>
                        <w:t>.</w:t>
                      </w:r>
                    </w:p>
                    <w:p w14:paraId="1EB571BC" w14:textId="77777777" w:rsidR="00767B88" w:rsidRPr="00CD16D5" w:rsidRDefault="00767B88" w:rsidP="00767B88">
                      <w:pPr>
                        <w:numPr>
                          <w:ilvl w:val="0"/>
                          <w:numId w:val="13"/>
                        </w:numPr>
                        <w:spacing w:after="0" w:line="240" w:lineRule="auto"/>
                        <w:rPr>
                          <w:rFonts w:ascii="Calibri" w:eastAsia="Times New Roman" w:hAnsi="Calibri" w:cs="Times New Roman"/>
                          <w:sz w:val="16"/>
                          <w:szCs w:val="16"/>
                          <w:lang w:val="en-US" w:eastAsia="en-GB"/>
                        </w:rPr>
                      </w:pPr>
                      <w:r w:rsidRPr="00CD16D5">
                        <w:rPr>
                          <w:rFonts w:ascii="Calibri" w:eastAsia="Times New Roman" w:hAnsi="Calibri" w:cs="Times New Roman"/>
                          <w:sz w:val="16"/>
                          <w:szCs w:val="16"/>
                          <w:lang w:val="en-US" w:eastAsia="en-GB"/>
                        </w:rPr>
                        <w:t>Concluded the Task Team’s “</w:t>
                      </w:r>
                      <w:r w:rsidRPr="00CD16D5">
                        <w:rPr>
                          <w:rFonts w:ascii="Calibri" w:eastAsia="Times New Roman" w:hAnsi="Calibri" w:cs="Times New Roman"/>
                          <w:b/>
                          <w:sz w:val="16"/>
                          <w:szCs w:val="16"/>
                          <w:lang w:val="en-US" w:eastAsia="en-GB"/>
                        </w:rPr>
                        <w:t>Review of the impact of UN integration on humanitarian action</w:t>
                      </w:r>
                      <w:r w:rsidRPr="00CD16D5">
                        <w:rPr>
                          <w:rFonts w:ascii="Calibri" w:eastAsia="Times New Roman" w:hAnsi="Calibri" w:cs="Times New Roman"/>
                          <w:sz w:val="16"/>
                          <w:szCs w:val="16"/>
                          <w:lang w:val="en-US" w:eastAsia="en-GB"/>
                        </w:rPr>
                        <w:t>”. Completed key informant interviews and desk research, composed analysis of data (survey, interview, and desk review), solicited feedback from stakeholders outside of the Task Team (HCs, DPKO, DPA, and UNDSS), and finalised the report for submission to the IASC WG.</w:t>
                      </w:r>
                    </w:p>
                    <w:p w14:paraId="1EB571BD" w14:textId="77777777" w:rsidR="00D10265" w:rsidRDefault="00767B88" w:rsidP="00767B88">
                      <w:pPr>
                        <w:numPr>
                          <w:ilvl w:val="0"/>
                          <w:numId w:val="13"/>
                        </w:numPr>
                        <w:spacing w:after="0" w:line="240" w:lineRule="auto"/>
                        <w:rPr>
                          <w:rFonts w:ascii="Calibri" w:eastAsia="Times New Roman" w:hAnsi="Calibri" w:cs="Times New Roman"/>
                          <w:sz w:val="16"/>
                          <w:szCs w:val="16"/>
                          <w:lang w:val="en-US" w:eastAsia="en-GB"/>
                        </w:rPr>
                      </w:pPr>
                      <w:r w:rsidRPr="00CD16D5">
                        <w:rPr>
                          <w:rFonts w:ascii="Calibri" w:eastAsia="Times New Roman" w:hAnsi="Calibri" w:cs="Times New Roman"/>
                          <w:sz w:val="16"/>
                          <w:szCs w:val="16"/>
                          <w:lang w:val="en-US" w:eastAsia="en-GB"/>
                        </w:rPr>
                        <w:t xml:space="preserve">For the Review of Peace Operations, Submitted to the HIPPO the </w:t>
                      </w:r>
                      <w:r w:rsidRPr="00B329A5">
                        <w:rPr>
                          <w:rFonts w:ascii="Calibri" w:eastAsia="Times New Roman" w:hAnsi="Calibri" w:cs="Times New Roman"/>
                          <w:b/>
                          <w:sz w:val="16"/>
                          <w:szCs w:val="16"/>
                          <w:lang w:val="en-US" w:eastAsia="en-GB"/>
                        </w:rPr>
                        <w:t>Task Team’s observations on the challenges surrounding UN integration</w:t>
                      </w:r>
                      <w:r w:rsidRPr="00CD16D5">
                        <w:rPr>
                          <w:rFonts w:ascii="Calibri" w:eastAsia="Times New Roman" w:hAnsi="Calibri" w:cs="Times New Roman"/>
                          <w:sz w:val="16"/>
                          <w:szCs w:val="16"/>
                          <w:lang w:val="en-US" w:eastAsia="en-GB"/>
                        </w:rPr>
                        <w:t>.</w:t>
                      </w:r>
                    </w:p>
                    <w:p w14:paraId="1EB571BE" w14:textId="77777777" w:rsidR="009E15BE" w:rsidRPr="00A005EF" w:rsidRDefault="009E15BE" w:rsidP="009E15BE">
                      <w:pPr>
                        <w:pStyle w:val="ListParagraph"/>
                        <w:numPr>
                          <w:ilvl w:val="0"/>
                          <w:numId w:val="13"/>
                        </w:numPr>
                        <w:contextualSpacing w:val="0"/>
                        <w:rPr>
                          <w:rFonts w:asciiTheme="minorHAnsi" w:hAnsiTheme="minorHAnsi"/>
                          <w:sz w:val="16"/>
                          <w:szCs w:val="16"/>
                          <w:lang w:val="en-GB"/>
                        </w:rPr>
                      </w:pPr>
                      <w:r w:rsidRPr="00B329A5">
                        <w:rPr>
                          <w:rFonts w:ascii="Calibri" w:hAnsi="Calibri"/>
                          <w:b/>
                          <w:sz w:val="16"/>
                          <w:szCs w:val="16"/>
                        </w:rPr>
                        <w:t>In follow up to the UN Integration Rev</w:t>
                      </w:r>
                      <w:r w:rsidR="00B329A5" w:rsidRPr="00B329A5">
                        <w:rPr>
                          <w:rFonts w:ascii="Calibri" w:hAnsi="Calibri"/>
                          <w:b/>
                          <w:sz w:val="16"/>
                          <w:szCs w:val="16"/>
                        </w:rPr>
                        <w:t>iew report, the TT developed a management response plan</w:t>
                      </w:r>
                      <w:r w:rsidRPr="00A005EF">
                        <w:rPr>
                          <w:rFonts w:ascii="Calibri" w:hAnsi="Calibri"/>
                          <w:sz w:val="16"/>
                          <w:szCs w:val="16"/>
                        </w:rPr>
                        <w:t xml:space="preserve"> to support the IASC WG and Principals in the implementation of the Review recommendations.</w:t>
                      </w:r>
                    </w:p>
                    <w:p w14:paraId="1EB571BF" w14:textId="77777777" w:rsidR="009E15BE" w:rsidRPr="00CD16D5" w:rsidRDefault="009E15BE" w:rsidP="00767B88">
                      <w:pPr>
                        <w:numPr>
                          <w:ilvl w:val="0"/>
                          <w:numId w:val="13"/>
                        </w:numPr>
                        <w:spacing w:after="0" w:line="240" w:lineRule="auto"/>
                        <w:rPr>
                          <w:rFonts w:ascii="Calibri" w:eastAsia="Times New Roman" w:hAnsi="Calibri" w:cs="Times New Roman"/>
                          <w:sz w:val="16"/>
                          <w:szCs w:val="16"/>
                          <w:lang w:val="en-US" w:eastAsia="en-GB"/>
                        </w:rPr>
                      </w:pPr>
                    </w:p>
                  </w:txbxContent>
                </v:textbox>
              </v:shape>
            </w:pict>
          </mc:Fallback>
        </mc:AlternateContent>
      </w:r>
      <w:r w:rsidR="00B84285" w:rsidRPr="00CD16D5">
        <w:rPr>
          <w:rFonts w:ascii="Arial" w:hAnsi="Arial" w:cs="Arial"/>
          <w:bCs/>
          <w:noProof/>
          <w:color w:val="000000"/>
          <w:sz w:val="20"/>
          <w:szCs w:val="20"/>
          <w:lang w:val="en-US" w:eastAsia="zh-CN"/>
        </w:rPr>
        <mc:AlternateContent>
          <mc:Choice Requires="wps">
            <w:drawing>
              <wp:anchor distT="0" distB="0" distL="114300" distR="114300" simplePos="0" relativeHeight="251665408" behindDoc="0" locked="0" layoutInCell="1" allowOverlap="1" wp14:anchorId="1EB5719D" wp14:editId="1EB5719E">
                <wp:simplePos x="0" y="0"/>
                <wp:positionH relativeFrom="column">
                  <wp:posOffset>3557905</wp:posOffset>
                </wp:positionH>
                <wp:positionV relativeFrom="paragraph">
                  <wp:posOffset>157480</wp:posOffset>
                </wp:positionV>
                <wp:extent cx="3126105" cy="419100"/>
                <wp:effectExtent l="0" t="0" r="1714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419100"/>
                        </a:xfrm>
                        <a:prstGeom prst="rect">
                          <a:avLst/>
                        </a:prstGeom>
                        <a:pattFill prst="ltDnDiag">
                          <a:fgClr>
                            <a:schemeClr val="accent2">
                              <a:lumMod val="20000"/>
                              <a:lumOff val="80000"/>
                            </a:schemeClr>
                          </a:fgClr>
                          <a:bgClr>
                            <a:schemeClr val="bg1"/>
                          </a:bgClr>
                        </a:pattFill>
                        <a:ln w="9525">
                          <a:solidFill>
                            <a:srgbClr val="F4E0E0"/>
                          </a:solidFill>
                          <a:miter lim="800000"/>
                          <a:headEnd/>
                          <a:tailEnd/>
                        </a:ln>
                      </wps:spPr>
                      <wps:txbx>
                        <w:txbxContent>
                          <w:p w14:paraId="1EB571C0" w14:textId="77777777" w:rsidR="00D10265" w:rsidRPr="00B84285" w:rsidRDefault="00D10265" w:rsidP="000F642B">
                            <w:pPr>
                              <w:pStyle w:val="NoSpacing"/>
                              <w:jc w:val="center"/>
                              <w:rPr>
                                <w:b/>
                                <w:sz w:val="20"/>
                                <w:szCs w:val="20"/>
                              </w:rPr>
                            </w:pPr>
                            <w:r w:rsidRPr="00B84285">
                              <w:rPr>
                                <w:b/>
                                <w:sz w:val="20"/>
                                <w:szCs w:val="20"/>
                              </w:rPr>
                              <w:t>Supporting and improving understanding of civil-military coordination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D" id="_x0000_s1032" type="#_x0000_t202" style="position:absolute;margin-left:280.15pt;margin-top:12.4pt;width:246.1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" fillcolor="#f2dbdb [661]" strokecolor="#f4e0e0">
                <v:fill r:id="rId13" o:title="" color2="white [3212]" type="pattern"/>
                <v:textbox>
                  <w:txbxContent>
                    <w:p w14:paraId="1EB571C0" w14:textId="77777777" w:rsidR="00D10265" w:rsidRPr="00B84285" w:rsidRDefault="00D10265" w:rsidP="000F642B">
                      <w:pPr>
                        <w:pStyle w:val="NoSpacing"/>
                        <w:jc w:val="center"/>
                        <w:rPr>
                          <w:b/>
                          <w:sz w:val="20"/>
                          <w:szCs w:val="20"/>
                        </w:rPr>
                      </w:pPr>
                      <w:r w:rsidRPr="00B84285">
                        <w:rPr>
                          <w:b/>
                          <w:sz w:val="20"/>
                          <w:szCs w:val="20"/>
                        </w:rPr>
                        <w:t>Supporting and improving understanding of civil-military coordination practices</w:t>
                      </w:r>
                    </w:p>
                  </w:txbxContent>
                </v:textbox>
              </v:shape>
            </w:pict>
          </mc:Fallback>
        </mc:AlternateContent>
      </w:r>
    </w:p>
    <w:p w14:paraId="1EB57182" w14:textId="77777777" w:rsidR="007F3DE0" w:rsidRPr="00CD16D5" w:rsidRDefault="00B84285" w:rsidP="00292474">
      <w:pPr>
        <w:rPr>
          <w:rFonts w:ascii="Arial" w:hAnsi="Arial" w:cs="Arial"/>
          <w:bCs/>
          <w:color w:val="000000"/>
          <w:sz w:val="20"/>
          <w:szCs w:val="20"/>
          <w:lang w:val="en-US"/>
        </w:rPr>
      </w:pPr>
      <w:r w:rsidRPr="00CD16D5">
        <w:rPr>
          <w:noProof/>
          <w:lang w:val="en-US" w:eastAsia="zh-CN"/>
        </w:rPr>
        <mc:AlternateContent>
          <mc:Choice Requires="wps">
            <w:drawing>
              <wp:anchor distT="0" distB="0" distL="114300" distR="114300" simplePos="0" relativeHeight="251658239" behindDoc="0" locked="0" layoutInCell="1" allowOverlap="1" wp14:anchorId="1EB5719F" wp14:editId="1EB571A0">
                <wp:simplePos x="0" y="0"/>
                <wp:positionH relativeFrom="column">
                  <wp:posOffset>3557905</wp:posOffset>
                </wp:positionH>
                <wp:positionV relativeFrom="paragraph">
                  <wp:posOffset>267970</wp:posOffset>
                </wp:positionV>
                <wp:extent cx="3252470" cy="2060575"/>
                <wp:effectExtent l="0" t="0" r="508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2060575"/>
                        </a:xfrm>
                        <a:prstGeom prst="rect">
                          <a:avLst/>
                        </a:prstGeom>
                        <a:solidFill>
                          <a:srgbClr val="FFFFFF"/>
                        </a:solidFill>
                        <a:ln w="9525">
                          <a:noFill/>
                          <a:miter lim="800000"/>
                          <a:headEnd/>
                          <a:tailEnd/>
                        </a:ln>
                      </wps:spPr>
                      <wps:txbx>
                        <w:txbxContent>
                          <w:p w14:paraId="1EB571C1" w14:textId="77777777" w:rsidR="00DB3034" w:rsidRPr="00CD16D5" w:rsidRDefault="00DB3034" w:rsidP="00DB3034">
                            <w:pPr>
                              <w:pStyle w:val="ListParagraph"/>
                              <w:numPr>
                                <w:ilvl w:val="0"/>
                                <w:numId w:val="15"/>
                              </w:numPr>
                              <w:jc w:val="both"/>
                              <w:rPr>
                                <w:b/>
                                <w:bCs/>
                                <w:iCs/>
                                <w:sz w:val="16"/>
                                <w:szCs w:val="16"/>
                                <w:lang w:val="en-GB"/>
                              </w:rPr>
                            </w:pPr>
                            <w:r w:rsidRPr="00C45EDF">
                              <w:rPr>
                                <w:rFonts w:cs="Helv"/>
                                <w:b/>
                                <w:color w:val="000000"/>
                                <w:sz w:val="16"/>
                                <w:szCs w:val="16"/>
                              </w:rPr>
                              <w:t>‘</w:t>
                            </w:r>
                            <w:r w:rsidRPr="00C45EDF">
                              <w:rPr>
                                <w:rFonts w:asciiTheme="minorHAnsi" w:hAnsiTheme="minorHAnsi" w:cs="Helv"/>
                                <w:b/>
                                <w:color w:val="000000"/>
                                <w:sz w:val="16"/>
                                <w:szCs w:val="16"/>
                              </w:rPr>
                              <w:t>Discussion Paper on Humanitarian Interaction with National Militaries’</w:t>
                            </w:r>
                            <w:r w:rsidRPr="00CD16D5">
                              <w:rPr>
                                <w:rFonts w:asciiTheme="minorHAnsi" w:hAnsiTheme="minorHAnsi" w:cs="Helv"/>
                                <w:color w:val="000000"/>
                                <w:sz w:val="16"/>
                                <w:szCs w:val="16"/>
                              </w:rPr>
                              <w:t xml:space="preserve"> distributed.  Related ‘Good Practices’ based on in-country and desktop case studies for Colombia, Pakistan and the Philippines developed and annexed to the docu</w:t>
                            </w:r>
                            <w:r w:rsidR="00DA6918">
                              <w:rPr>
                                <w:rFonts w:asciiTheme="minorHAnsi" w:hAnsiTheme="minorHAnsi" w:cs="Helv"/>
                                <w:color w:val="000000"/>
                                <w:sz w:val="16"/>
                                <w:szCs w:val="16"/>
                              </w:rPr>
                              <w:t>m</w:t>
                            </w:r>
                            <w:r w:rsidRPr="00CD16D5">
                              <w:rPr>
                                <w:rFonts w:asciiTheme="minorHAnsi" w:hAnsiTheme="minorHAnsi" w:cs="Helv"/>
                                <w:color w:val="000000"/>
                                <w:sz w:val="16"/>
                                <w:szCs w:val="16"/>
                              </w:rPr>
                              <w:t>ent.</w:t>
                            </w:r>
                          </w:p>
                          <w:p w14:paraId="1EB571C2" w14:textId="77777777" w:rsidR="00281CD7" w:rsidRPr="00CD16D5" w:rsidRDefault="00281CD7" w:rsidP="007D5EFA">
                            <w:pPr>
                              <w:pStyle w:val="ListParagraph"/>
                              <w:numPr>
                                <w:ilvl w:val="0"/>
                                <w:numId w:val="15"/>
                              </w:numPr>
                              <w:jc w:val="both"/>
                              <w:rPr>
                                <w:rFonts w:asciiTheme="minorHAnsi" w:hAnsiTheme="minorHAnsi"/>
                                <w:bCs/>
                                <w:iCs/>
                                <w:sz w:val="16"/>
                                <w:szCs w:val="16"/>
                              </w:rPr>
                            </w:pPr>
                            <w:r w:rsidRPr="00CD16D5">
                              <w:rPr>
                                <w:rFonts w:asciiTheme="minorHAnsi" w:hAnsiTheme="minorHAnsi" w:cs="Helv"/>
                                <w:color w:val="000000"/>
                                <w:sz w:val="16"/>
                                <w:szCs w:val="16"/>
                              </w:rPr>
                              <w:t xml:space="preserve">Implementation of the </w:t>
                            </w:r>
                            <w:r w:rsidRPr="00CD16D5">
                              <w:rPr>
                                <w:rFonts w:asciiTheme="minorHAnsi" w:hAnsiTheme="minorHAnsi" w:cs="Helv"/>
                                <w:b/>
                                <w:bCs/>
                                <w:color w:val="000000"/>
                                <w:sz w:val="16"/>
                                <w:szCs w:val="16"/>
                              </w:rPr>
                              <w:t xml:space="preserve">IASC </w:t>
                            </w:r>
                            <w:r w:rsidR="00B10C71" w:rsidRPr="00CD16D5">
                              <w:rPr>
                                <w:rFonts w:asciiTheme="minorHAnsi" w:hAnsiTheme="minorHAnsi" w:cs="Helv"/>
                                <w:b/>
                                <w:bCs/>
                                <w:color w:val="000000"/>
                                <w:sz w:val="16"/>
                                <w:szCs w:val="16"/>
                              </w:rPr>
                              <w:t xml:space="preserve">Guidelines on the use of </w:t>
                            </w:r>
                            <w:r w:rsidRPr="00CD16D5">
                              <w:rPr>
                                <w:rFonts w:asciiTheme="minorHAnsi" w:hAnsiTheme="minorHAnsi" w:cs="Helv"/>
                                <w:b/>
                                <w:bCs/>
                                <w:color w:val="000000"/>
                                <w:sz w:val="16"/>
                                <w:szCs w:val="16"/>
                              </w:rPr>
                              <w:t xml:space="preserve">Armed Escorts </w:t>
                            </w:r>
                            <w:r w:rsidRPr="00CD16D5">
                              <w:rPr>
                                <w:rFonts w:asciiTheme="minorHAnsi" w:hAnsiTheme="minorHAnsi" w:cs="Helv"/>
                                <w:color w:val="000000"/>
                                <w:sz w:val="16"/>
                                <w:szCs w:val="16"/>
                              </w:rPr>
                              <w:t xml:space="preserve">was </w:t>
                            </w:r>
                            <w:r w:rsidRPr="00CD16D5">
                              <w:rPr>
                                <w:rFonts w:asciiTheme="minorHAnsi" w:hAnsiTheme="minorHAnsi" w:cs="Helv"/>
                                <w:b/>
                                <w:bCs/>
                                <w:color w:val="000000"/>
                                <w:sz w:val="16"/>
                                <w:szCs w:val="16"/>
                              </w:rPr>
                              <w:t>monitored</w:t>
                            </w:r>
                            <w:r w:rsidRPr="00CD16D5">
                              <w:rPr>
                                <w:rFonts w:asciiTheme="minorHAnsi" w:hAnsiTheme="minorHAnsi" w:cs="Helv"/>
                                <w:color w:val="000000"/>
                                <w:sz w:val="16"/>
                                <w:szCs w:val="16"/>
                              </w:rPr>
                              <w:t xml:space="preserve"> over 12 months to evaluate their effectiveness and applicability at the operational level. No substantive concerns with the document received. The Guidelines were </w:t>
                            </w:r>
                            <w:r w:rsidRPr="00CD16D5">
                              <w:rPr>
                                <w:rFonts w:asciiTheme="minorHAnsi" w:hAnsiTheme="minorHAnsi" w:cs="Helv"/>
                                <w:b/>
                                <w:bCs/>
                                <w:color w:val="000000"/>
                                <w:sz w:val="16"/>
                                <w:szCs w:val="16"/>
                              </w:rPr>
                              <w:t>released and translated</w:t>
                            </w:r>
                            <w:r w:rsidRPr="00CD16D5">
                              <w:rPr>
                                <w:rFonts w:asciiTheme="minorHAnsi" w:hAnsiTheme="minorHAnsi" w:cs="Helv"/>
                                <w:color w:val="000000"/>
                                <w:sz w:val="16"/>
                                <w:szCs w:val="16"/>
                              </w:rPr>
                              <w:t xml:space="preserve"> into all UN languages.</w:t>
                            </w:r>
                          </w:p>
                          <w:p w14:paraId="1EB571C3" w14:textId="77777777" w:rsidR="00281CD7" w:rsidRPr="00CD16D5" w:rsidRDefault="00DB3034" w:rsidP="00281CD7">
                            <w:pPr>
                              <w:pStyle w:val="ListParagraph"/>
                              <w:numPr>
                                <w:ilvl w:val="0"/>
                                <w:numId w:val="15"/>
                              </w:numPr>
                              <w:jc w:val="both"/>
                              <w:rPr>
                                <w:rFonts w:asciiTheme="minorHAnsi" w:hAnsiTheme="minorHAnsi"/>
                                <w:b/>
                                <w:bCs/>
                                <w:iCs/>
                                <w:sz w:val="16"/>
                                <w:szCs w:val="16"/>
                                <w:lang w:val="en-GB"/>
                              </w:rPr>
                            </w:pPr>
                            <w:r w:rsidRPr="00CD16D5">
                              <w:rPr>
                                <w:rFonts w:asciiTheme="minorHAnsi" w:hAnsiTheme="minorHAnsi" w:cs="Helv"/>
                                <w:color w:val="000000"/>
                                <w:sz w:val="16"/>
                                <w:szCs w:val="16"/>
                              </w:rPr>
                              <w:t>‘</w:t>
                            </w:r>
                            <w:r w:rsidRPr="00C45EDF">
                              <w:rPr>
                                <w:rFonts w:asciiTheme="minorHAnsi" w:hAnsiTheme="minorHAnsi" w:cs="Helv"/>
                                <w:b/>
                                <w:color w:val="000000"/>
                                <w:sz w:val="16"/>
                                <w:szCs w:val="16"/>
                              </w:rPr>
                              <w:t>Guidance on Humanitarian Organizations’ Participation in Military Events’</w:t>
                            </w:r>
                            <w:r w:rsidRPr="00CD16D5">
                              <w:rPr>
                                <w:rFonts w:asciiTheme="minorHAnsi" w:hAnsiTheme="minorHAnsi" w:cs="Helv"/>
                                <w:color w:val="000000"/>
                                <w:sz w:val="16"/>
                                <w:szCs w:val="16"/>
                              </w:rPr>
                              <w:t xml:space="preserve"> released to promote coordinated engagement and consistent humanitarian messaging with military organizations. Related information sharing and summary documents were developed.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9F" id="_x0000_s1033" type="#_x0000_t202" style="position:absolute;margin-left:280.15pt;margin-top:21.1pt;width:256.1pt;height:16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L7IwIAACQEAAAOAAAAZHJzL2Uyb0RvYy54bWysU9uO2yAQfa/Uf0C8N3bceL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" stroked="f">
                <v:textbox>
                  <w:txbxContent>
                    <w:p w14:paraId="1EB571C1" w14:textId="77777777" w:rsidR="00DB3034" w:rsidRPr="00CD16D5" w:rsidRDefault="00DB3034" w:rsidP="00DB3034">
                      <w:pPr>
                        <w:pStyle w:val="ListParagraph"/>
                        <w:numPr>
                          <w:ilvl w:val="0"/>
                          <w:numId w:val="15"/>
                        </w:numPr>
                        <w:jc w:val="both"/>
                        <w:rPr>
                          <w:b/>
                          <w:bCs/>
                          <w:iCs/>
                          <w:sz w:val="16"/>
                          <w:szCs w:val="16"/>
                          <w:lang w:val="en-GB"/>
                        </w:rPr>
                      </w:pPr>
                      <w:r w:rsidRPr="00C45EDF">
                        <w:rPr>
                          <w:rFonts w:cs="Helv"/>
                          <w:b/>
                          <w:color w:val="000000"/>
                          <w:sz w:val="16"/>
                          <w:szCs w:val="16"/>
                        </w:rPr>
                        <w:t>‘</w:t>
                      </w:r>
                      <w:r w:rsidRPr="00C45EDF">
                        <w:rPr>
                          <w:rFonts w:asciiTheme="minorHAnsi" w:hAnsiTheme="minorHAnsi" w:cs="Helv"/>
                          <w:b/>
                          <w:color w:val="000000"/>
                          <w:sz w:val="16"/>
                          <w:szCs w:val="16"/>
                        </w:rPr>
                        <w:t>Discussion Paper on Humanitarian Interaction with National Militaries’</w:t>
                      </w:r>
                      <w:r w:rsidRPr="00CD16D5">
                        <w:rPr>
                          <w:rFonts w:asciiTheme="minorHAnsi" w:hAnsiTheme="minorHAnsi" w:cs="Helv"/>
                          <w:color w:val="000000"/>
                          <w:sz w:val="16"/>
                          <w:szCs w:val="16"/>
                        </w:rPr>
                        <w:t xml:space="preserve"> distributed.  Related ‘Good Practices’ based on in-country and desktop case studies for Colombia, Pakistan and the Philippines developed and annexed to the docu</w:t>
                      </w:r>
                      <w:r w:rsidR="00DA6918">
                        <w:rPr>
                          <w:rFonts w:asciiTheme="minorHAnsi" w:hAnsiTheme="minorHAnsi" w:cs="Helv"/>
                          <w:color w:val="000000"/>
                          <w:sz w:val="16"/>
                          <w:szCs w:val="16"/>
                        </w:rPr>
                        <w:t>m</w:t>
                      </w:r>
                      <w:r w:rsidRPr="00CD16D5">
                        <w:rPr>
                          <w:rFonts w:asciiTheme="minorHAnsi" w:hAnsiTheme="minorHAnsi" w:cs="Helv"/>
                          <w:color w:val="000000"/>
                          <w:sz w:val="16"/>
                          <w:szCs w:val="16"/>
                        </w:rPr>
                        <w:t>ent.</w:t>
                      </w:r>
                    </w:p>
                    <w:p w14:paraId="1EB571C2" w14:textId="77777777" w:rsidR="00281CD7" w:rsidRPr="00CD16D5" w:rsidRDefault="00281CD7" w:rsidP="007D5EFA">
                      <w:pPr>
                        <w:pStyle w:val="ListParagraph"/>
                        <w:numPr>
                          <w:ilvl w:val="0"/>
                          <w:numId w:val="15"/>
                        </w:numPr>
                        <w:jc w:val="both"/>
                        <w:rPr>
                          <w:rFonts w:asciiTheme="minorHAnsi" w:hAnsiTheme="minorHAnsi"/>
                          <w:bCs/>
                          <w:iCs/>
                          <w:sz w:val="16"/>
                          <w:szCs w:val="16"/>
                        </w:rPr>
                      </w:pPr>
                      <w:r w:rsidRPr="00CD16D5">
                        <w:rPr>
                          <w:rFonts w:asciiTheme="minorHAnsi" w:hAnsiTheme="minorHAnsi" w:cs="Helv"/>
                          <w:color w:val="000000"/>
                          <w:sz w:val="16"/>
                          <w:szCs w:val="16"/>
                        </w:rPr>
                        <w:t xml:space="preserve">Implementation of the </w:t>
                      </w:r>
                      <w:r w:rsidRPr="00CD16D5">
                        <w:rPr>
                          <w:rFonts w:asciiTheme="minorHAnsi" w:hAnsiTheme="minorHAnsi" w:cs="Helv"/>
                          <w:b/>
                          <w:bCs/>
                          <w:color w:val="000000"/>
                          <w:sz w:val="16"/>
                          <w:szCs w:val="16"/>
                        </w:rPr>
                        <w:t xml:space="preserve">IASC </w:t>
                      </w:r>
                      <w:r w:rsidR="00B10C71" w:rsidRPr="00CD16D5">
                        <w:rPr>
                          <w:rFonts w:asciiTheme="minorHAnsi" w:hAnsiTheme="minorHAnsi" w:cs="Helv"/>
                          <w:b/>
                          <w:bCs/>
                          <w:color w:val="000000"/>
                          <w:sz w:val="16"/>
                          <w:szCs w:val="16"/>
                        </w:rPr>
                        <w:t xml:space="preserve">Guidelines on the use of </w:t>
                      </w:r>
                      <w:r w:rsidRPr="00CD16D5">
                        <w:rPr>
                          <w:rFonts w:asciiTheme="minorHAnsi" w:hAnsiTheme="minorHAnsi" w:cs="Helv"/>
                          <w:b/>
                          <w:bCs/>
                          <w:color w:val="000000"/>
                          <w:sz w:val="16"/>
                          <w:szCs w:val="16"/>
                        </w:rPr>
                        <w:t xml:space="preserve">Armed Escorts </w:t>
                      </w:r>
                      <w:r w:rsidRPr="00CD16D5">
                        <w:rPr>
                          <w:rFonts w:asciiTheme="minorHAnsi" w:hAnsiTheme="minorHAnsi" w:cs="Helv"/>
                          <w:color w:val="000000"/>
                          <w:sz w:val="16"/>
                          <w:szCs w:val="16"/>
                        </w:rPr>
                        <w:t xml:space="preserve">was </w:t>
                      </w:r>
                      <w:r w:rsidRPr="00CD16D5">
                        <w:rPr>
                          <w:rFonts w:asciiTheme="minorHAnsi" w:hAnsiTheme="minorHAnsi" w:cs="Helv"/>
                          <w:b/>
                          <w:bCs/>
                          <w:color w:val="000000"/>
                          <w:sz w:val="16"/>
                          <w:szCs w:val="16"/>
                        </w:rPr>
                        <w:t>monitored</w:t>
                      </w:r>
                      <w:r w:rsidRPr="00CD16D5">
                        <w:rPr>
                          <w:rFonts w:asciiTheme="minorHAnsi" w:hAnsiTheme="minorHAnsi" w:cs="Helv"/>
                          <w:color w:val="000000"/>
                          <w:sz w:val="16"/>
                          <w:szCs w:val="16"/>
                        </w:rPr>
                        <w:t xml:space="preserve"> over 12 months to evaluate their effectiveness and applicability at the operational level. No substantive concerns with the document received. The Guidelines were </w:t>
                      </w:r>
                      <w:r w:rsidRPr="00CD16D5">
                        <w:rPr>
                          <w:rFonts w:asciiTheme="minorHAnsi" w:hAnsiTheme="minorHAnsi" w:cs="Helv"/>
                          <w:b/>
                          <w:bCs/>
                          <w:color w:val="000000"/>
                          <w:sz w:val="16"/>
                          <w:szCs w:val="16"/>
                        </w:rPr>
                        <w:t>released and translated</w:t>
                      </w:r>
                      <w:r w:rsidRPr="00CD16D5">
                        <w:rPr>
                          <w:rFonts w:asciiTheme="minorHAnsi" w:hAnsiTheme="minorHAnsi" w:cs="Helv"/>
                          <w:color w:val="000000"/>
                          <w:sz w:val="16"/>
                          <w:szCs w:val="16"/>
                        </w:rPr>
                        <w:t xml:space="preserve"> into all UN languages.</w:t>
                      </w:r>
                    </w:p>
                    <w:p w14:paraId="1EB571C3" w14:textId="77777777" w:rsidR="00281CD7" w:rsidRPr="00CD16D5" w:rsidRDefault="00DB3034" w:rsidP="00281CD7">
                      <w:pPr>
                        <w:pStyle w:val="ListParagraph"/>
                        <w:numPr>
                          <w:ilvl w:val="0"/>
                          <w:numId w:val="15"/>
                        </w:numPr>
                        <w:jc w:val="both"/>
                        <w:rPr>
                          <w:rFonts w:asciiTheme="minorHAnsi" w:hAnsiTheme="minorHAnsi"/>
                          <w:b/>
                          <w:bCs/>
                          <w:iCs/>
                          <w:sz w:val="16"/>
                          <w:szCs w:val="16"/>
                          <w:lang w:val="en-GB"/>
                        </w:rPr>
                      </w:pPr>
                      <w:r w:rsidRPr="00CD16D5">
                        <w:rPr>
                          <w:rFonts w:asciiTheme="minorHAnsi" w:hAnsiTheme="minorHAnsi" w:cs="Helv"/>
                          <w:color w:val="000000"/>
                          <w:sz w:val="16"/>
                          <w:szCs w:val="16"/>
                        </w:rPr>
                        <w:t>‘</w:t>
                      </w:r>
                      <w:r w:rsidRPr="00C45EDF">
                        <w:rPr>
                          <w:rFonts w:asciiTheme="minorHAnsi" w:hAnsiTheme="minorHAnsi" w:cs="Helv"/>
                          <w:b/>
                          <w:color w:val="000000"/>
                          <w:sz w:val="16"/>
                          <w:szCs w:val="16"/>
                        </w:rPr>
                        <w:t>Guidance on Humanitarian Organizations’ Participation in Military Events’</w:t>
                      </w:r>
                      <w:r w:rsidRPr="00CD16D5">
                        <w:rPr>
                          <w:rFonts w:asciiTheme="minorHAnsi" w:hAnsiTheme="minorHAnsi" w:cs="Helv"/>
                          <w:color w:val="000000"/>
                          <w:sz w:val="16"/>
                          <w:szCs w:val="16"/>
                        </w:rPr>
                        <w:t xml:space="preserve"> released to promote coordinated engagement and consistent humanitarian messaging with military organizations. Related information sharing and summary documents were developed.</w:t>
                      </w:r>
                    </w:p>
                  </w:txbxContent>
                </v:textbox>
              </v:shape>
            </w:pict>
          </mc:Fallback>
        </mc:AlternateContent>
      </w:r>
    </w:p>
    <w:p w14:paraId="1EB57183" w14:textId="77777777" w:rsidR="007F3DE0" w:rsidRPr="00CD16D5" w:rsidRDefault="007F3DE0" w:rsidP="00292474">
      <w:pPr>
        <w:rPr>
          <w:rFonts w:ascii="Arial" w:hAnsi="Arial" w:cs="Arial"/>
          <w:bCs/>
          <w:color w:val="000000"/>
          <w:sz w:val="20"/>
          <w:szCs w:val="20"/>
          <w:lang w:val="en-US"/>
        </w:rPr>
      </w:pPr>
    </w:p>
    <w:p w14:paraId="1EB57184" w14:textId="77777777" w:rsidR="007F3DE0" w:rsidRPr="00CD16D5" w:rsidRDefault="007F3DE0" w:rsidP="00292474">
      <w:pPr>
        <w:rPr>
          <w:rFonts w:ascii="Arial" w:hAnsi="Arial" w:cs="Arial"/>
          <w:bCs/>
          <w:color w:val="000000"/>
          <w:sz w:val="20"/>
          <w:szCs w:val="20"/>
          <w:lang w:val="en-US"/>
        </w:rPr>
      </w:pPr>
    </w:p>
    <w:p w14:paraId="1EB57185" w14:textId="77777777" w:rsidR="007F3DE0" w:rsidRPr="00CD16D5" w:rsidRDefault="007F3DE0" w:rsidP="00292474">
      <w:pPr>
        <w:rPr>
          <w:rFonts w:ascii="Arial" w:hAnsi="Arial" w:cs="Arial"/>
          <w:bCs/>
          <w:color w:val="000000"/>
          <w:sz w:val="20"/>
          <w:szCs w:val="20"/>
          <w:lang w:val="en-US"/>
        </w:rPr>
      </w:pPr>
    </w:p>
    <w:p w14:paraId="1EB57186" w14:textId="77777777" w:rsidR="007F3DE0" w:rsidRPr="00CD16D5" w:rsidRDefault="007F3DE0" w:rsidP="00292474">
      <w:pPr>
        <w:rPr>
          <w:rFonts w:ascii="Arial" w:hAnsi="Arial" w:cs="Arial"/>
          <w:bCs/>
          <w:color w:val="000000"/>
          <w:sz w:val="20"/>
          <w:szCs w:val="20"/>
          <w:lang w:val="en-US"/>
        </w:rPr>
      </w:pPr>
    </w:p>
    <w:p w14:paraId="1EB57187" w14:textId="77777777" w:rsidR="007F3DE0" w:rsidRPr="00CD16D5" w:rsidRDefault="007F3DE0" w:rsidP="00292474">
      <w:pPr>
        <w:rPr>
          <w:rFonts w:ascii="Arial" w:hAnsi="Arial" w:cs="Arial"/>
          <w:bCs/>
          <w:color w:val="000000"/>
          <w:sz w:val="20"/>
          <w:szCs w:val="20"/>
          <w:lang w:val="en-US"/>
        </w:rPr>
      </w:pPr>
    </w:p>
    <w:p w14:paraId="1EB57188" w14:textId="77777777" w:rsidR="007F3DE0" w:rsidRPr="00CD16D5" w:rsidRDefault="007F3DE0" w:rsidP="00292474">
      <w:pPr>
        <w:rPr>
          <w:rFonts w:ascii="Arial" w:hAnsi="Arial" w:cs="Arial"/>
          <w:bCs/>
          <w:color w:val="000000"/>
          <w:sz w:val="20"/>
          <w:szCs w:val="20"/>
          <w:lang w:val="en-US"/>
        </w:rPr>
      </w:pPr>
      <w:bookmarkStart w:id="0" w:name="_GoBack"/>
      <w:bookmarkEnd w:id="0"/>
    </w:p>
    <w:p w14:paraId="1EB57189" w14:textId="77777777" w:rsidR="007F3DE0" w:rsidRPr="00CD16D5" w:rsidRDefault="009E15BE" w:rsidP="00292474">
      <w:pPr>
        <w:rPr>
          <w:rFonts w:ascii="Arial" w:hAnsi="Arial" w:cs="Arial"/>
          <w:bCs/>
          <w:color w:val="000000"/>
          <w:sz w:val="20"/>
          <w:szCs w:val="20"/>
          <w:lang w:val="en-US"/>
        </w:rPr>
      </w:pPr>
      <w:r w:rsidRPr="00CD16D5">
        <w:rPr>
          <w:rFonts w:ascii="Arial" w:hAnsi="Arial" w:cs="Arial"/>
          <w:bCs/>
          <w:noProof/>
          <w:color w:val="000000"/>
          <w:sz w:val="20"/>
          <w:szCs w:val="20"/>
          <w:lang w:val="en-US" w:eastAsia="zh-CN"/>
        </w:rPr>
        <mc:AlternateContent>
          <mc:Choice Requires="wps">
            <w:drawing>
              <wp:anchor distT="0" distB="0" distL="114300" distR="114300" simplePos="0" relativeHeight="251667456" behindDoc="0" locked="0" layoutInCell="1" allowOverlap="1" wp14:anchorId="1EB571A1" wp14:editId="1EB571A2">
                <wp:simplePos x="0" y="0"/>
                <wp:positionH relativeFrom="column">
                  <wp:posOffset>3305810</wp:posOffset>
                </wp:positionH>
                <wp:positionV relativeFrom="paragraph">
                  <wp:posOffset>235424</wp:posOffset>
                </wp:positionV>
                <wp:extent cx="3454400" cy="488950"/>
                <wp:effectExtent l="0" t="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88950"/>
                        </a:xfrm>
                        <a:prstGeom prst="rect">
                          <a:avLst/>
                        </a:prstGeom>
                        <a:pattFill prst="diagBrick">
                          <a:fgClr>
                            <a:srgbClr val="E0EACC"/>
                          </a:fgClr>
                          <a:bgClr>
                            <a:schemeClr val="bg1"/>
                          </a:bgClr>
                        </a:pattFill>
                        <a:ln w="9525">
                          <a:solidFill>
                            <a:srgbClr val="E0EACC"/>
                          </a:solidFill>
                          <a:miter lim="800000"/>
                          <a:headEnd/>
                          <a:tailEnd/>
                        </a:ln>
                      </wps:spPr>
                      <wps:txbx>
                        <w:txbxContent>
                          <w:p w14:paraId="1EB571C4" w14:textId="77777777" w:rsidR="007753B2" w:rsidRDefault="00D10265" w:rsidP="007753B2">
                            <w:pPr>
                              <w:spacing w:after="0" w:line="240" w:lineRule="auto"/>
                              <w:jc w:val="center"/>
                              <w:rPr>
                                <w:b/>
                                <w:sz w:val="20"/>
                                <w:szCs w:val="20"/>
                              </w:rPr>
                            </w:pPr>
                            <w:r w:rsidRPr="00B84285">
                              <w:rPr>
                                <w:b/>
                                <w:sz w:val="20"/>
                                <w:szCs w:val="20"/>
                              </w:rPr>
                              <w:t xml:space="preserve">Enhancing understanding and strengthened </w:t>
                            </w:r>
                          </w:p>
                          <w:p w14:paraId="1EB571C5" w14:textId="77777777" w:rsidR="00D10265" w:rsidRPr="00B84285" w:rsidRDefault="00D10265" w:rsidP="007753B2">
                            <w:pPr>
                              <w:spacing w:after="0" w:line="240" w:lineRule="auto"/>
                              <w:jc w:val="center"/>
                              <w:rPr>
                                <w:b/>
                                <w:sz w:val="20"/>
                                <w:szCs w:val="20"/>
                              </w:rPr>
                            </w:pPr>
                            <w:r w:rsidRPr="00B84285">
                              <w:rPr>
                                <w:b/>
                                <w:sz w:val="20"/>
                                <w:szCs w:val="20"/>
                              </w:rPr>
                              <w:t>approaches to risk management</w:t>
                            </w:r>
                          </w:p>
                          <w:p w14:paraId="1EB571C6" w14:textId="77777777" w:rsidR="00D10265" w:rsidRDefault="00D10265" w:rsidP="00035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1" id="_x0000_s1034" type="#_x0000_t202" style="position:absolute;margin-left:260.3pt;margin-top:18.55pt;width:272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" fillcolor="#e0eacc" strokecolor="#e0eacc">
                <v:fill r:id="rId14" o:title="" color2="white [3212]" type="pattern"/>
                <v:textbox>
                  <w:txbxContent>
                    <w:p w14:paraId="1EB571C4" w14:textId="77777777" w:rsidR="007753B2" w:rsidRDefault="00D10265" w:rsidP="007753B2">
                      <w:pPr>
                        <w:spacing w:after="0" w:line="240" w:lineRule="auto"/>
                        <w:jc w:val="center"/>
                        <w:rPr>
                          <w:b/>
                          <w:sz w:val="20"/>
                          <w:szCs w:val="20"/>
                        </w:rPr>
                      </w:pPr>
                      <w:r w:rsidRPr="00B84285">
                        <w:rPr>
                          <w:b/>
                          <w:sz w:val="20"/>
                          <w:szCs w:val="20"/>
                        </w:rPr>
                        <w:t xml:space="preserve">Enhancing understanding and strengthened </w:t>
                      </w:r>
                    </w:p>
                    <w:p w14:paraId="1EB571C5" w14:textId="77777777" w:rsidR="00D10265" w:rsidRPr="00B84285" w:rsidRDefault="00D10265" w:rsidP="007753B2">
                      <w:pPr>
                        <w:spacing w:after="0" w:line="240" w:lineRule="auto"/>
                        <w:jc w:val="center"/>
                        <w:rPr>
                          <w:b/>
                          <w:sz w:val="20"/>
                          <w:szCs w:val="20"/>
                        </w:rPr>
                      </w:pPr>
                      <w:r w:rsidRPr="00B84285">
                        <w:rPr>
                          <w:b/>
                          <w:sz w:val="20"/>
                          <w:szCs w:val="20"/>
                        </w:rPr>
                        <w:t>approaches to risk management</w:t>
                      </w:r>
                    </w:p>
                    <w:p w14:paraId="1EB571C6" w14:textId="77777777" w:rsidR="00D10265" w:rsidRDefault="00D10265" w:rsidP="00035202"/>
                  </w:txbxContent>
                </v:textbox>
              </v:shape>
            </w:pict>
          </mc:Fallback>
        </mc:AlternateContent>
      </w:r>
    </w:p>
    <w:p w14:paraId="1EB5718A" w14:textId="77777777" w:rsidR="007F3DE0" w:rsidRPr="00CD16D5" w:rsidRDefault="009E15BE" w:rsidP="00292474">
      <w:pPr>
        <w:rPr>
          <w:rFonts w:ascii="Arial" w:hAnsi="Arial" w:cs="Arial"/>
          <w:bCs/>
          <w:color w:val="000000"/>
          <w:sz w:val="20"/>
          <w:szCs w:val="20"/>
          <w:lang w:val="en-US"/>
        </w:rPr>
      </w:pPr>
      <w:r w:rsidRPr="00CD16D5">
        <w:rPr>
          <w:rFonts w:ascii="Times New Roman" w:eastAsia="Arial Unicode MS" w:hAnsi="Times New Roman" w:cs="Times New Roman"/>
          <w:noProof/>
          <w:sz w:val="24"/>
          <w:szCs w:val="24"/>
          <w:bdr w:val="nil"/>
          <w:lang w:val="en-US" w:eastAsia="zh-CN"/>
        </w:rPr>
        <mc:AlternateContent>
          <mc:Choice Requires="wps">
            <w:drawing>
              <wp:anchor distT="0" distB="0" distL="114300" distR="114300" simplePos="0" relativeHeight="251702272" behindDoc="0" locked="0" layoutInCell="1" allowOverlap="1" wp14:anchorId="1EB571A3" wp14:editId="1EB571A4">
                <wp:simplePos x="0" y="0"/>
                <wp:positionH relativeFrom="column">
                  <wp:posOffset>-300251</wp:posOffset>
                </wp:positionH>
                <wp:positionV relativeFrom="paragraph">
                  <wp:posOffset>43749</wp:posOffset>
                </wp:positionV>
                <wp:extent cx="3434080" cy="484495"/>
                <wp:effectExtent l="0" t="0" r="1397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484495"/>
                        </a:xfrm>
                        <a:prstGeom prst="rect">
                          <a:avLst/>
                        </a:prstGeom>
                        <a:pattFill prst="dotDmnd">
                          <a:fgClr>
                            <a:srgbClr val="BEB0D0"/>
                          </a:fgClr>
                          <a:bgClr>
                            <a:schemeClr val="bg1"/>
                          </a:bgClr>
                        </a:pattFill>
                        <a:ln w="9525">
                          <a:solidFill>
                            <a:srgbClr val="BEB0D0"/>
                          </a:solidFill>
                          <a:miter lim="800000"/>
                          <a:headEnd/>
                          <a:tailEnd/>
                        </a:ln>
                      </wps:spPr>
                      <wps:txbx>
                        <w:txbxContent>
                          <w:p w14:paraId="1EB571C7" w14:textId="77777777" w:rsidR="00D10265" w:rsidRPr="00B84285" w:rsidRDefault="00D10265" w:rsidP="000F642B">
                            <w:pPr>
                              <w:jc w:val="center"/>
                              <w:rPr>
                                <w:b/>
                                <w:sz w:val="20"/>
                                <w:szCs w:val="20"/>
                              </w:rPr>
                            </w:pPr>
                            <w:r w:rsidRPr="00B84285">
                              <w:rPr>
                                <w:b/>
                                <w:sz w:val="20"/>
                                <w:szCs w:val="20"/>
                              </w:rPr>
                              <w:t xml:space="preserve">Assisting IASC </w:t>
                            </w:r>
                            <w:r w:rsidR="004A3B4E" w:rsidRPr="00B84285">
                              <w:rPr>
                                <w:b/>
                                <w:sz w:val="20"/>
                                <w:szCs w:val="20"/>
                              </w:rPr>
                              <w:t>organizations</w:t>
                            </w:r>
                            <w:r w:rsidRPr="00B84285">
                              <w:rPr>
                                <w:b/>
                                <w:sz w:val="20"/>
                                <w:szCs w:val="20"/>
                              </w:rPr>
                              <w:t xml:space="preserve"> in understanding and addressing COTER impacts on PHA</w:t>
                            </w:r>
                          </w:p>
                          <w:p w14:paraId="1EB571C8" w14:textId="77777777" w:rsidR="00D10265" w:rsidRDefault="00D10265" w:rsidP="005E2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3" id="_x0000_s1035" type="#_x0000_t202" style="position:absolute;margin-left:-23.65pt;margin-top:3.45pt;width:270.4pt;height:3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" fillcolor="#beb0d0" strokecolor="#beb0d0">
                <v:fill r:id="rId15" o:title="" color2="white [3212]" type="pattern"/>
                <v:textbox>
                  <w:txbxContent>
                    <w:p w14:paraId="1EB571C7" w14:textId="77777777" w:rsidR="00D10265" w:rsidRPr="00B84285" w:rsidRDefault="00D10265" w:rsidP="000F642B">
                      <w:pPr>
                        <w:jc w:val="center"/>
                        <w:rPr>
                          <w:b/>
                          <w:sz w:val="20"/>
                          <w:szCs w:val="20"/>
                        </w:rPr>
                      </w:pPr>
                      <w:r w:rsidRPr="00B84285">
                        <w:rPr>
                          <w:b/>
                          <w:sz w:val="20"/>
                          <w:szCs w:val="20"/>
                        </w:rPr>
                        <w:t xml:space="preserve">Assisting IASC </w:t>
                      </w:r>
                      <w:r w:rsidR="004A3B4E" w:rsidRPr="00B84285">
                        <w:rPr>
                          <w:b/>
                          <w:sz w:val="20"/>
                          <w:szCs w:val="20"/>
                        </w:rPr>
                        <w:t>organizations</w:t>
                      </w:r>
                      <w:r w:rsidRPr="00B84285">
                        <w:rPr>
                          <w:b/>
                          <w:sz w:val="20"/>
                          <w:szCs w:val="20"/>
                        </w:rPr>
                        <w:t xml:space="preserve"> in understanding and addressing COTER impacts on PHA</w:t>
                      </w:r>
                    </w:p>
                    <w:p w14:paraId="1EB571C8" w14:textId="77777777" w:rsidR="00D10265" w:rsidRDefault="00D10265" w:rsidP="005E242B"/>
                  </w:txbxContent>
                </v:textbox>
              </v:shape>
            </w:pict>
          </mc:Fallback>
        </mc:AlternateContent>
      </w:r>
    </w:p>
    <w:p w14:paraId="1EB5718B" w14:textId="77777777" w:rsidR="007F3DE0" w:rsidRPr="00CD16D5" w:rsidRDefault="009E15BE" w:rsidP="00292474">
      <w:pPr>
        <w:rPr>
          <w:rFonts w:ascii="Arial" w:hAnsi="Arial" w:cs="Arial"/>
          <w:bCs/>
          <w:color w:val="000000"/>
          <w:sz w:val="20"/>
          <w:szCs w:val="20"/>
          <w:lang w:val="en-US"/>
        </w:rPr>
      </w:pPr>
      <w:r w:rsidRPr="00CD16D5">
        <w:rPr>
          <w:rFonts w:ascii="Times New Roman" w:eastAsia="Arial Unicode MS" w:hAnsi="Times New Roman" w:cs="Times New Roman"/>
          <w:noProof/>
          <w:sz w:val="24"/>
          <w:szCs w:val="24"/>
          <w:bdr w:val="nil"/>
          <w:lang w:val="en-US" w:eastAsia="zh-CN"/>
        </w:rPr>
        <mc:AlternateContent>
          <mc:Choice Requires="wps">
            <w:drawing>
              <wp:anchor distT="0" distB="0" distL="114300" distR="114300" simplePos="0" relativeHeight="251683840" behindDoc="0" locked="0" layoutInCell="1" allowOverlap="1" wp14:anchorId="1EB571A5" wp14:editId="1EB571A6">
                <wp:simplePos x="0" y="0"/>
                <wp:positionH relativeFrom="column">
                  <wp:posOffset>-300251</wp:posOffset>
                </wp:positionH>
                <wp:positionV relativeFrom="paragraph">
                  <wp:posOffset>233604</wp:posOffset>
                </wp:positionV>
                <wp:extent cx="3561080" cy="1890215"/>
                <wp:effectExtent l="0" t="0" r="127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890215"/>
                        </a:xfrm>
                        <a:prstGeom prst="rect">
                          <a:avLst/>
                        </a:prstGeom>
                        <a:solidFill>
                          <a:srgbClr val="FFFFFF"/>
                        </a:solidFill>
                        <a:ln w="9525">
                          <a:noFill/>
                          <a:miter lim="800000"/>
                          <a:headEnd/>
                          <a:tailEnd/>
                        </a:ln>
                      </wps:spPr>
                      <wps:txbx>
                        <w:txbxContent>
                          <w:p w14:paraId="1EB571C9" w14:textId="77777777" w:rsidR="00D10265" w:rsidRPr="00CD16D5" w:rsidRDefault="00313BAF" w:rsidP="00313BAF">
                            <w:pPr>
                              <w:pStyle w:val="ListParagraph"/>
                              <w:numPr>
                                <w:ilvl w:val="0"/>
                                <w:numId w:val="8"/>
                              </w:numPr>
                              <w:contextualSpacing w:val="0"/>
                              <w:jc w:val="both"/>
                              <w:rPr>
                                <w:rFonts w:asciiTheme="minorHAnsi" w:hAnsiTheme="minorHAnsi"/>
                                <w:bCs/>
                                <w:iCs/>
                                <w:sz w:val="16"/>
                                <w:szCs w:val="16"/>
                                <w:lang w:val="en-GB"/>
                              </w:rPr>
                            </w:pPr>
                            <w:r w:rsidRPr="00CD16D5">
                              <w:rPr>
                                <w:rFonts w:asciiTheme="minorHAnsi" w:hAnsiTheme="minorHAnsi"/>
                                <w:bCs/>
                                <w:iCs/>
                                <w:sz w:val="16"/>
                                <w:szCs w:val="16"/>
                                <w:lang w:val="en-GB"/>
                              </w:rPr>
                              <w:t xml:space="preserve">The content of a </w:t>
                            </w:r>
                            <w:r w:rsidRPr="00CD16D5">
                              <w:rPr>
                                <w:rFonts w:asciiTheme="minorHAnsi" w:hAnsiTheme="minorHAnsi"/>
                                <w:b/>
                                <w:bCs/>
                                <w:iCs/>
                                <w:sz w:val="16"/>
                                <w:szCs w:val="16"/>
                                <w:lang w:val="en-GB"/>
                              </w:rPr>
                              <w:t>statement to the IASC Principals</w:t>
                            </w:r>
                            <w:r w:rsidRPr="00CD16D5">
                              <w:rPr>
                                <w:rFonts w:asciiTheme="minorHAnsi" w:hAnsiTheme="minorHAnsi"/>
                                <w:bCs/>
                                <w:iCs/>
                                <w:sz w:val="16"/>
                                <w:szCs w:val="16"/>
                                <w:lang w:val="en-GB"/>
                              </w:rPr>
                              <w:t xml:space="preserve"> on “</w:t>
                            </w:r>
                            <w:r w:rsidRPr="00CD16D5">
                              <w:rPr>
                                <w:rFonts w:asciiTheme="minorHAnsi" w:hAnsiTheme="minorHAnsi"/>
                                <w:bCs/>
                                <w:i/>
                                <w:iCs/>
                                <w:sz w:val="16"/>
                                <w:szCs w:val="16"/>
                                <w:lang w:val="en-GB"/>
                              </w:rPr>
                              <w:t>Principled Humanitarian Action in Relation to Counter-Terrorism Measures</w:t>
                            </w:r>
                            <w:r w:rsidRPr="00CD16D5">
                              <w:rPr>
                                <w:rFonts w:asciiTheme="minorHAnsi" w:hAnsiTheme="minorHAnsi"/>
                                <w:bCs/>
                                <w:iCs/>
                                <w:sz w:val="16"/>
                                <w:szCs w:val="16"/>
                                <w:lang w:val="en-GB"/>
                              </w:rPr>
                              <w:t>” was endorsed in May 2015.</w:t>
                            </w:r>
                            <w:r w:rsidR="00F93675" w:rsidRPr="00CD16D5">
                              <w:rPr>
                                <w:rFonts w:asciiTheme="minorHAnsi" w:eastAsia="Arial" w:hAnsiTheme="minorHAnsi" w:cs="Arial"/>
                                <w:sz w:val="16"/>
                                <w:szCs w:val="16"/>
                                <w:lang w:val="en-GB"/>
                              </w:rPr>
                              <w:t xml:space="preserve"> The content of the statement will be used a reference point in negotiations with governments and donors, without releasing it publicly.</w:t>
                            </w:r>
                          </w:p>
                          <w:p w14:paraId="1EB571CA" w14:textId="77777777" w:rsidR="00F70090" w:rsidRPr="00CD16D5" w:rsidRDefault="00F70090" w:rsidP="00F70090">
                            <w:pPr>
                              <w:pStyle w:val="ListParagraph"/>
                              <w:numPr>
                                <w:ilvl w:val="0"/>
                                <w:numId w:val="8"/>
                              </w:numPr>
                              <w:contextualSpacing w:val="0"/>
                              <w:jc w:val="both"/>
                              <w:rPr>
                                <w:rFonts w:asciiTheme="minorHAnsi" w:hAnsiTheme="minorHAnsi"/>
                                <w:bCs/>
                                <w:iCs/>
                                <w:sz w:val="16"/>
                                <w:szCs w:val="16"/>
                                <w:lang w:val="en-GB"/>
                              </w:rPr>
                            </w:pPr>
                            <w:r w:rsidRPr="00CD16D5">
                              <w:rPr>
                                <w:rFonts w:asciiTheme="minorHAnsi" w:hAnsiTheme="minorHAnsi"/>
                                <w:b/>
                                <w:bCs/>
                                <w:iCs/>
                                <w:sz w:val="16"/>
                                <w:szCs w:val="16"/>
                                <w:lang w:val="en-GB"/>
                              </w:rPr>
                              <w:t>Study on the impact of host State COTER measures on PHA</w:t>
                            </w:r>
                            <w:r w:rsidRPr="00CD16D5">
                              <w:rPr>
                                <w:rFonts w:asciiTheme="minorHAnsi" w:hAnsiTheme="minorHAnsi"/>
                                <w:bCs/>
                                <w:iCs/>
                                <w:sz w:val="16"/>
                                <w:szCs w:val="16"/>
                                <w:lang w:val="en-GB"/>
                              </w:rPr>
                              <w:t xml:space="preserve"> commissioned.</w:t>
                            </w:r>
                          </w:p>
                          <w:p w14:paraId="1EB571CB" w14:textId="77777777" w:rsidR="00F70090" w:rsidRPr="00CD16D5" w:rsidRDefault="00F70090" w:rsidP="00F70090">
                            <w:pPr>
                              <w:pStyle w:val="ListParagraph"/>
                              <w:numPr>
                                <w:ilvl w:val="0"/>
                                <w:numId w:val="8"/>
                              </w:numPr>
                              <w:contextualSpacing w:val="0"/>
                              <w:jc w:val="both"/>
                              <w:rPr>
                                <w:rFonts w:asciiTheme="minorHAnsi" w:eastAsia="Arial" w:hAnsiTheme="minorHAnsi" w:cs="Arial"/>
                                <w:sz w:val="16"/>
                                <w:szCs w:val="16"/>
                                <w:lang w:val="en-GB"/>
                              </w:rPr>
                            </w:pPr>
                            <w:r w:rsidRPr="00CD16D5">
                              <w:rPr>
                                <w:rFonts w:asciiTheme="minorHAnsi" w:hAnsiTheme="minorHAnsi"/>
                                <w:bCs/>
                                <w:iCs/>
                                <w:sz w:val="16"/>
                                <w:szCs w:val="16"/>
                                <w:lang w:val="en-GB"/>
                              </w:rPr>
                              <w:t xml:space="preserve">A </w:t>
                            </w:r>
                            <w:r w:rsidRPr="00CD16D5">
                              <w:rPr>
                                <w:rFonts w:asciiTheme="minorHAnsi" w:hAnsiTheme="minorHAnsi"/>
                                <w:b/>
                                <w:bCs/>
                                <w:iCs/>
                                <w:sz w:val="16"/>
                                <w:szCs w:val="16"/>
                                <w:lang w:val="en-GB"/>
                              </w:rPr>
                              <w:t xml:space="preserve">workshop </w:t>
                            </w:r>
                            <w:r w:rsidRPr="00CD16D5">
                              <w:rPr>
                                <w:rFonts w:asciiTheme="minorHAnsi" w:hAnsiTheme="minorHAnsi"/>
                                <w:bCs/>
                                <w:iCs/>
                                <w:sz w:val="16"/>
                                <w:szCs w:val="16"/>
                                <w:lang w:val="en-GB"/>
                              </w:rPr>
                              <w:t>was held</w:t>
                            </w:r>
                            <w:r w:rsidRPr="00CD16D5">
                              <w:rPr>
                                <w:rFonts w:asciiTheme="minorHAnsi" w:hAnsiTheme="minorHAnsi"/>
                                <w:b/>
                                <w:bCs/>
                                <w:iCs/>
                                <w:sz w:val="16"/>
                                <w:szCs w:val="16"/>
                                <w:lang w:val="en-GB"/>
                              </w:rPr>
                              <w:t xml:space="preserve"> </w:t>
                            </w:r>
                            <w:r w:rsidRPr="00CD16D5">
                              <w:rPr>
                                <w:rFonts w:asciiTheme="minorHAnsi" w:hAnsiTheme="minorHAnsi"/>
                                <w:bCs/>
                                <w:iCs/>
                                <w:sz w:val="16"/>
                                <w:szCs w:val="16"/>
                                <w:lang w:val="en-GB"/>
                              </w:rPr>
                              <w:t>with IASC members</w:t>
                            </w:r>
                            <w:r w:rsidRPr="00CD16D5">
                              <w:rPr>
                                <w:rFonts w:asciiTheme="minorHAnsi" w:hAnsiTheme="minorHAnsi"/>
                                <w:b/>
                                <w:bCs/>
                                <w:iCs/>
                                <w:sz w:val="16"/>
                                <w:szCs w:val="16"/>
                                <w:lang w:val="en-GB"/>
                              </w:rPr>
                              <w:t xml:space="preserve"> </w:t>
                            </w:r>
                            <w:r w:rsidRPr="00CD16D5">
                              <w:rPr>
                                <w:rFonts w:asciiTheme="minorHAnsi" w:hAnsiTheme="minorHAnsi"/>
                                <w:sz w:val="16"/>
                                <w:szCs w:val="16"/>
                                <w:lang w:val="en-GB"/>
                              </w:rPr>
                              <w:t xml:space="preserve">on the strategy for developing the US </w:t>
                            </w:r>
                            <w:r w:rsidRPr="00CD16D5">
                              <w:rPr>
                                <w:rFonts w:asciiTheme="minorHAnsi" w:hAnsiTheme="minorHAnsi"/>
                                <w:iCs/>
                                <w:sz w:val="16"/>
                                <w:szCs w:val="16"/>
                                <w:lang w:val="en-GB"/>
                              </w:rPr>
                              <w:t>Humanitarian Assistance Facilitation Act</w:t>
                            </w:r>
                            <w:r w:rsidRPr="00CD16D5">
                              <w:rPr>
                                <w:rFonts w:asciiTheme="minorHAnsi" w:hAnsiTheme="minorHAnsi"/>
                                <w:i/>
                                <w:iCs/>
                                <w:sz w:val="16"/>
                                <w:szCs w:val="16"/>
                                <w:lang w:val="en-GB"/>
                              </w:rPr>
                              <w:t xml:space="preserve"> </w:t>
                            </w:r>
                            <w:r w:rsidRPr="00CD16D5">
                              <w:rPr>
                                <w:rFonts w:asciiTheme="minorHAnsi" w:hAnsiTheme="minorHAnsi"/>
                                <w:sz w:val="16"/>
                                <w:szCs w:val="16"/>
                                <w:lang w:val="en-GB"/>
                              </w:rPr>
                              <w:t>(‘</w:t>
                            </w:r>
                            <w:r w:rsidRPr="00CD16D5">
                              <w:rPr>
                                <w:rFonts w:asciiTheme="minorHAnsi" w:hAnsiTheme="minorHAnsi"/>
                                <w:b/>
                                <w:bCs/>
                                <w:sz w:val="16"/>
                                <w:szCs w:val="16"/>
                                <w:lang w:val="en-GB"/>
                              </w:rPr>
                              <w:t>HAFA</w:t>
                            </w:r>
                            <w:r w:rsidRPr="00CD16D5">
                              <w:rPr>
                                <w:rFonts w:asciiTheme="minorHAnsi" w:hAnsiTheme="minorHAnsi"/>
                                <w:sz w:val="16"/>
                                <w:szCs w:val="16"/>
                                <w:lang w:val="en-GB"/>
                              </w:rPr>
                              <w:t>’)</w:t>
                            </w:r>
                            <w:r w:rsidRPr="00CD16D5">
                              <w:rPr>
                                <w:rFonts w:asciiTheme="minorHAnsi" w:hAnsiTheme="minorHAnsi"/>
                                <w:b/>
                                <w:bCs/>
                                <w:sz w:val="16"/>
                                <w:szCs w:val="16"/>
                                <w:lang w:val="en-GB"/>
                              </w:rPr>
                              <w:t xml:space="preserve"> </w:t>
                            </w:r>
                            <w:r w:rsidRPr="00CD16D5">
                              <w:rPr>
                                <w:rFonts w:asciiTheme="minorHAnsi" w:hAnsiTheme="minorHAnsi"/>
                                <w:sz w:val="16"/>
                                <w:szCs w:val="16"/>
                                <w:lang w:val="en-GB"/>
                              </w:rPr>
                              <w:t>bill. The lessons learned from the process are relevant for IASC organizations engaged with policy process in other capitals.</w:t>
                            </w:r>
                          </w:p>
                          <w:p w14:paraId="1EB571CC" w14:textId="77777777" w:rsidR="00F70090" w:rsidRPr="00CD16D5" w:rsidRDefault="00F70090" w:rsidP="00F70090">
                            <w:pPr>
                              <w:pStyle w:val="ListParagraph"/>
                              <w:numPr>
                                <w:ilvl w:val="0"/>
                                <w:numId w:val="8"/>
                              </w:numPr>
                              <w:contextualSpacing w:val="0"/>
                              <w:jc w:val="both"/>
                              <w:rPr>
                                <w:rFonts w:asciiTheme="minorHAnsi" w:eastAsia="Arial" w:hAnsiTheme="minorHAnsi" w:cs="Arial"/>
                                <w:sz w:val="16"/>
                                <w:szCs w:val="16"/>
                                <w:lang w:val="en-GB"/>
                              </w:rPr>
                            </w:pPr>
                            <w:r w:rsidRPr="00B329A5">
                              <w:rPr>
                                <w:rFonts w:asciiTheme="minorHAnsi" w:hAnsiTheme="minorHAnsi"/>
                                <w:b/>
                                <w:sz w:val="16"/>
                                <w:szCs w:val="16"/>
                                <w:lang w:val="en-GB"/>
                              </w:rPr>
                              <w:t>Comprehensive independent research</w:t>
                            </w:r>
                            <w:r w:rsidRPr="00CD16D5">
                              <w:rPr>
                                <w:rFonts w:asciiTheme="minorHAnsi" w:hAnsiTheme="minorHAnsi"/>
                                <w:sz w:val="16"/>
                                <w:szCs w:val="16"/>
                                <w:lang w:val="en-GB"/>
                              </w:rPr>
                              <w:t xml:space="preserve"> commissioned from the Harvard Law School COTER Humanitarian Engagement Project </w:t>
                            </w:r>
                            <w:r w:rsidRPr="00B329A5">
                              <w:rPr>
                                <w:rFonts w:asciiTheme="minorHAnsi" w:hAnsiTheme="minorHAnsi"/>
                                <w:b/>
                                <w:sz w:val="16"/>
                                <w:szCs w:val="16"/>
                                <w:lang w:val="en-GB"/>
                              </w:rPr>
                              <w:t>on the risk management and contractual clauses used by donors/UN/NGOs</w:t>
                            </w:r>
                            <w:r w:rsidRPr="00CD16D5">
                              <w:rPr>
                                <w:rFonts w:asciiTheme="minorHAnsi" w:hAnsiTheme="minorHAnsi"/>
                                <w:sz w:val="16"/>
                                <w:szCs w:val="16"/>
                                <w:lang w:val="en-GB"/>
                              </w:rPr>
                              <w:t>. Studies provide</w:t>
                            </w:r>
                            <w:r w:rsidR="00B329A5">
                              <w:rPr>
                                <w:rFonts w:asciiTheme="minorHAnsi" w:hAnsiTheme="minorHAnsi"/>
                                <w:sz w:val="16"/>
                                <w:szCs w:val="16"/>
                                <w:lang w:val="en-GB"/>
                              </w:rPr>
                              <w:t>d</w:t>
                            </w:r>
                            <w:r w:rsidRPr="00CD16D5">
                              <w:rPr>
                                <w:rFonts w:asciiTheme="minorHAnsi" w:hAnsiTheme="minorHAnsi"/>
                                <w:sz w:val="16"/>
                                <w:szCs w:val="16"/>
                                <w:lang w:val="en-GB"/>
                              </w:rPr>
                              <w:t xml:space="preserve"> the basis for development of the COTER toolkit. </w:t>
                            </w:r>
                          </w:p>
                          <w:p w14:paraId="1EB571CD" w14:textId="77777777" w:rsidR="00F70090" w:rsidRPr="00CD16D5" w:rsidRDefault="00F70090" w:rsidP="00F70090">
                            <w:pPr>
                              <w:pStyle w:val="ListParagraph"/>
                              <w:ind w:left="360"/>
                              <w:contextualSpacing w:val="0"/>
                              <w:jc w:val="both"/>
                              <w:rPr>
                                <w:rFonts w:asciiTheme="minorHAnsi" w:hAnsiTheme="minorHAnsi"/>
                                <w:bCs/>
                                <w:iCs/>
                                <w:sz w:val="16"/>
                                <w:szCs w:val="16"/>
                                <w:lang w:val="en-GB"/>
                              </w:rPr>
                            </w:pPr>
                          </w:p>
                          <w:p w14:paraId="1EB571CE" w14:textId="77777777" w:rsidR="00D10265" w:rsidRPr="00CD16D5" w:rsidRDefault="00D10265" w:rsidP="00B74BB9">
                            <w:pPr>
                              <w:pStyle w:val="ListParagraph"/>
                              <w:ind w:left="360"/>
                              <w:rPr>
                                <w:rFonts w:asciiTheme="minorHAnsi" w:eastAsia="Arial" w:hAnsiTheme="minorHAnsi" w:cs="Arial"/>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5" id="_x0000_s1036" type="#_x0000_t202" style="position:absolute;margin-left:-23.65pt;margin-top:18.4pt;width:280.4pt;height:14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IFIgIAACU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" stroked="f">
                <v:textbox>
                  <w:txbxContent>
                    <w:p w14:paraId="1EB571C9" w14:textId="77777777" w:rsidR="00D10265" w:rsidRPr="00CD16D5" w:rsidRDefault="00313BAF" w:rsidP="00313BAF">
                      <w:pPr>
                        <w:pStyle w:val="ListParagraph"/>
                        <w:numPr>
                          <w:ilvl w:val="0"/>
                          <w:numId w:val="8"/>
                        </w:numPr>
                        <w:contextualSpacing w:val="0"/>
                        <w:jc w:val="both"/>
                        <w:rPr>
                          <w:rFonts w:asciiTheme="minorHAnsi" w:hAnsiTheme="minorHAnsi"/>
                          <w:bCs/>
                          <w:iCs/>
                          <w:sz w:val="16"/>
                          <w:szCs w:val="16"/>
                          <w:lang w:val="en-GB"/>
                        </w:rPr>
                      </w:pPr>
                      <w:r w:rsidRPr="00CD16D5">
                        <w:rPr>
                          <w:rFonts w:asciiTheme="minorHAnsi" w:hAnsiTheme="minorHAnsi"/>
                          <w:bCs/>
                          <w:iCs/>
                          <w:sz w:val="16"/>
                          <w:szCs w:val="16"/>
                          <w:lang w:val="en-GB"/>
                        </w:rPr>
                        <w:t xml:space="preserve">The content of a </w:t>
                      </w:r>
                      <w:r w:rsidRPr="00CD16D5">
                        <w:rPr>
                          <w:rFonts w:asciiTheme="minorHAnsi" w:hAnsiTheme="minorHAnsi"/>
                          <w:b/>
                          <w:bCs/>
                          <w:iCs/>
                          <w:sz w:val="16"/>
                          <w:szCs w:val="16"/>
                          <w:lang w:val="en-GB"/>
                        </w:rPr>
                        <w:t>statement to the IASC Principals</w:t>
                      </w:r>
                      <w:r w:rsidRPr="00CD16D5">
                        <w:rPr>
                          <w:rFonts w:asciiTheme="minorHAnsi" w:hAnsiTheme="minorHAnsi"/>
                          <w:bCs/>
                          <w:iCs/>
                          <w:sz w:val="16"/>
                          <w:szCs w:val="16"/>
                          <w:lang w:val="en-GB"/>
                        </w:rPr>
                        <w:t xml:space="preserve"> on “</w:t>
                      </w:r>
                      <w:r w:rsidRPr="00CD16D5">
                        <w:rPr>
                          <w:rFonts w:asciiTheme="minorHAnsi" w:hAnsiTheme="minorHAnsi"/>
                          <w:bCs/>
                          <w:i/>
                          <w:iCs/>
                          <w:sz w:val="16"/>
                          <w:szCs w:val="16"/>
                          <w:lang w:val="en-GB"/>
                        </w:rPr>
                        <w:t>Principled Humanitarian Action in Relation to Counter-Terrorism Measures</w:t>
                      </w:r>
                      <w:r w:rsidRPr="00CD16D5">
                        <w:rPr>
                          <w:rFonts w:asciiTheme="minorHAnsi" w:hAnsiTheme="minorHAnsi"/>
                          <w:bCs/>
                          <w:iCs/>
                          <w:sz w:val="16"/>
                          <w:szCs w:val="16"/>
                          <w:lang w:val="en-GB"/>
                        </w:rPr>
                        <w:t>” was endorsed in May 2015.</w:t>
                      </w:r>
                      <w:r w:rsidR="00F93675" w:rsidRPr="00CD16D5">
                        <w:rPr>
                          <w:rFonts w:asciiTheme="minorHAnsi" w:eastAsia="Arial" w:hAnsiTheme="minorHAnsi" w:cs="Arial"/>
                          <w:sz w:val="16"/>
                          <w:szCs w:val="16"/>
                          <w:lang w:val="en-GB"/>
                        </w:rPr>
                        <w:t xml:space="preserve"> The content of the statement will be used a reference point in negotiations with governments and donors, without releasing it publicly.</w:t>
                      </w:r>
                    </w:p>
                    <w:p w14:paraId="1EB571CA" w14:textId="77777777" w:rsidR="00F70090" w:rsidRPr="00CD16D5" w:rsidRDefault="00F70090" w:rsidP="00F70090">
                      <w:pPr>
                        <w:pStyle w:val="ListParagraph"/>
                        <w:numPr>
                          <w:ilvl w:val="0"/>
                          <w:numId w:val="8"/>
                        </w:numPr>
                        <w:contextualSpacing w:val="0"/>
                        <w:jc w:val="both"/>
                        <w:rPr>
                          <w:rFonts w:asciiTheme="minorHAnsi" w:hAnsiTheme="minorHAnsi"/>
                          <w:bCs/>
                          <w:iCs/>
                          <w:sz w:val="16"/>
                          <w:szCs w:val="16"/>
                          <w:lang w:val="en-GB"/>
                        </w:rPr>
                      </w:pPr>
                      <w:r w:rsidRPr="00CD16D5">
                        <w:rPr>
                          <w:rFonts w:asciiTheme="minorHAnsi" w:hAnsiTheme="minorHAnsi"/>
                          <w:b/>
                          <w:bCs/>
                          <w:iCs/>
                          <w:sz w:val="16"/>
                          <w:szCs w:val="16"/>
                          <w:lang w:val="en-GB"/>
                        </w:rPr>
                        <w:t>Study on the impact of host State COTER measures on PHA</w:t>
                      </w:r>
                      <w:r w:rsidRPr="00CD16D5">
                        <w:rPr>
                          <w:rFonts w:asciiTheme="minorHAnsi" w:hAnsiTheme="minorHAnsi"/>
                          <w:bCs/>
                          <w:iCs/>
                          <w:sz w:val="16"/>
                          <w:szCs w:val="16"/>
                          <w:lang w:val="en-GB"/>
                        </w:rPr>
                        <w:t xml:space="preserve"> commissioned.</w:t>
                      </w:r>
                    </w:p>
                    <w:p w14:paraId="1EB571CB" w14:textId="77777777" w:rsidR="00F70090" w:rsidRPr="00CD16D5" w:rsidRDefault="00F70090" w:rsidP="00F70090">
                      <w:pPr>
                        <w:pStyle w:val="ListParagraph"/>
                        <w:numPr>
                          <w:ilvl w:val="0"/>
                          <w:numId w:val="8"/>
                        </w:numPr>
                        <w:contextualSpacing w:val="0"/>
                        <w:jc w:val="both"/>
                        <w:rPr>
                          <w:rFonts w:asciiTheme="minorHAnsi" w:eastAsia="Arial" w:hAnsiTheme="minorHAnsi" w:cs="Arial"/>
                          <w:sz w:val="16"/>
                          <w:szCs w:val="16"/>
                          <w:lang w:val="en-GB"/>
                        </w:rPr>
                      </w:pPr>
                      <w:r w:rsidRPr="00CD16D5">
                        <w:rPr>
                          <w:rFonts w:asciiTheme="minorHAnsi" w:hAnsiTheme="minorHAnsi"/>
                          <w:bCs/>
                          <w:iCs/>
                          <w:sz w:val="16"/>
                          <w:szCs w:val="16"/>
                          <w:lang w:val="en-GB"/>
                        </w:rPr>
                        <w:t xml:space="preserve">A </w:t>
                      </w:r>
                      <w:r w:rsidRPr="00CD16D5">
                        <w:rPr>
                          <w:rFonts w:asciiTheme="minorHAnsi" w:hAnsiTheme="minorHAnsi"/>
                          <w:b/>
                          <w:bCs/>
                          <w:iCs/>
                          <w:sz w:val="16"/>
                          <w:szCs w:val="16"/>
                          <w:lang w:val="en-GB"/>
                        </w:rPr>
                        <w:t xml:space="preserve">workshop </w:t>
                      </w:r>
                      <w:r w:rsidRPr="00CD16D5">
                        <w:rPr>
                          <w:rFonts w:asciiTheme="minorHAnsi" w:hAnsiTheme="minorHAnsi"/>
                          <w:bCs/>
                          <w:iCs/>
                          <w:sz w:val="16"/>
                          <w:szCs w:val="16"/>
                          <w:lang w:val="en-GB"/>
                        </w:rPr>
                        <w:t>was held</w:t>
                      </w:r>
                      <w:r w:rsidRPr="00CD16D5">
                        <w:rPr>
                          <w:rFonts w:asciiTheme="minorHAnsi" w:hAnsiTheme="minorHAnsi"/>
                          <w:b/>
                          <w:bCs/>
                          <w:iCs/>
                          <w:sz w:val="16"/>
                          <w:szCs w:val="16"/>
                          <w:lang w:val="en-GB"/>
                        </w:rPr>
                        <w:t xml:space="preserve"> </w:t>
                      </w:r>
                      <w:r w:rsidRPr="00CD16D5">
                        <w:rPr>
                          <w:rFonts w:asciiTheme="minorHAnsi" w:hAnsiTheme="minorHAnsi"/>
                          <w:bCs/>
                          <w:iCs/>
                          <w:sz w:val="16"/>
                          <w:szCs w:val="16"/>
                          <w:lang w:val="en-GB"/>
                        </w:rPr>
                        <w:t>with IASC members</w:t>
                      </w:r>
                      <w:r w:rsidRPr="00CD16D5">
                        <w:rPr>
                          <w:rFonts w:asciiTheme="minorHAnsi" w:hAnsiTheme="minorHAnsi"/>
                          <w:b/>
                          <w:bCs/>
                          <w:iCs/>
                          <w:sz w:val="16"/>
                          <w:szCs w:val="16"/>
                          <w:lang w:val="en-GB"/>
                        </w:rPr>
                        <w:t xml:space="preserve"> </w:t>
                      </w:r>
                      <w:r w:rsidRPr="00CD16D5">
                        <w:rPr>
                          <w:rFonts w:asciiTheme="minorHAnsi" w:hAnsiTheme="minorHAnsi"/>
                          <w:sz w:val="16"/>
                          <w:szCs w:val="16"/>
                          <w:lang w:val="en-GB"/>
                        </w:rPr>
                        <w:t xml:space="preserve">on the strategy for developing the US </w:t>
                      </w:r>
                      <w:r w:rsidRPr="00CD16D5">
                        <w:rPr>
                          <w:rFonts w:asciiTheme="minorHAnsi" w:hAnsiTheme="minorHAnsi"/>
                          <w:iCs/>
                          <w:sz w:val="16"/>
                          <w:szCs w:val="16"/>
                          <w:lang w:val="en-GB"/>
                        </w:rPr>
                        <w:t>Humanitarian Assistance Facilitation Act</w:t>
                      </w:r>
                      <w:r w:rsidRPr="00CD16D5">
                        <w:rPr>
                          <w:rFonts w:asciiTheme="minorHAnsi" w:hAnsiTheme="minorHAnsi"/>
                          <w:i/>
                          <w:iCs/>
                          <w:sz w:val="16"/>
                          <w:szCs w:val="16"/>
                          <w:lang w:val="en-GB"/>
                        </w:rPr>
                        <w:t xml:space="preserve"> </w:t>
                      </w:r>
                      <w:r w:rsidRPr="00CD16D5">
                        <w:rPr>
                          <w:rFonts w:asciiTheme="minorHAnsi" w:hAnsiTheme="minorHAnsi"/>
                          <w:sz w:val="16"/>
                          <w:szCs w:val="16"/>
                          <w:lang w:val="en-GB"/>
                        </w:rPr>
                        <w:t>(‘</w:t>
                      </w:r>
                      <w:r w:rsidRPr="00CD16D5">
                        <w:rPr>
                          <w:rFonts w:asciiTheme="minorHAnsi" w:hAnsiTheme="minorHAnsi"/>
                          <w:b/>
                          <w:bCs/>
                          <w:sz w:val="16"/>
                          <w:szCs w:val="16"/>
                          <w:lang w:val="en-GB"/>
                        </w:rPr>
                        <w:t>HAFA</w:t>
                      </w:r>
                      <w:r w:rsidRPr="00CD16D5">
                        <w:rPr>
                          <w:rFonts w:asciiTheme="minorHAnsi" w:hAnsiTheme="minorHAnsi"/>
                          <w:sz w:val="16"/>
                          <w:szCs w:val="16"/>
                          <w:lang w:val="en-GB"/>
                        </w:rPr>
                        <w:t>’)</w:t>
                      </w:r>
                      <w:r w:rsidRPr="00CD16D5">
                        <w:rPr>
                          <w:rFonts w:asciiTheme="minorHAnsi" w:hAnsiTheme="minorHAnsi"/>
                          <w:b/>
                          <w:bCs/>
                          <w:sz w:val="16"/>
                          <w:szCs w:val="16"/>
                          <w:lang w:val="en-GB"/>
                        </w:rPr>
                        <w:t xml:space="preserve"> </w:t>
                      </w:r>
                      <w:r w:rsidRPr="00CD16D5">
                        <w:rPr>
                          <w:rFonts w:asciiTheme="minorHAnsi" w:hAnsiTheme="minorHAnsi"/>
                          <w:sz w:val="16"/>
                          <w:szCs w:val="16"/>
                          <w:lang w:val="en-GB"/>
                        </w:rPr>
                        <w:t>bill. The lessons learned from the process are relevant for IASC organizations engaged with policy process in other capitals.</w:t>
                      </w:r>
                    </w:p>
                    <w:p w14:paraId="1EB571CC" w14:textId="77777777" w:rsidR="00F70090" w:rsidRPr="00CD16D5" w:rsidRDefault="00F70090" w:rsidP="00F70090">
                      <w:pPr>
                        <w:pStyle w:val="ListParagraph"/>
                        <w:numPr>
                          <w:ilvl w:val="0"/>
                          <w:numId w:val="8"/>
                        </w:numPr>
                        <w:contextualSpacing w:val="0"/>
                        <w:jc w:val="both"/>
                        <w:rPr>
                          <w:rFonts w:asciiTheme="minorHAnsi" w:eastAsia="Arial" w:hAnsiTheme="minorHAnsi" w:cs="Arial"/>
                          <w:sz w:val="16"/>
                          <w:szCs w:val="16"/>
                          <w:lang w:val="en-GB"/>
                        </w:rPr>
                      </w:pPr>
                      <w:r w:rsidRPr="00B329A5">
                        <w:rPr>
                          <w:rFonts w:asciiTheme="minorHAnsi" w:hAnsiTheme="minorHAnsi"/>
                          <w:b/>
                          <w:sz w:val="16"/>
                          <w:szCs w:val="16"/>
                          <w:lang w:val="en-GB"/>
                        </w:rPr>
                        <w:t>Comprehensive independent research</w:t>
                      </w:r>
                      <w:r w:rsidRPr="00CD16D5">
                        <w:rPr>
                          <w:rFonts w:asciiTheme="minorHAnsi" w:hAnsiTheme="minorHAnsi"/>
                          <w:sz w:val="16"/>
                          <w:szCs w:val="16"/>
                          <w:lang w:val="en-GB"/>
                        </w:rPr>
                        <w:t xml:space="preserve"> commissioned from the Harvard Law School COTER Humanitarian Engagement Project </w:t>
                      </w:r>
                      <w:r w:rsidRPr="00B329A5">
                        <w:rPr>
                          <w:rFonts w:asciiTheme="minorHAnsi" w:hAnsiTheme="minorHAnsi"/>
                          <w:b/>
                          <w:sz w:val="16"/>
                          <w:szCs w:val="16"/>
                          <w:lang w:val="en-GB"/>
                        </w:rPr>
                        <w:t>on the risk management and contractual clauses used by donors/UN/NGOs</w:t>
                      </w:r>
                      <w:r w:rsidRPr="00CD16D5">
                        <w:rPr>
                          <w:rFonts w:asciiTheme="minorHAnsi" w:hAnsiTheme="minorHAnsi"/>
                          <w:sz w:val="16"/>
                          <w:szCs w:val="16"/>
                          <w:lang w:val="en-GB"/>
                        </w:rPr>
                        <w:t>. Studies provide</w:t>
                      </w:r>
                      <w:r w:rsidR="00B329A5">
                        <w:rPr>
                          <w:rFonts w:asciiTheme="minorHAnsi" w:hAnsiTheme="minorHAnsi"/>
                          <w:sz w:val="16"/>
                          <w:szCs w:val="16"/>
                          <w:lang w:val="en-GB"/>
                        </w:rPr>
                        <w:t>d</w:t>
                      </w:r>
                      <w:r w:rsidRPr="00CD16D5">
                        <w:rPr>
                          <w:rFonts w:asciiTheme="minorHAnsi" w:hAnsiTheme="minorHAnsi"/>
                          <w:sz w:val="16"/>
                          <w:szCs w:val="16"/>
                          <w:lang w:val="en-GB"/>
                        </w:rPr>
                        <w:t xml:space="preserve"> the basis for development of the COTER toolkit. </w:t>
                      </w:r>
                    </w:p>
                    <w:p w14:paraId="1EB571CD" w14:textId="77777777" w:rsidR="00F70090" w:rsidRPr="00CD16D5" w:rsidRDefault="00F70090" w:rsidP="00F70090">
                      <w:pPr>
                        <w:pStyle w:val="ListParagraph"/>
                        <w:ind w:left="360"/>
                        <w:contextualSpacing w:val="0"/>
                        <w:jc w:val="both"/>
                        <w:rPr>
                          <w:rFonts w:asciiTheme="minorHAnsi" w:hAnsiTheme="minorHAnsi"/>
                          <w:bCs/>
                          <w:iCs/>
                          <w:sz w:val="16"/>
                          <w:szCs w:val="16"/>
                          <w:lang w:val="en-GB"/>
                        </w:rPr>
                      </w:pPr>
                    </w:p>
                    <w:p w14:paraId="1EB571CE" w14:textId="77777777" w:rsidR="00D10265" w:rsidRPr="00CD16D5" w:rsidRDefault="00D10265" w:rsidP="00B74BB9">
                      <w:pPr>
                        <w:pStyle w:val="ListParagraph"/>
                        <w:ind w:left="360"/>
                        <w:rPr>
                          <w:rFonts w:asciiTheme="minorHAnsi" w:eastAsia="Arial" w:hAnsiTheme="minorHAnsi" w:cs="Arial"/>
                          <w:sz w:val="16"/>
                          <w:szCs w:val="16"/>
                          <w:lang w:val="en-GB"/>
                        </w:rPr>
                      </w:pPr>
                    </w:p>
                  </w:txbxContent>
                </v:textbox>
              </v:shape>
            </w:pict>
          </mc:Fallback>
        </mc:AlternateContent>
      </w:r>
      <w:r w:rsidR="007753B2" w:rsidRPr="00CD16D5">
        <w:rPr>
          <w:noProof/>
          <w:lang w:val="en-US" w:eastAsia="zh-CN"/>
        </w:rPr>
        <mc:AlternateContent>
          <mc:Choice Requires="wps">
            <w:drawing>
              <wp:anchor distT="0" distB="0" distL="114300" distR="114300" simplePos="0" relativeHeight="251675648" behindDoc="0" locked="0" layoutInCell="1" allowOverlap="1" wp14:anchorId="1EB571A7" wp14:editId="1EB571A8">
                <wp:simplePos x="0" y="0"/>
                <wp:positionH relativeFrom="column">
                  <wp:posOffset>3207385</wp:posOffset>
                </wp:positionH>
                <wp:positionV relativeFrom="paragraph">
                  <wp:posOffset>66040</wp:posOffset>
                </wp:positionV>
                <wp:extent cx="3653155" cy="15722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572260"/>
                        </a:xfrm>
                        <a:prstGeom prst="rect">
                          <a:avLst/>
                        </a:prstGeom>
                        <a:noFill/>
                        <a:ln w="9525">
                          <a:noFill/>
                          <a:miter lim="800000"/>
                          <a:headEnd/>
                          <a:tailEnd/>
                        </a:ln>
                      </wps:spPr>
                      <wps:txbx>
                        <w:txbxContent>
                          <w:p w14:paraId="1EB571CF" w14:textId="77777777" w:rsidR="00D10265" w:rsidRPr="00CD16D5" w:rsidRDefault="00D10265" w:rsidP="005E242B">
                            <w:pPr>
                              <w:pStyle w:val="ListParagraph"/>
                              <w:numPr>
                                <w:ilvl w:val="0"/>
                                <w:numId w:val="7"/>
                              </w:numPr>
                              <w:contextualSpacing w:val="0"/>
                              <w:jc w:val="both"/>
                              <w:rPr>
                                <w:rFonts w:asciiTheme="minorHAnsi" w:hAnsiTheme="minorHAnsi"/>
                                <w:sz w:val="16"/>
                                <w:szCs w:val="16"/>
                                <w:shd w:val="clear" w:color="auto" w:fill="FFFFFF"/>
                                <w:lang w:val="en-GB"/>
                              </w:rPr>
                            </w:pPr>
                            <w:r w:rsidRPr="00CD16D5">
                              <w:rPr>
                                <w:rFonts w:asciiTheme="minorHAnsi" w:hAnsiTheme="minorHAnsi"/>
                                <w:b/>
                                <w:sz w:val="16"/>
                                <w:szCs w:val="16"/>
                                <w:shd w:val="clear" w:color="auto" w:fill="FFFFFF"/>
                                <w:lang w:val="en-GB"/>
                              </w:rPr>
                              <w:t>Risk management survey</w:t>
                            </w:r>
                            <w:r w:rsidRPr="00CD16D5">
                              <w:rPr>
                                <w:rFonts w:asciiTheme="minorHAnsi" w:hAnsiTheme="minorHAnsi"/>
                                <w:sz w:val="16"/>
                                <w:szCs w:val="16"/>
                                <w:shd w:val="clear" w:color="auto" w:fill="FFFFFF"/>
                                <w:lang w:val="en-GB"/>
                              </w:rPr>
                              <w:t xml:space="preserve"> conducted to determine what </w:t>
                            </w:r>
                            <w:r w:rsidR="00863FD8" w:rsidRPr="00CD16D5">
                              <w:rPr>
                                <w:rFonts w:asciiTheme="minorHAnsi" w:hAnsiTheme="minorHAnsi"/>
                                <w:sz w:val="16"/>
                                <w:szCs w:val="16"/>
                                <w:shd w:val="clear" w:color="auto" w:fill="FFFFFF"/>
                                <w:lang w:val="en-GB"/>
                              </w:rPr>
                              <w:t>mechanisms exist</w:t>
                            </w:r>
                            <w:r w:rsidRPr="00CD16D5">
                              <w:rPr>
                                <w:rFonts w:asciiTheme="minorHAnsi" w:hAnsiTheme="minorHAnsi"/>
                                <w:sz w:val="16"/>
                                <w:szCs w:val="16"/>
                                <w:shd w:val="clear" w:color="auto" w:fill="FFFFFF"/>
                                <w:lang w:val="en-GB"/>
                              </w:rPr>
                              <w:t xml:space="preserve"> among IASC organizations for managing risks relating to specific aspects of PHA. This was done with a view to identifying areas for possible harmonization of risk management practices and joint risk management initiatives/structures across IASC organizations.</w:t>
                            </w:r>
                            <w:r w:rsidRPr="00CD16D5">
                              <w:rPr>
                                <w:rFonts w:asciiTheme="minorHAnsi" w:hAnsiTheme="minorHAnsi"/>
                                <w:i/>
                                <w:sz w:val="16"/>
                                <w:szCs w:val="16"/>
                                <w:shd w:val="clear" w:color="auto" w:fill="FFFFFF"/>
                                <w:lang w:val="en-GB"/>
                              </w:rPr>
                              <w:t xml:space="preserve"> </w:t>
                            </w:r>
                          </w:p>
                          <w:p w14:paraId="1EB571D0" w14:textId="77777777" w:rsidR="00D10265" w:rsidRPr="009E15BE" w:rsidRDefault="007753B2" w:rsidP="000F642B">
                            <w:pPr>
                              <w:pStyle w:val="ListParagraph"/>
                              <w:numPr>
                                <w:ilvl w:val="0"/>
                                <w:numId w:val="7"/>
                              </w:numPr>
                              <w:contextualSpacing w:val="0"/>
                              <w:jc w:val="both"/>
                              <w:rPr>
                                <w:rFonts w:asciiTheme="minorHAnsi" w:hAnsiTheme="minorHAnsi"/>
                                <w:sz w:val="16"/>
                                <w:szCs w:val="16"/>
                                <w:shd w:val="clear" w:color="auto" w:fill="FFFFFF"/>
                                <w:lang w:val="en-GB"/>
                              </w:rPr>
                            </w:pPr>
                            <w:r w:rsidRPr="00CD16D5">
                              <w:rPr>
                                <w:rFonts w:ascii="Calibri" w:hAnsi="Calibri"/>
                                <w:sz w:val="16"/>
                                <w:szCs w:val="16"/>
                              </w:rPr>
                              <w:t>Draft common Enterprise Risk Management principles and standards identified, with the aim of developing a model risk management framework for humanitarian organisations. These will be circulated for final approval within the IASC PHA task team for completion by the end of 2015.</w:t>
                            </w:r>
                          </w:p>
                          <w:p w14:paraId="1EB571D1" w14:textId="77777777" w:rsidR="009E15BE" w:rsidRPr="00B329A5" w:rsidRDefault="00914678" w:rsidP="009E15BE">
                            <w:pPr>
                              <w:pStyle w:val="ListParagraph"/>
                              <w:numPr>
                                <w:ilvl w:val="0"/>
                                <w:numId w:val="7"/>
                              </w:numPr>
                              <w:contextualSpacing w:val="0"/>
                              <w:rPr>
                                <w:rFonts w:asciiTheme="minorHAnsi" w:hAnsiTheme="minorHAnsi"/>
                                <w:b/>
                                <w:sz w:val="16"/>
                                <w:szCs w:val="16"/>
                                <w:lang w:val="en-GB"/>
                              </w:rPr>
                            </w:pPr>
                            <w:r w:rsidRPr="00B329A5">
                              <w:rPr>
                                <w:rFonts w:asciiTheme="minorHAnsi" w:hAnsiTheme="minorHAnsi"/>
                                <w:b/>
                                <w:sz w:val="16"/>
                                <w:szCs w:val="16"/>
                                <w:lang w:val="en-GB"/>
                              </w:rPr>
                              <w:t>C</w:t>
                            </w:r>
                            <w:r w:rsidR="009E15BE" w:rsidRPr="00B329A5">
                              <w:rPr>
                                <w:rFonts w:asciiTheme="minorHAnsi" w:hAnsiTheme="minorHAnsi"/>
                                <w:b/>
                                <w:sz w:val="16"/>
                                <w:szCs w:val="16"/>
                                <w:lang w:val="en-GB"/>
                              </w:rPr>
                              <w:t>ommon Enterprise Risk Management Framework</w:t>
                            </w:r>
                            <w:r w:rsidRPr="00B329A5">
                              <w:rPr>
                                <w:rFonts w:asciiTheme="minorHAnsi" w:hAnsiTheme="minorHAnsi"/>
                                <w:b/>
                                <w:sz w:val="16"/>
                                <w:szCs w:val="16"/>
                                <w:lang w:val="en-GB"/>
                              </w:rPr>
                              <w:t xml:space="preserve"> draft finalised</w:t>
                            </w:r>
                          </w:p>
                          <w:p w14:paraId="1EB571D2" w14:textId="77777777" w:rsidR="009E15BE" w:rsidRPr="00CD16D5" w:rsidRDefault="009E15BE" w:rsidP="00442289">
                            <w:pPr>
                              <w:pStyle w:val="ListParagraph"/>
                              <w:ind w:left="360"/>
                              <w:contextualSpacing w:val="0"/>
                              <w:jc w:val="both"/>
                              <w:rPr>
                                <w:rFonts w:asciiTheme="minorHAnsi" w:hAnsiTheme="minorHAnsi"/>
                                <w:sz w:val="16"/>
                                <w:szCs w:val="16"/>
                                <w:shd w:val="clear" w:color="auto" w:fill="FFFFFF"/>
                                <w:lang w:val="en-GB"/>
                              </w:rPr>
                            </w:pPr>
                          </w:p>
                          <w:p w14:paraId="1EB571D3" w14:textId="77777777" w:rsidR="007753B2" w:rsidRPr="00F70090" w:rsidRDefault="007753B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7" id="_x0000_s1037" type="#_x0000_t202" style="position:absolute;margin-left:252.55pt;margin-top:5.2pt;width:287.65pt;height:1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" filled="f" stroked="f">
                <v:textbox>
                  <w:txbxContent>
                    <w:p w14:paraId="1EB571CF" w14:textId="77777777" w:rsidR="00D10265" w:rsidRPr="00CD16D5" w:rsidRDefault="00D10265" w:rsidP="005E242B">
                      <w:pPr>
                        <w:pStyle w:val="ListParagraph"/>
                        <w:numPr>
                          <w:ilvl w:val="0"/>
                          <w:numId w:val="7"/>
                        </w:numPr>
                        <w:contextualSpacing w:val="0"/>
                        <w:jc w:val="both"/>
                        <w:rPr>
                          <w:rFonts w:asciiTheme="minorHAnsi" w:hAnsiTheme="minorHAnsi"/>
                          <w:sz w:val="16"/>
                          <w:szCs w:val="16"/>
                          <w:shd w:val="clear" w:color="auto" w:fill="FFFFFF"/>
                          <w:lang w:val="en-GB"/>
                        </w:rPr>
                      </w:pPr>
                      <w:r w:rsidRPr="00CD16D5">
                        <w:rPr>
                          <w:rFonts w:asciiTheme="minorHAnsi" w:hAnsiTheme="minorHAnsi"/>
                          <w:b/>
                          <w:sz w:val="16"/>
                          <w:szCs w:val="16"/>
                          <w:shd w:val="clear" w:color="auto" w:fill="FFFFFF"/>
                          <w:lang w:val="en-GB"/>
                        </w:rPr>
                        <w:t>Risk management survey</w:t>
                      </w:r>
                      <w:r w:rsidRPr="00CD16D5">
                        <w:rPr>
                          <w:rFonts w:asciiTheme="minorHAnsi" w:hAnsiTheme="minorHAnsi"/>
                          <w:sz w:val="16"/>
                          <w:szCs w:val="16"/>
                          <w:shd w:val="clear" w:color="auto" w:fill="FFFFFF"/>
                          <w:lang w:val="en-GB"/>
                        </w:rPr>
                        <w:t xml:space="preserve"> conducted to determine what </w:t>
                      </w:r>
                      <w:r w:rsidR="00863FD8" w:rsidRPr="00CD16D5">
                        <w:rPr>
                          <w:rFonts w:asciiTheme="minorHAnsi" w:hAnsiTheme="minorHAnsi"/>
                          <w:sz w:val="16"/>
                          <w:szCs w:val="16"/>
                          <w:shd w:val="clear" w:color="auto" w:fill="FFFFFF"/>
                          <w:lang w:val="en-GB"/>
                        </w:rPr>
                        <w:t>mechanisms exist</w:t>
                      </w:r>
                      <w:r w:rsidRPr="00CD16D5">
                        <w:rPr>
                          <w:rFonts w:asciiTheme="minorHAnsi" w:hAnsiTheme="minorHAnsi"/>
                          <w:sz w:val="16"/>
                          <w:szCs w:val="16"/>
                          <w:shd w:val="clear" w:color="auto" w:fill="FFFFFF"/>
                          <w:lang w:val="en-GB"/>
                        </w:rPr>
                        <w:t xml:space="preserve"> among IASC organizations for managing risks relating to specific aspects of PHA. This was done with a view to identifying areas for possible harmonization of risk management practices and joint risk management initiatives/structures across IASC organizations.</w:t>
                      </w:r>
                      <w:r w:rsidRPr="00CD16D5">
                        <w:rPr>
                          <w:rFonts w:asciiTheme="minorHAnsi" w:hAnsiTheme="minorHAnsi"/>
                          <w:i/>
                          <w:sz w:val="16"/>
                          <w:szCs w:val="16"/>
                          <w:shd w:val="clear" w:color="auto" w:fill="FFFFFF"/>
                          <w:lang w:val="en-GB"/>
                        </w:rPr>
                        <w:t xml:space="preserve"> </w:t>
                      </w:r>
                    </w:p>
                    <w:p w14:paraId="1EB571D0" w14:textId="77777777" w:rsidR="00D10265" w:rsidRPr="009E15BE" w:rsidRDefault="007753B2" w:rsidP="000F642B">
                      <w:pPr>
                        <w:pStyle w:val="ListParagraph"/>
                        <w:numPr>
                          <w:ilvl w:val="0"/>
                          <w:numId w:val="7"/>
                        </w:numPr>
                        <w:contextualSpacing w:val="0"/>
                        <w:jc w:val="both"/>
                        <w:rPr>
                          <w:rFonts w:asciiTheme="minorHAnsi" w:hAnsiTheme="minorHAnsi"/>
                          <w:sz w:val="16"/>
                          <w:szCs w:val="16"/>
                          <w:shd w:val="clear" w:color="auto" w:fill="FFFFFF"/>
                          <w:lang w:val="en-GB"/>
                        </w:rPr>
                      </w:pPr>
                      <w:r w:rsidRPr="00CD16D5">
                        <w:rPr>
                          <w:rFonts w:ascii="Calibri" w:hAnsi="Calibri"/>
                          <w:sz w:val="16"/>
                          <w:szCs w:val="16"/>
                        </w:rPr>
                        <w:t>Draft common Enterprise Risk Management principles and standards identified, with the aim of developing a model risk management framework for humanitarian organisations. These will be circulated for final approval within the IASC PHA task team for completion by the end of 2015.</w:t>
                      </w:r>
                    </w:p>
                    <w:p w14:paraId="1EB571D1" w14:textId="77777777" w:rsidR="009E15BE" w:rsidRPr="00B329A5" w:rsidRDefault="00914678" w:rsidP="009E15BE">
                      <w:pPr>
                        <w:pStyle w:val="ListParagraph"/>
                        <w:numPr>
                          <w:ilvl w:val="0"/>
                          <w:numId w:val="7"/>
                        </w:numPr>
                        <w:contextualSpacing w:val="0"/>
                        <w:rPr>
                          <w:rFonts w:asciiTheme="minorHAnsi" w:hAnsiTheme="minorHAnsi"/>
                          <w:b/>
                          <w:sz w:val="16"/>
                          <w:szCs w:val="16"/>
                          <w:lang w:val="en-GB"/>
                        </w:rPr>
                      </w:pPr>
                      <w:r w:rsidRPr="00B329A5">
                        <w:rPr>
                          <w:rFonts w:asciiTheme="minorHAnsi" w:hAnsiTheme="minorHAnsi"/>
                          <w:b/>
                          <w:sz w:val="16"/>
                          <w:szCs w:val="16"/>
                          <w:lang w:val="en-GB"/>
                        </w:rPr>
                        <w:t>C</w:t>
                      </w:r>
                      <w:r w:rsidR="009E15BE" w:rsidRPr="00B329A5">
                        <w:rPr>
                          <w:rFonts w:asciiTheme="minorHAnsi" w:hAnsiTheme="minorHAnsi"/>
                          <w:b/>
                          <w:sz w:val="16"/>
                          <w:szCs w:val="16"/>
                          <w:lang w:val="en-GB"/>
                        </w:rPr>
                        <w:t>ommon Enterprise Risk Management Framework</w:t>
                      </w:r>
                      <w:r w:rsidRPr="00B329A5">
                        <w:rPr>
                          <w:rFonts w:asciiTheme="minorHAnsi" w:hAnsiTheme="minorHAnsi"/>
                          <w:b/>
                          <w:sz w:val="16"/>
                          <w:szCs w:val="16"/>
                          <w:lang w:val="en-GB"/>
                        </w:rPr>
                        <w:t xml:space="preserve"> draft finalised</w:t>
                      </w:r>
                    </w:p>
                    <w:p w14:paraId="1EB571D2" w14:textId="77777777" w:rsidR="009E15BE" w:rsidRPr="00CD16D5" w:rsidRDefault="009E15BE" w:rsidP="00442289">
                      <w:pPr>
                        <w:pStyle w:val="ListParagraph"/>
                        <w:ind w:left="360"/>
                        <w:contextualSpacing w:val="0"/>
                        <w:jc w:val="both"/>
                        <w:rPr>
                          <w:rFonts w:asciiTheme="minorHAnsi" w:hAnsiTheme="minorHAnsi"/>
                          <w:sz w:val="16"/>
                          <w:szCs w:val="16"/>
                          <w:shd w:val="clear" w:color="auto" w:fill="FFFFFF"/>
                          <w:lang w:val="en-GB"/>
                        </w:rPr>
                      </w:pPr>
                    </w:p>
                    <w:p w14:paraId="1EB571D3" w14:textId="77777777" w:rsidR="007753B2" w:rsidRPr="00F70090" w:rsidRDefault="007753B2">
                      <w:pPr>
                        <w:rPr>
                          <w:sz w:val="16"/>
                          <w:szCs w:val="16"/>
                        </w:rPr>
                      </w:pPr>
                    </w:p>
                  </w:txbxContent>
                </v:textbox>
              </v:shape>
            </w:pict>
          </mc:Fallback>
        </mc:AlternateContent>
      </w:r>
    </w:p>
    <w:p w14:paraId="1EB5718C" w14:textId="77777777" w:rsidR="007F3DE0" w:rsidRPr="00CD16D5" w:rsidRDefault="007F3DE0" w:rsidP="00292474">
      <w:pPr>
        <w:rPr>
          <w:rFonts w:ascii="Arial" w:hAnsi="Arial" w:cs="Arial"/>
          <w:bCs/>
          <w:color w:val="000000"/>
          <w:sz w:val="20"/>
          <w:szCs w:val="20"/>
          <w:lang w:val="en-US"/>
        </w:rPr>
      </w:pPr>
    </w:p>
    <w:p w14:paraId="1EB5718D" w14:textId="77777777" w:rsidR="007F3DE0" w:rsidRPr="00CD16D5" w:rsidRDefault="007F3DE0" w:rsidP="00292474">
      <w:pPr>
        <w:rPr>
          <w:rFonts w:ascii="Arial" w:hAnsi="Arial" w:cs="Arial"/>
          <w:bCs/>
          <w:color w:val="000000"/>
          <w:sz w:val="20"/>
          <w:szCs w:val="20"/>
          <w:lang w:val="en-US"/>
        </w:rPr>
      </w:pPr>
    </w:p>
    <w:p w14:paraId="1EB5718E" w14:textId="77777777" w:rsidR="007F3DE0" w:rsidRPr="00CD16D5" w:rsidRDefault="007F3DE0" w:rsidP="00292474">
      <w:pPr>
        <w:rPr>
          <w:rFonts w:ascii="Arial" w:hAnsi="Arial" w:cs="Arial"/>
          <w:bCs/>
          <w:color w:val="000000"/>
          <w:sz w:val="20"/>
          <w:szCs w:val="20"/>
          <w:lang w:val="en-US"/>
        </w:rPr>
      </w:pPr>
    </w:p>
    <w:p w14:paraId="1EB5718F" w14:textId="77777777" w:rsidR="0067141F" w:rsidRPr="00CD16D5" w:rsidRDefault="0067141F" w:rsidP="00292474">
      <w:pPr>
        <w:rPr>
          <w:rFonts w:ascii="Arial" w:hAnsi="Arial" w:cs="Arial"/>
          <w:sz w:val="20"/>
          <w:szCs w:val="20"/>
          <w:lang w:val="en-US"/>
        </w:rPr>
      </w:pPr>
    </w:p>
    <w:p w14:paraId="1EB57190" w14:textId="77777777" w:rsidR="007F3DE0" w:rsidRPr="007F3DE0" w:rsidRDefault="00442289" w:rsidP="00292474">
      <w:pPr>
        <w:rPr>
          <w:rFonts w:ascii="Arial" w:hAnsi="Arial" w:cs="Arial"/>
          <w:sz w:val="20"/>
          <w:szCs w:val="20"/>
          <w:lang w:val="en-US"/>
        </w:rPr>
      </w:pPr>
      <w:r w:rsidRPr="00CD16D5">
        <w:rPr>
          <w:rFonts w:ascii="Arial" w:hAnsi="Arial" w:cs="Arial"/>
          <w:noProof/>
          <w:sz w:val="20"/>
          <w:szCs w:val="20"/>
          <w:lang w:val="en-US" w:eastAsia="zh-CN"/>
        </w:rPr>
        <mc:AlternateContent>
          <mc:Choice Requires="wps">
            <w:drawing>
              <wp:anchor distT="0" distB="0" distL="114300" distR="114300" simplePos="0" relativeHeight="251687936" behindDoc="0" locked="0" layoutInCell="1" allowOverlap="1" wp14:anchorId="1EB571A9" wp14:editId="1EB571AA">
                <wp:simplePos x="0" y="0"/>
                <wp:positionH relativeFrom="column">
                  <wp:posOffset>-307975</wp:posOffset>
                </wp:positionH>
                <wp:positionV relativeFrom="paragraph">
                  <wp:posOffset>3088945</wp:posOffset>
                </wp:positionV>
                <wp:extent cx="7237095" cy="488950"/>
                <wp:effectExtent l="0" t="0" r="2095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8950"/>
                        </a:xfrm>
                        <a:prstGeom prst="rect">
                          <a:avLst/>
                        </a:prstGeom>
                        <a:pattFill prst="pct25">
                          <a:fgClr>
                            <a:schemeClr val="accent1">
                              <a:lumMod val="60000"/>
                              <a:lumOff val="40000"/>
                            </a:schemeClr>
                          </a:fgClr>
                          <a:bgClr>
                            <a:schemeClr val="bg1"/>
                          </a:bgClr>
                        </a:pattFill>
                        <a:ln w="9525">
                          <a:solidFill>
                            <a:schemeClr val="accent5">
                              <a:lumMod val="60000"/>
                              <a:lumOff val="40000"/>
                            </a:schemeClr>
                          </a:solidFill>
                          <a:miter lim="800000"/>
                          <a:headEnd/>
                          <a:tailEnd/>
                        </a:ln>
                      </wps:spPr>
                      <wps:txbx>
                        <w:txbxContent>
                          <w:p w14:paraId="1EB571D4" w14:textId="77777777" w:rsidR="00BD740A" w:rsidRDefault="00BD740A" w:rsidP="00BD740A">
                            <w:pPr>
                              <w:pStyle w:val="NoSpacing"/>
                              <w:jc w:val="right"/>
                              <w:rPr>
                                <w:b/>
                                <w:sz w:val="16"/>
                                <w:szCs w:val="16"/>
                              </w:rPr>
                            </w:pPr>
                          </w:p>
                          <w:p w14:paraId="1EB571D5" w14:textId="0B56FCF9" w:rsidR="00D10265" w:rsidRPr="00B84285" w:rsidRDefault="00D10265" w:rsidP="00BD740A">
                            <w:pPr>
                              <w:pStyle w:val="NoSpacing"/>
                              <w:jc w:val="right"/>
                              <w:rPr>
                                <w:sz w:val="16"/>
                                <w:szCs w:val="16"/>
                                <w:u w:color="000000"/>
                              </w:rPr>
                            </w:pPr>
                            <w:r w:rsidRPr="00025110">
                              <w:rPr>
                                <w:b/>
                                <w:sz w:val="16"/>
                                <w:szCs w:val="16"/>
                              </w:rPr>
                              <w:t>Co-Chairs</w:t>
                            </w:r>
                            <w:r w:rsidR="00BD163A">
                              <w:rPr>
                                <w:b/>
                                <w:sz w:val="16"/>
                                <w:szCs w:val="16"/>
                              </w:rPr>
                              <w:t>: Brooke Lauten, NRC</w:t>
                            </w:r>
                            <w:r w:rsidR="00364D6F" w:rsidRPr="00025110">
                              <w:rPr>
                                <w:sz w:val="16"/>
                                <w:szCs w:val="16"/>
                                <w:u w:color="000000"/>
                              </w:rPr>
                              <w:t xml:space="preserve"> </w:t>
                            </w:r>
                            <w:r w:rsidRPr="00025110">
                              <w:rPr>
                                <w:sz w:val="16"/>
                                <w:szCs w:val="16"/>
                                <w:u w:color="000000"/>
                              </w:rPr>
                              <w:t>and</w:t>
                            </w:r>
                            <w:r w:rsidRPr="00B84285">
                              <w:rPr>
                                <w:sz w:val="16"/>
                                <w:szCs w:val="16"/>
                                <w:u w:color="000000"/>
                              </w:rPr>
                              <w:t xml:space="preserve"> Aurelien </w:t>
                            </w:r>
                            <w:r w:rsidR="00364D6F" w:rsidRPr="00B84285">
                              <w:rPr>
                                <w:sz w:val="16"/>
                                <w:szCs w:val="16"/>
                                <w:u w:color="000000"/>
                              </w:rPr>
                              <w:t>Buffler, OCHA</w:t>
                            </w:r>
                          </w:p>
                          <w:p w14:paraId="1EB571D6" w14:textId="356E0B00" w:rsidR="00D10265" w:rsidRPr="00B84285" w:rsidRDefault="00D10265" w:rsidP="004F12F1">
                            <w:pPr>
                              <w:pStyle w:val="TableStyle2"/>
                              <w:spacing w:after="240"/>
                              <w:jc w:val="right"/>
                              <w:rPr>
                                <w:rFonts w:asciiTheme="minorHAnsi" w:hAnsiTheme="minorHAnsi"/>
                                <w:color w:val="auto"/>
                                <w:sz w:val="16"/>
                                <w:szCs w:val="16"/>
                                <w:lang w:val="en-GB"/>
                              </w:rPr>
                            </w:pPr>
                            <w:r w:rsidRPr="00B84285">
                              <w:rPr>
                                <w:rFonts w:asciiTheme="minorHAnsi" w:hAnsiTheme="minorHAnsi"/>
                                <w:b/>
                                <w:color w:val="auto"/>
                                <w:sz w:val="16"/>
                                <w:szCs w:val="16"/>
                              </w:rPr>
                              <w:t>Support</w:t>
                            </w:r>
                            <w:r w:rsidRPr="00B84285">
                              <w:rPr>
                                <w:rFonts w:asciiTheme="minorHAnsi" w:hAnsiTheme="minorHAnsi"/>
                                <w:color w:val="auto"/>
                                <w:sz w:val="16"/>
                                <w:szCs w:val="16"/>
                              </w:rPr>
                              <w:t xml:space="preserve">: </w:t>
                            </w:r>
                            <w:r w:rsidRPr="00B84285">
                              <w:rPr>
                                <w:rFonts w:asciiTheme="minorHAnsi" w:eastAsia="Calibri" w:hAnsiTheme="minorHAnsi" w:cs="Calibri"/>
                                <w:color w:val="auto"/>
                                <w:sz w:val="16"/>
                                <w:szCs w:val="16"/>
                                <w:u w:color="000000"/>
                                <w:lang w:val="en-GB"/>
                              </w:rPr>
                              <w:t>Dina Abou Samra, OCHA</w:t>
                            </w:r>
                          </w:p>
                          <w:p w14:paraId="1EB571D7" w14:textId="77777777" w:rsidR="00D10265" w:rsidRPr="004F12F1" w:rsidRDefault="00D10265" w:rsidP="004F12F1">
                            <w:pPr>
                              <w:pStyle w:val="NoSpacing"/>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9" id="_x0000_s1038" type="#_x0000_t202" style="position:absolute;margin-left:-24.25pt;margin-top:243.2pt;width:569.85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" fillcolor="#95b3d7 [1940]" strokecolor="#92cddc [1944]">
                <v:fill r:id="rId16" o:title="" color2="white [3212]" type="pattern"/>
                <v:textbox>
                  <w:txbxContent>
                    <w:p w14:paraId="1EB571D4" w14:textId="77777777" w:rsidR="00BD740A" w:rsidRDefault="00BD740A" w:rsidP="00BD740A">
                      <w:pPr>
                        <w:pStyle w:val="NoSpacing"/>
                        <w:jc w:val="right"/>
                        <w:rPr>
                          <w:b/>
                          <w:sz w:val="16"/>
                          <w:szCs w:val="16"/>
                        </w:rPr>
                      </w:pPr>
                    </w:p>
                    <w:p w14:paraId="1EB571D5" w14:textId="0B56FCF9" w:rsidR="00D10265" w:rsidRPr="00B84285" w:rsidRDefault="00D10265" w:rsidP="00BD740A">
                      <w:pPr>
                        <w:pStyle w:val="NoSpacing"/>
                        <w:jc w:val="right"/>
                        <w:rPr>
                          <w:sz w:val="16"/>
                          <w:szCs w:val="16"/>
                          <w:u w:color="000000"/>
                        </w:rPr>
                      </w:pPr>
                      <w:r w:rsidRPr="00025110">
                        <w:rPr>
                          <w:b/>
                          <w:sz w:val="16"/>
                          <w:szCs w:val="16"/>
                        </w:rPr>
                        <w:t>Co-Chairs</w:t>
                      </w:r>
                      <w:r w:rsidR="00BD163A">
                        <w:rPr>
                          <w:b/>
                          <w:sz w:val="16"/>
                          <w:szCs w:val="16"/>
                        </w:rPr>
                        <w:t>: Brooke Lauten, NRC</w:t>
                      </w:r>
                      <w:r w:rsidR="00364D6F" w:rsidRPr="00025110">
                        <w:rPr>
                          <w:sz w:val="16"/>
                          <w:szCs w:val="16"/>
                          <w:u w:color="000000"/>
                        </w:rPr>
                        <w:t xml:space="preserve"> </w:t>
                      </w:r>
                      <w:r w:rsidRPr="00025110">
                        <w:rPr>
                          <w:sz w:val="16"/>
                          <w:szCs w:val="16"/>
                          <w:u w:color="000000"/>
                        </w:rPr>
                        <w:t>and</w:t>
                      </w:r>
                      <w:r w:rsidRPr="00B84285">
                        <w:rPr>
                          <w:sz w:val="16"/>
                          <w:szCs w:val="16"/>
                          <w:u w:color="000000"/>
                        </w:rPr>
                        <w:t xml:space="preserve"> Aurelien </w:t>
                      </w:r>
                      <w:r w:rsidR="00364D6F" w:rsidRPr="00B84285">
                        <w:rPr>
                          <w:sz w:val="16"/>
                          <w:szCs w:val="16"/>
                          <w:u w:color="000000"/>
                        </w:rPr>
                        <w:t>Buffler, OCHA</w:t>
                      </w:r>
                    </w:p>
                    <w:p w14:paraId="1EB571D6" w14:textId="356E0B00" w:rsidR="00D10265" w:rsidRPr="00B84285" w:rsidRDefault="00D10265" w:rsidP="004F12F1">
                      <w:pPr>
                        <w:pStyle w:val="TableStyle2"/>
                        <w:spacing w:after="240"/>
                        <w:jc w:val="right"/>
                        <w:rPr>
                          <w:rFonts w:asciiTheme="minorHAnsi" w:hAnsiTheme="minorHAnsi"/>
                          <w:color w:val="auto"/>
                          <w:sz w:val="16"/>
                          <w:szCs w:val="16"/>
                          <w:lang w:val="en-GB"/>
                        </w:rPr>
                      </w:pPr>
                      <w:r w:rsidRPr="00B84285">
                        <w:rPr>
                          <w:rFonts w:asciiTheme="minorHAnsi" w:hAnsiTheme="minorHAnsi"/>
                          <w:b/>
                          <w:color w:val="auto"/>
                          <w:sz w:val="16"/>
                          <w:szCs w:val="16"/>
                        </w:rPr>
                        <w:t>Support</w:t>
                      </w:r>
                      <w:r w:rsidRPr="00B84285">
                        <w:rPr>
                          <w:rFonts w:asciiTheme="minorHAnsi" w:hAnsiTheme="minorHAnsi"/>
                          <w:color w:val="auto"/>
                          <w:sz w:val="16"/>
                          <w:szCs w:val="16"/>
                        </w:rPr>
                        <w:t xml:space="preserve">: </w:t>
                      </w:r>
                      <w:r w:rsidRPr="00B84285">
                        <w:rPr>
                          <w:rFonts w:asciiTheme="minorHAnsi" w:eastAsia="Calibri" w:hAnsiTheme="minorHAnsi" w:cs="Calibri"/>
                          <w:color w:val="auto"/>
                          <w:sz w:val="16"/>
                          <w:szCs w:val="16"/>
                          <w:u w:color="000000"/>
                          <w:lang w:val="en-GB"/>
                        </w:rPr>
                        <w:t>Dina Abou Samra, OCHA</w:t>
                      </w:r>
                    </w:p>
                    <w:p w14:paraId="1EB571D7" w14:textId="77777777" w:rsidR="00D10265" w:rsidRPr="004F12F1" w:rsidRDefault="00D10265" w:rsidP="004F12F1">
                      <w:pPr>
                        <w:pStyle w:val="NoSpacing"/>
                        <w:jc w:val="right"/>
                        <w:rPr>
                          <w:sz w:val="16"/>
                          <w:szCs w:val="16"/>
                        </w:rPr>
                      </w:pPr>
                    </w:p>
                  </w:txbxContent>
                </v:textbox>
              </v:shape>
            </w:pict>
          </mc:Fallback>
        </mc:AlternateContent>
      </w:r>
      <w:r w:rsidR="009E15BE" w:rsidRPr="00CD16D5">
        <w:rPr>
          <w:rFonts w:ascii="Times New Roman" w:eastAsia="Arial Unicode MS" w:hAnsi="Times New Roman" w:cs="Times New Roman"/>
          <w:noProof/>
          <w:sz w:val="24"/>
          <w:szCs w:val="24"/>
          <w:bdr w:val="nil"/>
          <w:lang w:val="en-US" w:eastAsia="zh-CN"/>
        </w:rPr>
        <mc:AlternateContent>
          <mc:Choice Requires="wps">
            <w:drawing>
              <wp:anchor distT="0" distB="0" distL="114300" distR="114300" simplePos="0" relativeHeight="251706368" behindDoc="1" locked="0" layoutInCell="1" allowOverlap="1" wp14:anchorId="1EB571AB" wp14:editId="1EB571AC">
                <wp:simplePos x="0" y="0"/>
                <wp:positionH relativeFrom="column">
                  <wp:posOffset>-321310</wp:posOffset>
                </wp:positionH>
                <wp:positionV relativeFrom="paragraph">
                  <wp:posOffset>1092200</wp:posOffset>
                </wp:positionV>
                <wp:extent cx="5022215" cy="1855470"/>
                <wp:effectExtent l="0" t="0" r="6985" b="0"/>
                <wp:wrapThrough wrapText="bothSides">
                  <wp:wrapPolygon edited="0">
                    <wp:start x="0" y="0"/>
                    <wp:lineTo x="0" y="21290"/>
                    <wp:lineTo x="21548" y="21290"/>
                    <wp:lineTo x="21548"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855470"/>
                        </a:xfrm>
                        <a:prstGeom prst="rect">
                          <a:avLst/>
                        </a:prstGeom>
                        <a:solidFill>
                          <a:srgbClr val="FFFFFF"/>
                        </a:solidFill>
                        <a:ln w="9525">
                          <a:noFill/>
                          <a:miter lim="800000"/>
                          <a:headEnd/>
                          <a:tailEnd/>
                        </a:ln>
                      </wps:spPr>
                      <wps:txbx>
                        <w:txbxContent>
                          <w:p w14:paraId="1EB571D8" w14:textId="77777777" w:rsidR="00F70090" w:rsidRPr="00F70090" w:rsidRDefault="00F70090" w:rsidP="00F70090">
                            <w:pPr>
                              <w:pStyle w:val="ListParagraph"/>
                              <w:numPr>
                                <w:ilvl w:val="0"/>
                                <w:numId w:val="8"/>
                              </w:numPr>
                              <w:contextualSpacing w:val="0"/>
                              <w:jc w:val="both"/>
                              <w:rPr>
                                <w:rFonts w:asciiTheme="minorHAnsi" w:eastAsia="Arial" w:hAnsiTheme="minorHAnsi" w:cs="Arial"/>
                                <w:sz w:val="16"/>
                                <w:szCs w:val="16"/>
                                <w:lang w:val="en-GB"/>
                              </w:rPr>
                            </w:pPr>
                            <w:r w:rsidRPr="00F70090">
                              <w:rPr>
                                <w:rFonts w:asciiTheme="minorHAnsi" w:hAnsiTheme="minorHAnsi"/>
                                <w:b/>
                                <w:bCs/>
                                <w:iCs/>
                                <w:sz w:val="16"/>
                                <w:szCs w:val="16"/>
                                <w:lang w:val="en-GB"/>
                              </w:rPr>
                              <w:t>CT info note</w:t>
                            </w:r>
                            <w:r w:rsidRPr="00F70090">
                              <w:rPr>
                                <w:rFonts w:asciiTheme="minorHAnsi" w:hAnsiTheme="minorHAnsi"/>
                                <w:bCs/>
                                <w:iCs/>
                                <w:sz w:val="16"/>
                                <w:szCs w:val="16"/>
                                <w:lang w:val="en-GB"/>
                              </w:rPr>
                              <w:t xml:space="preserve"> developed and distributed to IASC organizations updating on work stream and main developments</w:t>
                            </w:r>
                            <w:r w:rsidRPr="00F70090">
                              <w:rPr>
                                <w:rFonts w:asciiTheme="minorHAnsi" w:hAnsiTheme="minorHAnsi"/>
                                <w:i/>
                                <w:iCs/>
                                <w:sz w:val="16"/>
                                <w:szCs w:val="16"/>
                                <w:lang w:val="en-GB"/>
                              </w:rPr>
                              <w:t xml:space="preserve"> </w:t>
                            </w:r>
                            <w:r w:rsidRPr="00F70090">
                              <w:rPr>
                                <w:rFonts w:asciiTheme="minorHAnsi" w:hAnsiTheme="minorHAnsi"/>
                                <w:sz w:val="16"/>
                                <w:szCs w:val="16"/>
                                <w:lang w:val="en-GB"/>
                              </w:rPr>
                              <w:t xml:space="preserve">to inform the field/HQ colleagues on COTER impacts, resources and TT activities. </w:t>
                            </w:r>
                          </w:p>
                          <w:p w14:paraId="1EB571D9" w14:textId="77777777" w:rsidR="00F70090" w:rsidRPr="00517A56" w:rsidRDefault="00F70090" w:rsidP="00F70090">
                            <w:pPr>
                              <w:pStyle w:val="ListParagraph"/>
                              <w:numPr>
                                <w:ilvl w:val="0"/>
                                <w:numId w:val="8"/>
                              </w:numPr>
                              <w:jc w:val="both"/>
                              <w:rPr>
                                <w:rFonts w:asciiTheme="minorHAnsi" w:eastAsiaTheme="minorHAnsi" w:hAnsiTheme="minorHAnsi" w:cstheme="minorBidi"/>
                                <w:sz w:val="16"/>
                                <w:szCs w:val="16"/>
                                <w:bdr w:val="none" w:sz="0" w:space="0" w:color="auto"/>
                                <w:lang w:val="en-GB"/>
                              </w:rPr>
                            </w:pPr>
                            <w:r w:rsidRPr="00F70090">
                              <w:rPr>
                                <w:rFonts w:asciiTheme="minorHAnsi" w:hAnsiTheme="minorHAnsi"/>
                                <w:b/>
                                <w:sz w:val="16"/>
                                <w:szCs w:val="16"/>
                                <w:lang w:val="en-GB"/>
                              </w:rPr>
                              <w:t xml:space="preserve">Development of a CT risk management and due diligence </w:t>
                            </w:r>
                            <w:r w:rsidRPr="00F70090">
                              <w:rPr>
                                <w:rFonts w:asciiTheme="minorHAnsi" w:hAnsiTheme="minorHAnsi"/>
                                <w:sz w:val="16"/>
                                <w:szCs w:val="16"/>
                                <w:lang w:val="en-GB"/>
                              </w:rPr>
                              <w:t xml:space="preserve">toolkit, to facilitate principled humanitarian action, and respond to high levels of demand for guidance from operational actors that can be </w:t>
                            </w:r>
                            <w:r w:rsidRPr="00517A56">
                              <w:rPr>
                                <w:rFonts w:asciiTheme="minorHAnsi" w:hAnsiTheme="minorHAnsi"/>
                                <w:sz w:val="16"/>
                                <w:szCs w:val="16"/>
                                <w:lang w:val="en-GB"/>
                              </w:rPr>
                              <w:t xml:space="preserve">used at field and HQ levels, as well as with donors concerning dialogue on risk management and due diligence. </w:t>
                            </w:r>
                          </w:p>
                          <w:p w14:paraId="1EB571DA" w14:textId="77777777" w:rsidR="009E15BE" w:rsidRPr="00517A56" w:rsidRDefault="009E15BE" w:rsidP="009E15BE">
                            <w:pPr>
                              <w:pStyle w:val="ListParagraph"/>
                              <w:numPr>
                                <w:ilvl w:val="0"/>
                                <w:numId w:val="8"/>
                              </w:numPr>
                              <w:contextualSpacing w:val="0"/>
                              <w:rPr>
                                <w:rFonts w:asciiTheme="minorHAnsi" w:hAnsiTheme="minorHAnsi"/>
                                <w:sz w:val="16"/>
                                <w:szCs w:val="16"/>
                                <w:lang w:val="en-GB"/>
                              </w:rPr>
                            </w:pPr>
                            <w:r w:rsidRPr="00517A56">
                              <w:rPr>
                                <w:rFonts w:asciiTheme="minorHAnsi" w:hAnsiTheme="minorHAnsi"/>
                                <w:b/>
                                <w:sz w:val="16"/>
                                <w:szCs w:val="16"/>
                                <w:lang w:val="en-GB"/>
                              </w:rPr>
                              <w:t>COTER toolkit on risk management</w:t>
                            </w:r>
                            <w:r w:rsidR="00914678">
                              <w:rPr>
                                <w:rFonts w:asciiTheme="minorHAnsi" w:hAnsiTheme="minorHAnsi"/>
                                <w:b/>
                                <w:sz w:val="16"/>
                                <w:szCs w:val="16"/>
                                <w:lang w:val="en-GB"/>
                              </w:rPr>
                              <w:t xml:space="preserve"> finalised</w:t>
                            </w:r>
                            <w:r w:rsidRPr="00517A56">
                              <w:rPr>
                                <w:rFonts w:asciiTheme="minorHAnsi" w:hAnsiTheme="minorHAnsi"/>
                                <w:sz w:val="16"/>
                                <w:szCs w:val="16"/>
                                <w:lang w:val="en-GB"/>
                              </w:rPr>
                              <w:t xml:space="preserve"> </w:t>
                            </w:r>
                            <w:r w:rsidR="00A005EF" w:rsidRPr="00517A56">
                              <w:rPr>
                                <w:rFonts w:asciiTheme="minorHAnsi" w:hAnsiTheme="minorHAnsi"/>
                                <w:sz w:val="16"/>
                                <w:szCs w:val="16"/>
                                <w:lang w:val="en-GB"/>
                              </w:rPr>
                              <w:t>–</w:t>
                            </w:r>
                            <w:r w:rsidRPr="00517A56">
                              <w:rPr>
                                <w:rFonts w:asciiTheme="minorHAnsi" w:hAnsiTheme="minorHAnsi"/>
                                <w:sz w:val="16"/>
                                <w:szCs w:val="16"/>
                                <w:lang w:val="en-GB"/>
                              </w:rPr>
                              <w:t xml:space="preserve"> </w:t>
                            </w:r>
                            <w:r w:rsidR="00A005EF" w:rsidRPr="00517A56">
                              <w:rPr>
                                <w:rFonts w:asciiTheme="minorHAnsi" w:hAnsiTheme="minorHAnsi"/>
                                <w:sz w:val="16"/>
                                <w:szCs w:val="16"/>
                                <w:lang w:val="en-GB"/>
                              </w:rPr>
                              <w:t xml:space="preserve">NRC published the Risk Management Toolkit in Relation to Counterterrorism </w:t>
                            </w:r>
                            <w:r w:rsidR="00914678" w:rsidRPr="00517A56">
                              <w:rPr>
                                <w:rFonts w:asciiTheme="minorHAnsi" w:hAnsiTheme="minorHAnsi"/>
                                <w:sz w:val="16"/>
                                <w:szCs w:val="16"/>
                                <w:lang w:val="en-GB"/>
                              </w:rPr>
                              <w:t>Measures</w:t>
                            </w:r>
                            <w:r w:rsidR="00A005EF" w:rsidRPr="00517A56">
                              <w:rPr>
                                <w:rFonts w:asciiTheme="minorHAnsi" w:hAnsiTheme="minorHAnsi"/>
                                <w:sz w:val="16"/>
                                <w:szCs w:val="16"/>
                                <w:lang w:val="en-GB"/>
                              </w:rPr>
                              <w:t xml:space="preserve"> in </w:t>
                            </w:r>
                            <w:r w:rsidR="00361405">
                              <w:rPr>
                                <w:rFonts w:asciiTheme="minorHAnsi" w:hAnsiTheme="minorHAnsi"/>
                                <w:sz w:val="16"/>
                                <w:szCs w:val="16"/>
                                <w:lang w:val="en-GB"/>
                              </w:rPr>
                              <w:t>December 2015</w:t>
                            </w:r>
                            <w:r w:rsidR="00A005EF" w:rsidRPr="00517A56">
                              <w:rPr>
                                <w:rFonts w:asciiTheme="minorHAnsi" w:hAnsiTheme="minorHAnsi"/>
                                <w:sz w:val="16"/>
                                <w:szCs w:val="16"/>
                                <w:lang w:val="en-GB"/>
                              </w:rPr>
                              <w:t>.</w:t>
                            </w:r>
                            <w:r w:rsidRPr="00517A56">
                              <w:rPr>
                                <w:rFonts w:asciiTheme="minorHAnsi" w:hAnsiTheme="minorHAnsi"/>
                                <w:sz w:val="16"/>
                                <w:szCs w:val="16"/>
                                <w:lang w:val="en-GB"/>
                              </w:rPr>
                              <w:t xml:space="preserve"> The toolkit is part of the P</w:t>
                            </w:r>
                            <w:r w:rsidR="004D0198">
                              <w:rPr>
                                <w:rFonts w:asciiTheme="minorHAnsi" w:hAnsiTheme="minorHAnsi"/>
                                <w:sz w:val="16"/>
                                <w:szCs w:val="16"/>
                                <w:lang w:val="en-GB"/>
                              </w:rPr>
                              <w:t>HA Task Team 2015 Workplan and wa</w:t>
                            </w:r>
                            <w:r w:rsidRPr="00517A56">
                              <w:rPr>
                                <w:rFonts w:asciiTheme="minorHAnsi" w:hAnsiTheme="minorHAnsi"/>
                                <w:sz w:val="16"/>
                                <w:szCs w:val="16"/>
                                <w:lang w:val="en-GB"/>
                              </w:rPr>
                              <w:t>s suppo</w:t>
                            </w:r>
                            <w:r w:rsidR="00B17BEC">
                              <w:rPr>
                                <w:rFonts w:asciiTheme="minorHAnsi" w:hAnsiTheme="minorHAnsi"/>
                                <w:sz w:val="16"/>
                                <w:szCs w:val="16"/>
                                <w:lang w:val="en-GB"/>
                              </w:rPr>
                              <w:t xml:space="preserve">rted by an Advisory Group of </w:t>
                            </w:r>
                            <w:r w:rsidRPr="00517A56">
                              <w:rPr>
                                <w:rFonts w:asciiTheme="minorHAnsi" w:hAnsiTheme="minorHAnsi"/>
                                <w:sz w:val="16"/>
                                <w:szCs w:val="16"/>
                                <w:lang w:val="en-GB"/>
                              </w:rPr>
                              <w:t xml:space="preserve">Task Team members. </w:t>
                            </w:r>
                            <w:r w:rsidR="00A005EF" w:rsidRPr="00517A56">
                              <w:rPr>
                                <w:rFonts w:asciiTheme="minorHAnsi" w:hAnsiTheme="minorHAnsi"/>
                                <w:sz w:val="16"/>
                                <w:szCs w:val="16"/>
                                <w:lang w:val="en-GB"/>
                              </w:rPr>
                              <w:t>It was disseminated widely across the IASC and was rolled-out in Nairobi, Kenya in February 2016. Regional roll-outs will continue in 2016.</w:t>
                            </w:r>
                          </w:p>
                          <w:p w14:paraId="1EB571DB" w14:textId="77777777" w:rsidR="009E15BE" w:rsidRPr="00517A56" w:rsidRDefault="00A005EF" w:rsidP="009E15BE">
                            <w:pPr>
                              <w:pStyle w:val="ListParagraph"/>
                              <w:numPr>
                                <w:ilvl w:val="0"/>
                                <w:numId w:val="8"/>
                              </w:numPr>
                              <w:rPr>
                                <w:rFonts w:asciiTheme="minorHAnsi" w:hAnsiTheme="minorHAnsi"/>
                                <w:sz w:val="16"/>
                                <w:szCs w:val="16"/>
                                <w:lang w:val="en-GB"/>
                              </w:rPr>
                            </w:pPr>
                            <w:r w:rsidRPr="00517A56">
                              <w:rPr>
                                <w:rFonts w:asciiTheme="minorHAnsi" w:hAnsiTheme="minorHAnsi"/>
                                <w:sz w:val="16"/>
                                <w:szCs w:val="16"/>
                                <w:lang w:val="en-GB"/>
                              </w:rPr>
                              <w:t xml:space="preserve">The Task Team developed a draft </w:t>
                            </w:r>
                            <w:r w:rsidRPr="00517A56">
                              <w:rPr>
                                <w:rFonts w:asciiTheme="minorHAnsi" w:hAnsiTheme="minorHAnsi"/>
                                <w:b/>
                                <w:sz w:val="16"/>
                                <w:szCs w:val="16"/>
                                <w:lang w:val="en-GB"/>
                              </w:rPr>
                              <w:t>Counterterrorism Advocacy Paper</w:t>
                            </w:r>
                            <w:r w:rsidRPr="00517A56">
                              <w:rPr>
                                <w:rFonts w:asciiTheme="minorHAnsi" w:hAnsiTheme="minorHAnsi"/>
                                <w:sz w:val="16"/>
                                <w:szCs w:val="16"/>
                                <w:lang w:val="en-GB"/>
                              </w:rPr>
                              <w:t xml:space="preserve"> </w:t>
                            </w:r>
                            <w:r w:rsidR="00517A56">
                              <w:rPr>
                                <w:rFonts w:asciiTheme="minorHAnsi" w:hAnsiTheme="minorHAnsi"/>
                                <w:sz w:val="16"/>
                                <w:szCs w:val="16"/>
                                <w:lang w:val="en-GB"/>
                              </w:rPr>
                              <w:t>and shared it with the</w:t>
                            </w:r>
                            <w:r w:rsidRPr="00517A56">
                              <w:rPr>
                                <w:rFonts w:asciiTheme="minorHAnsi" w:hAnsiTheme="minorHAnsi"/>
                                <w:sz w:val="16"/>
                                <w:szCs w:val="16"/>
                                <w:lang w:val="en-GB"/>
                              </w:rPr>
                              <w:t xml:space="preserve"> IASC Working Group in October 2015.</w:t>
                            </w:r>
                            <w:r w:rsidR="009E15BE" w:rsidRPr="00517A56">
                              <w:rPr>
                                <w:rFonts w:asciiTheme="minorHAnsi" w:hAnsiTheme="minorHAnsi"/>
                                <w:sz w:val="16"/>
                                <w:szCs w:val="16"/>
                                <w:lang w:val="en-GB"/>
                              </w:rPr>
                              <w:t xml:space="preserve"> </w:t>
                            </w:r>
                          </w:p>
                          <w:p w14:paraId="1EB571DC" w14:textId="77777777" w:rsidR="009E15BE" w:rsidRPr="00517A56" w:rsidRDefault="009E15BE" w:rsidP="009E15BE">
                            <w:pPr>
                              <w:pStyle w:val="ListParagraph"/>
                              <w:numPr>
                                <w:ilvl w:val="0"/>
                                <w:numId w:val="8"/>
                              </w:numPr>
                              <w:contextualSpacing w:val="0"/>
                              <w:rPr>
                                <w:rFonts w:asciiTheme="minorHAnsi" w:hAnsiTheme="minorHAnsi"/>
                                <w:sz w:val="16"/>
                                <w:szCs w:val="16"/>
                                <w:lang w:val="en-GB"/>
                              </w:rPr>
                            </w:pPr>
                            <w:r w:rsidRPr="00517A56">
                              <w:rPr>
                                <w:rFonts w:asciiTheme="minorHAnsi" w:hAnsiTheme="minorHAnsi"/>
                                <w:sz w:val="16"/>
                                <w:szCs w:val="16"/>
                                <w:lang w:val="en-GB"/>
                              </w:rPr>
                              <w:t xml:space="preserve">A research on </w:t>
                            </w:r>
                            <w:r w:rsidRPr="00517A56">
                              <w:rPr>
                                <w:rFonts w:asciiTheme="minorHAnsi" w:hAnsiTheme="minorHAnsi"/>
                                <w:b/>
                                <w:sz w:val="16"/>
                                <w:szCs w:val="16"/>
                                <w:lang w:val="en-GB"/>
                              </w:rPr>
                              <w:t>foreign terrorist fighter measures</w:t>
                            </w:r>
                            <w:r w:rsidRPr="00517A56">
                              <w:rPr>
                                <w:rFonts w:asciiTheme="minorHAnsi" w:hAnsiTheme="minorHAnsi"/>
                                <w:sz w:val="16"/>
                                <w:szCs w:val="16"/>
                                <w:lang w:val="en-GB"/>
                              </w:rPr>
                              <w:t xml:space="preserve"> and implications for</w:t>
                            </w:r>
                            <w:r w:rsidR="00A005EF" w:rsidRPr="00517A56">
                              <w:rPr>
                                <w:rFonts w:asciiTheme="minorHAnsi" w:hAnsiTheme="minorHAnsi"/>
                                <w:sz w:val="16"/>
                                <w:szCs w:val="16"/>
                                <w:lang w:val="en-GB"/>
                              </w:rPr>
                              <w:t xml:space="preserve"> Principled Humanitarian Action,</w:t>
                            </w:r>
                            <w:r w:rsidRPr="00517A56">
                              <w:rPr>
                                <w:rFonts w:asciiTheme="minorHAnsi" w:hAnsiTheme="minorHAnsi"/>
                                <w:sz w:val="16"/>
                                <w:szCs w:val="16"/>
                                <w:lang w:val="en-GB"/>
                              </w:rPr>
                              <w:t xml:space="preserve"> commissioned by NRC</w:t>
                            </w:r>
                            <w:r w:rsidR="00A005EF" w:rsidRPr="00517A56">
                              <w:rPr>
                                <w:rFonts w:asciiTheme="minorHAnsi" w:hAnsiTheme="minorHAnsi"/>
                                <w:sz w:val="16"/>
                                <w:szCs w:val="16"/>
                                <w:lang w:val="en-GB"/>
                              </w:rPr>
                              <w:t>, and published by Harvard PILAC was</w:t>
                            </w:r>
                            <w:r w:rsidRPr="00517A56">
                              <w:rPr>
                                <w:rFonts w:asciiTheme="minorHAnsi" w:hAnsiTheme="minorHAnsi"/>
                                <w:sz w:val="16"/>
                                <w:szCs w:val="16"/>
                                <w:lang w:val="en-GB"/>
                              </w:rPr>
                              <w:t xml:space="preserve"> </w:t>
                            </w:r>
                            <w:r w:rsidR="00A005EF" w:rsidRPr="00517A56">
                              <w:rPr>
                                <w:rFonts w:asciiTheme="minorHAnsi" w:hAnsiTheme="minorHAnsi"/>
                                <w:sz w:val="16"/>
                                <w:szCs w:val="16"/>
                                <w:lang w:val="en-GB"/>
                              </w:rPr>
                              <w:t>published in October</w:t>
                            </w:r>
                            <w:r w:rsidRPr="00517A56">
                              <w:rPr>
                                <w:rFonts w:asciiTheme="minorHAnsi" w:hAnsiTheme="minorHAnsi"/>
                                <w:sz w:val="16"/>
                                <w:szCs w:val="16"/>
                                <w:lang w:val="en-GB"/>
                              </w:rPr>
                              <w:t xml:space="preserve">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B" id="_x0000_s1039" type="#_x0000_t202" style="position:absolute;margin-left:-25.3pt;margin-top:86pt;width:395.45pt;height:146.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" stroked="f">
                <v:textbox>
                  <w:txbxContent>
                    <w:p w14:paraId="1EB571D8" w14:textId="77777777" w:rsidR="00F70090" w:rsidRPr="00F70090" w:rsidRDefault="00F70090" w:rsidP="00F70090">
                      <w:pPr>
                        <w:pStyle w:val="ListParagraph"/>
                        <w:numPr>
                          <w:ilvl w:val="0"/>
                          <w:numId w:val="8"/>
                        </w:numPr>
                        <w:contextualSpacing w:val="0"/>
                        <w:jc w:val="both"/>
                        <w:rPr>
                          <w:rFonts w:asciiTheme="minorHAnsi" w:eastAsia="Arial" w:hAnsiTheme="minorHAnsi" w:cs="Arial"/>
                          <w:sz w:val="16"/>
                          <w:szCs w:val="16"/>
                          <w:lang w:val="en-GB"/>
                        </w:rPr>
                      </w:pPr>
                      <w:r w:rsidRPr="00F70090">
                        <w:rPr>
                          <w:rFonts w:asciiTheme="minorHAnsi" w:hAnsiTheme="minorHAnsi"/>
                          <w:b/>
                          <w:bCs/>
                          <w:iCs/>
                          <w:sz w:val="16"/>
                          <w:szCs w:val="16"/>
                          <w:lang w:val="en-GB"/>
                        </w:rPr>
                        <w:t>CT info note</w:t>
                      </w:r>
                      <w:r w:rsidRPr="00F70090">
                        <w:rPr>
                          <w:rFonts w:asciiTheme="minorHAnsi" w:hAnsiTheme="minorHAnsi"/>
                          <w:bCs/>
                          <w:iCs/>
                          <w:sz w:val="16"/>
                          <w:szCs w:val="16"/>
                          <w:lang w:val="en-GB"/>
                        </w:rPr>
                        <w:t xml:space="preserve"> developed and distributed to IASC organizations updating on work stream and main developments</w:t>
                      </w:r>
                      <w:r w:rsidRPr="00F70090">
                        <w:rPr>
                          <w:rFonts w:asciiTheme="minorHAnsi" w:hAnsiTheme="minorHAnsi"/>
                          <w:i/>
                          <w:iCs/>
                          <w:sz w:val="16"/>
                          <w:szCs w:val="16"/>
                          <w:lang w:val="en-GB"/>
                        </w:rPr>
                        <w:t xml:space="preserve"> </w:t>
                      </w:r>
                      <w:r w:rsidRPr="00F70090">
                        <w:rPr>
                          <w:rFonts w:asciiTheme="minorHAnsi" w:hAnsiTheme="minorHAnsi"/>
                          <w:sz w:val="16"/>
                          <w:szCs w:val="16"/>
                          <w:lang w:val="en-GB"/>
                        </w:rPr>
                        <w:t xml:space="preserve">to inform the field/HQ colleagues on COTER impacts, resources and TT activities. </w:t>
                      </w:r>
                    </w:p>
                    <w:p w14:paraId="1EB571D9" w14:textId="77777777" w:rsidR="00F70090" w:rsidRPr="00517A56" w:rsidRDefault="00F70090" w:rsidP="00F70090">
                      <w:pPr>
                        <w:pStyle w:val="ListParagraph"/>
                        <w:numPr>
                          <w:ilvl w:val="0"/>
                          <w:numId w:val="8"/>
                        </w:numPr>
                        <w:jc w:val="both"/>
                        <w:rPr>
                          <w:rFonts w:asciiTheme="minorHAnsi" w:eastAsiaTheme="minorHAnsi" w:hAnsiTheme="minorHAnsi" w:cstheme="minorBidi"/>
                          <w:sz w:val="16"/>
                          <w:szCs w:val="16"/>
                          <w:bdr w:val="none" w:sz="0" w:space="0" w:color="auto"/>
                          <w:lang w:val="en-GB"/>
                        </w:rPr>
                      </w:pPr>
                      <w:r w:rsidRPr="00F70090">
                        <w:rPr>
                          <w:rFonts w:asciiTheme="minorHAnsi" w:hAnsiTheme="minorHAnsi"/>
                          <w:b/>
                          <w:sz w:val="16"/>
                          <w:szCs w:val="16"/>
                          <w:lang w:val="en-GB"/>
                        </w:rPr>
                        <w:t xml:space="preserve">Development of a CT risk management and due diligence </w:t>
                      </w:r>
                      <w:r w:rsidRPr="00F70090">
                        <w:rPr>
                          <w:rFonts w:asciiTheme="minorHAnsi" w:hAnsiTheme="minorHAnsi"/>
                          <w:sz w:val="16"/>
                          <w:szCs w:val="16"/>
                          <w:lang w:val="en-GB"/>
                        </w:rPr>
                        <w:t xml:space="preserve">toolkit, to facilitate principled humanitarian action, and respond to high levels of demand for guidance from operational actors that can be </w:t>
                      </w:r>
                      <w:r w:rsidRPr="00517A56">
                        <w:rPr>
                          <w:rFonts w:asciiTheme="minorHAnsi" w:hAnsiTheme="minorHAnsi"/>
                          <w:sz w:val="16"/>
                          <w:szCs w:val="16"/>
                          <w:lang w:val="en-GB"/>
                        </w:rPr>
                        <w:t xml:space="preserve">used at field and HQ levels, as well as with donors concerning dialogue on risk management and due diligence. </w:t>
                      </w:r>
                    </w:p>
                    <w:p w14:paraId="1EB571DA" w14:textId="77777777" w:rsidR="009E15BE" w:rsidRPr="00517A56" w:rsidRDefault="009E15BE" w:rsidP="009E15BE">
                      <w:pPr>
                        <w:pStyle w:val="ListParagraph"/>
                        <w:numPr>
                          <w:ilvl w:val="0"/>
                          <w:numId w:val="8"/>
                        </w:numPr>
                        <w:contextualSpacing w:val="0"/>
                        <w:rPr>
                          <w:rFonts w:asciiTheme="minorHAnsi" w:hAnsiTheme="minorHAnsi"/>
                          <w:sz w:val="16"/>
                          <w:szCs w:val="16"/>
                          <w:lang w:val="en-GB"/>
                        </w:rPr>
                      </w:pPr>
                      <w:r w:rsidRPr="00517A56">
                        <w:rPr>
                          <w:rFonts w:asciiTheme="minorHAnsi" w:hAnsiTheme="minorHAnsi"/>
                          <w:b/>
                          <w:sz w:val="16"/>
                          <w:szCs w:val="16"/>
                          <w:lang w:val="en-GB"/>
                        </w:rPr>
                        <w:t>COTER toolkit on risk management</w:t>
                      </w:r>
                      <w:r w:rsidR="00914678">
                        <w:rPr>
                          <w:rFonts w:asciiTheme="minorHAnsi" w:hAnsiTheme="minorHAnsi"/>
                          <w:b/>
                          <w:sz w:val="16"/>
                          <w:szCs w:val="16"/>
                          <w:lang w:val="en-GB"/>
                        </w:rPr>
                        <w:t xml:space="preserve"> finalised</w:t>
                      </w:r>
                      <w:r w:rsidRPr="00517A56">
                        <w:rPr>
                          <w:rFonts w:asciiTheme="minorHAnsi" w:hAnsiTheme="minorHAnsi"/>
                          <w:sz w:val="16"/>
                          <w:szCs w:val="16"/>
                          <w:lang w:val="en-GB"/>
                        </w:rPr>
                        <w:t xml:space="preserve"> </w:t>
                      </w:r>
                      <w:r w:rsidR="00A005EF" w:rsidRPr="00517A56">
                        <w:rPr>
                          <w:rFonts w:asciiTheme="minorHAnsi" w:hAnsiTheme="minorHAnsi"/>
                          <w:sz w:val="16"/>
                          <w:szCs w:val="16"/>
                          <w:lang w:val="en-GB"/>
                        </w:rPr>
                        <w:t>–</w:t>
                      </w:r>
                      <w:r w:rsidRPr="00517A56">
                        <w:rPr>
                          <w:rFonts w:asciiTheme="minorHAnsi" w:hAnsiTheme="minorHAnsi"/>
                          <w:sz w:val="16"/>
                          <w:szCs w:val="16"/>
                          <w:lang w:val="en-GB"/>
                        </w:rPr>
                        <w:t xml:space="preserve"> </w:t>
                      </w:r>
                      <w:r w:rsidR="00A005EF" w:rsidRPr="00517A56">
                        <w:rPr>
                          <w:rFonts w:asciiTheme="minorHAnsi" w:hAnsiTheme="minorHAnsi"/>
                          <w:sz w:val="16"/>
                          <w:szCs w:val="16"/>
                          <w:lang w:val="en-GB"/>
                        </w:rPr>
                        <w:t xml:space="preserve">NRC published the Risk Management Toolkit in Relation to Counterterrorism </w:t>
                      </w:r>
                      <w:r w:rsidR="00914678" w:rsidRPr="00517A56">
                        <w:rPr>
                          <w:rFonts w:asciiTheme="minorHAnsi" w:hAnsiTheme="minorHAnsi"/>
                          <w:sz w:val="16"/>
                          <w:szCs w:val="16"/>
                          <w:lang w:val="en-GB"/>
                        </w:rPr>
                        <w:t>Measures</w:t>
                      </w:r>
                      <w:r w:rsidR="00A005EF" w:rsidRPr="00517A56">
                        <w:rPr>
                          <w:rFonts w:asciiTheme="minorHAnsi" w:hAnsiTheme="minorHAnsi"/>
                          <w:sz w:val="16"/>
                          <w:szCs w:val="16"/>
                          <w:lang w:val="en-GB"/>
                        </w:rPr>
                        <w:t xml:space="preserve"> in </w:t>
                      </w:r>
                      <w:r w:rsidR="00361405">
                        <w:rPr>
                          <w:rFonts w:asciiTheme="minorHAnsi" w:hAnsiTheme="minorHAnsi"/>
                          <w:sz w:val="16"/>
                          <w:szCs w:val="16"/>
                          <w:lang w:val="en-GB"/>
                        </w:rPr>
                        <w:t>December 2015</w:t>
                      </w:r>
                      <w:r w:rsidR="00A005EF" w:rsidRPr="00517A56">
                        <w:rPr>
                          <w:rFonts w:asciiTheme="minorHAnsi" w:hAnsiTheme="minorHAnsi"/>
                          <w:sz w:val="16"/>
                          <w:szCs w:val="16"/>
                          <w:lang w:val="en-GB"/>
                        </w:rPr>
                        <w:t>.</w:t>
                      </w:r>
                      <w:r w:rsidRPr="00517A56">
                        <w:rPr>
                          <w:rFonts w:asciiTheme="minorHAnsi" w:hAnsiTheme="minorHAnsi"/>
                          <w:sz w:val="16"/>
                          <w:szCs w:val="16"/>
                          <w:lang w:val="en-GB"/>
                        </w:rPr>
                        <w:t xml:space="preserve"> The toolkit is part of the P</w:t>
                      </w:r>
                      <w:r w:rsidR="004D0198">
                        <w:rPr>
                          <w:rFonts w:asciiTheme="minorHAnsi" w:hAnsiTheme="minorHAnsi"/>
                          <w:sz w:val="16"/>
                          <w:szCs w:val="16"/>
                          <w:lang w:val="en-GB"/>
                        </w:rPr>
                        <w:t>HA Task Team 2015 Workplan and wa</w:t>
                      </w:r>
                      <w:r w:rsidRPr="00517A56">
                        <w:rPr>
                          <w:rFonts w:asciiTheme="minorHAnsi" w:hAnsiTheme="minorHAnsi"/>
                          <w:sz w:val="16"/>
                          <w:szCs w:val="16"/>
                          <w:lang w:val="en-GB"/>
                        </w:rPr>
                        <w:t>s suppo</w:t>
                      </w:r>
                      <w:r w:rsidR="00B17BEC">
                        <w:rPr>
                          <w:rFonts w:asciiTheme="minorHAnsi" w:hAnsiTheme="minorHAnsi"/>
                          <w:sz w:val="16"/>
                          <w:szCs w:val="16"/>
                          <w:lang w:val="en-GB"/>
                        </w:rPr>
                        <w:t xml:space="preserve">rted by an Advisory Group of </w:t>
                      </w:r>
                      <w:r w:rsidRPr="00517A56">
                        <w:rPr>
                          <w:rFonts w:asciiTheme="minorHAnsi" w:hAnsiTheme="minorHAnsi"/>
                          <w:sz w:val="16"/>
                          <w:szCs w:val="16"/>
                          <w:lang w:val="en-GB"/>
                        </w:rPr>
                        <w:t xml:space="preserve">Task Team members. </w:t>
                      </w:r>
                      <w:r w:rsidR="00A005EF" w:rsidRPr="00517A56">
                        <w:rPr>
                          <w:rFonts w:asciiTheme="minorHAnsi" w:hAnsiTheme="minorHAnsi"/>
                          <w:sz w:val="16"/>
                          <w:szCs w:val="16"/>
                          <w:lang w:val="en-GB"/>
                        </w:rPr>
                        <w:t>It was disseminated widely across the IASC and was rolled-out in Nairobi, Kenya in February 2016. Regional roll-outs will continue in 2016.</w:t>
                      </w:r>
                    </w:p>
                    <w:p w14:paraId="1EB571DB" w14:textId="77777777" w:rsidR="009E15BE" w:rsidRPr="00517A56" w:rsidRDefault="00A005EF" w:rsidP="009E15BE">
                      <w:pPr>
                        <w:pStyle w:val="ListParagraph"/>
                        <w:numPr>
                          <w:ilvl w:val="0"/>
                          <w:numId w:val="8"/>
                        </w:numPr>
                        <w:rPr>
                          <w:rFonts w:asciiTheme="minorHAnsi" w:hAnsiTheme="minorHAnsi"/>
                          <w:sz w:val="16"/>
                          <w:szCs w:val="16"/>
                          <w:lang w:val="en-GB"/>
                        </w:rPr>
                      </w:pPr>
                      <w:r w:rsidRPr="00517A56">
                        <w:rPr>
                          <w:rFonts w:asciiTheme="minorHAnsi" w:hAnsiTheme="minorHAnsi"/>
                          <w:sz w:val="16"/>
                          <w:szCs w:val="16"/>
                          <w:lang w:val="en-GB"/>
                        </w:rPr>
                        <w:t xml:space="preserve">The Task Team developed a draft </w:t>
                      </w:r>
                      <w:r w:rsidRPr="00517A56">
                        <w:rPr>
                          <w:rFonts w:asciiTheme="minorHAnsi" w:hAnsiTheme="minorHAnsi"/>
                          <w:b/>
                          <w:sz w:val="16"/>
                          <w:szCs w:val="16"/>
                          <w:lang w:val="en-GB"/>
                        </w:rPr>
                        <w:t>Counterterrorism Advocacy Paper</w:t>
                      </w:r>
                      <w:r w:rsidRPr="00517A56">
                        <w:rPr>
                          <w:rFonts w:asciiTheme="minorHAnsi" w:hAnsiTheme="minorHAnsi"/>
                          <w:sz w:val="16"/>
                          <w:szCs w:val="16"/>
                          <w:lang w:val="en-GB"/>
                        </w:rPr>
                        <w:t xml:space="preserve"> </w:t>
                      </w:r>
                      <w:r w:rsidR="00517A56">
                        <w:rPr>
                          <w:rFonts w:asciiTheme="minorHAnsi" w:hAnsiTheme="minorHAnsi"/>
                          <w:sz w:val="16"/>
                          <w:szCs w:val="16"/>
                          <w:lang w:val="en-GB"/>
                        </w:rPr>
                        <w:t>and shared it with the</w:t>
                      </w:r>
                      <w:r w:rsidRPr="00517A56">
                        <w:rPr>
                          <w:rFonts w:asciiTheme="minorHAnsi" w:hAnsiTheme="minorHAnsi"/>
                          <w:sz w:val="16"/>
                          <w:szCs w:val="16"/>
                          <w:lang w:val="en-GB"/>
                        </w:rPr>
                        <w:t xml:space="preserve"> IASC Working Group in October 2015.</w:t>
                      </w:r>
                      <w:r w:rsidR="009E15BE" w:rsidRPr="00517A56">
                        <w:rPr>
                          <w:rFonts w:asciiTheme="minorHAnsi" w:hAnsiTheme="minorHAnsi"/>
                          <w:sz w:val="16"/>
                          <w:szCs w:val="16"/>
                          <w:lang w:val="en-GB"/>
                        </w:rPr>
                        <w:t xml:space="preserve"> </w:t>
                      </w:r>
                    </w:p>
                    <w:p w14:paraId="1EB571DC" w14:textId="77777777" w:rsidR="009E15BE" w:rsidRPr="00517A56" w:rsidRDefault="009E15BE" w:rsidP="009E15BE">
                      <w:pPr>
                        <w:pStyle w:val="ListParagraph"/>
                        <w:numPr>
                          <w:ilvl w:val="0"/>
                          <w:numId w:val="8"/>
                        </w:numPr>
                        <w:contextualSpacing w:val="0"/>
                        <w:rPr>
                          <w:rFonts w:asciiTheme="minorHAnsi" w:hAnsiTheme="minorHAnsi"/>
                          <w:sz w:val="16"/>
                          <w:szCs w:val="16"/>
                          <w:lang w:val="en-GB"/>
                        </w:rPr>
                      </w:pPr>
                      <w:r w:rsidRPr="00517A56">
                        <w:rPr>
                          <w:rFonts w:asciiTheme="minorHAnsi" w:hAnsiTheme="minorHAnsi"/>
                          <w:sz w:val="16"/>
                          <w:szCs w:val="16"/>
                          <w:lang w:val="en-GB"/>
                        </w:rPr>
                        <w:t xml:space="preserve">A research on </w:t>
                      </w:r>
                      <w:r w:rsidRPr="00517A56">
                        <w:rPr>
                          <w:rFonts w:asciiTheme="minorHAnsi" w:hAnsiTheme="minorHAnsi"/>
                          <w:b/>
                          <w:sz w:val="16"/>
                          <w:szCs w:val="16"/>
                          <w:lang w:val="en-GB"/>
                        </w:rPr>
                        <w:t>foreign terrorist fighter measures</w:t>
                      </w:r>
                      <w:r w:rsidRPr="00517A56">
                        <w:rPr>
                          <w:rFonts w:asciiTheme="minorHAnsi" w:hAnsiTheme="minorHAnsi"/>
                          <w:sz w:val="16"/>
                          <w:szCs w:val="16"/>
                          <w:lang w:val="en-GB"/>
                        </w:rPr>
                        <w:t xml:space="preserve"> and implications for</w:t>
                      </w:r>
                      <w:r w:rsidR="00A005EF" w:rsidRPr="00517A56">
                        <w:rPr>
                          <w:rFonts w:asciiTheme="minorHAnsi" w:hAnsiTheme="minorHAnsi"/>
                          <w:sz w:val="16"/>
                          <w:szCs w:val="16"/>
                          <w:lang w:val="en-GB"/>
                        </w:rPr>
                        <w:t xml:space="preserve"> Principled Humanitarian Action,</w:t>
                      </w:r>
                      <w:r w:rsidRPr="00517A56">
                        <w:rPr>
                          <w:rFonts w:asciiTheme="minorHAnsi" w:hAnsiTheme="minorHAnsi"/>
                          <w:sz w:val="16"/>
                          <w:szCs w:val="16"/>
                          <w:lang w:val="en-GB"/>
                        </w:rPr>
                        <w:t xml:space="preserve"> commissioned by NRC</w:t>
                      </w:r>
                      <w:r w:rsidR="00A005EF" w:rsidRPr="00517A56">
                        <w:rPr>
                          <w:rFonts w:asciiTheme="minorHAnsi" w:hAnsiTheme="minorHAnsi"/>
                          <w:sz w:val="16"/>
                          <w:szCs w:val="16"/>
                          <w:lang w:val="en-GB"/>
                        </w:rPr>
                        <w:t>, and published by Harvard PILAC was</w:t>
                      </w:r>
                      <w:r w:rsidRPr="00517A56">
                        <w:rPr>
                          <w:rFonts w:asciiTheme="minorHAnsi" w:hAnsiTheme="minorHAnsi"/>
                          <w:sz w:val="16"/>
                          <w:szCs w:val="16"/>
                          <w:lang w:val="en-GB"/>
                        </w:rPr>
                        <w:t xml:space="preserve"> </w:t>
                      </w:r>
                      <w:r w:rsidR="00A005EF" w:rsidRPr="00517A56">
                        <w:rPr>
                          <w:rFonts w:asciiTheme="minorHAnsi" w:hAnsiTheme="minorHAnsi"/>
                          <w:sz w:val="16"/>
                          <w:szCs w:val="16"/>
                          <w:lang w:val="en-GB"/>
                        </w:rPr>
                        <w:t>published in October</w:t>
                      </w:r>
                      <w:r w:rsidRPr="00517A56">
                        <w:rPr>
                          <w:rFonts w:asciiTheme="minorHAnsi" w:hAnsiTheme="minorHAnsi"/>
                          <w:sz w:val="16"/>
                          <w:szCs w:val="16"/>
                          <w:lang w:val="en-GB"/>
                        </w:rPr>
                        <w:t xml:space="preserve"> 2015. </w:t>
                      </w:r>
                    </w:p>
                  </w:txbxContent>
                </v:textbox>
                <w10:wrap type="through"/>
              </v:shape>
            </w:pict>
          </mc:Fallback>
        </mc:AlternateContent>
      </w:r>
      <w:r w:rsidR="009E15BE" w:rsidRPr="00CD16D5">
        <w:rPr>
          <w:rFonts w:ascii="Times New Roman" w:eastAsia="Arial Unicode MS" w:hAnsi="Times New Roman" w:cs="Times New Roman"/>
          <w:noProof/>
          <w:sz w:val="24"/>
          <w:szCs w:val="24"/>
          <w:bdr w:val="nil"/>
          <w:lang w:val="en-US" w:eastAsia="zh-CN"/>
        </w:rPr>
        <mc:AlternateContent>
          <mc:Choice Requires="wps">
            <w:drawing>
              <wp:anchor distT="0" distB="0" distL="114300" distR="114300" simplePos="0" relativeHeight="251704320" behindDoc="0" locked="0" layoutInCell="1" allowOverlap="1" wp14:anchorId="1EB571AD" wp14:editId="1EB571AE">
                <wp:simplePos x="0" y="0"/>
                <wp:positionH relativeFrom="column">
                  <wp:posOffset>-320722</wp:posOffset>
                </wp:positionH>
                <wp:positionV relativeFrom="paragraph">
                  <wp:posOffset>805663</wp:posOffset>
                </wp:positionV>
                <wp:extent cx="5431790" cy="285987"/>
                <wp:effectExtent l="0" t="0" r="1651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85987"/>
                        </a:xfrm>
                        <a:prstGeom prst="rect">
                          <a:avLst/>
                        </a:prstGeom>
                        <a:pattFill prst="lgGrid">
                          <a:fgClr>
                            <a:srgbClr val="FCE0C8"/>
                          </a:fgClr>
                          <a:bgClr>
                            <a:schemeClr val="bg1"/>
                          </a:bgClr>
                        </a:pattFill>
                        <a:ln w="9525">
                          <a:solidFill>
                            <a:srgbClr val="FCE0C8"/>
                          </a:solidFill>
                          <a:miter lim="800000"/>
                          <a:headEnd/>
                          <a:tailEnd/>
                        </a:ln>
                      </wps:spPr>
                      <wps:txbx>
                        <w:txbxContent>
                          <w:p w14:paraId="1EB571DD" w14:textId="77777777" w:rsidR="00F70090" w:rsidRPr="000F642B" w:rsidRDefault="00F70090" w:rsidP="00F70090">
                            <w:pPr>
                              <w:pStyle w:val="NoSpacing"/>
                              <w:jc w:val="center"/>
                              <w:rPr>
                                <w:b/>
                                <w:szCs w:val="18"/>
                              </w:rPr>
                            </w:pPr>
                            <w:r w:rsidRPr="000F642B">
                              <w:rPr>
                                <w:b/>
                                <w:szCs w:val="18"/>
                              </w:rPr>
                              <w:t>Facilitat</w:t>
                            </w:r>
                            <w:r>
                              <w:rPr>
                                <w:b/>
                                <w:szCs w:val="18"/>
                              </w:rPr>
                              <w:t>ing</w:t>
                            </w:r>
                            <w:r w:rsidRPr="000F642B">
                              <w:rPr>
                                <w:b/>
                                <w:szCs w:val="18"/>
                              </w:rPr>
                              <w:t xml:space="preserve"> </w:t>
                            </w:r>
                            <w:r>
                              <w:rPr>
                                <w:b/>
                                <w:szCs w:val="18"/>
                              </w:rPr>
                              <w:t xml:space="preserve">inter-agency </w:t>
                            </w:r>
                            <w:r w:rsidRPr="000F642B">
                              <w:rPr>
                                <w:b/>
                                <w:szCs w:val="18"/>
                              </w:rPr>
                              <w:t>coordination and operational improvements</w:t>
                            </w:r>
                            <w:r>
                              <w:rPr>
                                <w:b/>
                                <w:szCs w:val="18"/>
                              </w:rPr>
                              <w:t xml:space="preserve"> re counterterrorism</w:t>
                            </w:r>
                          </w:p>
                          <w:p w14:paraId="1EB571DE" w14:textId="77777777" w:rsidR="00F70090" w:rsidRDefault="00F70090" w:rsidP="00F70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D" id="_x0000_s1040" type="#_x0000_t202" style="position:absolute;margin-left:-25.25pt;margin-top:63.45pt;width:427.7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" fillcolor="#fce0c8" strokecolor="#fce0c8">
                <v:fill r:id="rId17" o:title="" color2="white [3212]" type="pattern"/>
                <v:textbox>
                  <w:txbxContent>
                    <w:p w14:paraId="1EB571DD" w14:textId="77777777" w:rsidR="00F70090" w:rsidRPr="000F642B" w:rsidRDefault="00F70090" w:rsidP="00F70090">
                      <w:pPr>
                        <w:pStyle w:val="NoSpacing"/>
                        <w:jc w:val="center"/>
                        <w:rPr>
                          <w:b/>
                          <w:szCs w:val="18"/>
                        </w:rPr>
                      </w:pPr>
                      <w:r w:rsidRPr="000F642B">
                        <w:rPr>
                          <w:b/>
                          <w:szCs w:val="18"/>
                        </w:rPr>
                        <w:t>Facilitat</w:t>
                      </w:r>
                      <w:r>
                        <w:rPr>
                          <w:b/>
                          <w:szCs w:val="18"/>
                        </w:rPr>
                        <w:t>ing</w:t>
                      </w:r>
                      <w:r w:rsidRPr="000F642B">
                        <w:rPr>
                          <w:b/>
                          <w:szCs w:val="18"/>
                        </w:rPr>
                        <w:t xml:space="preserve"> </w:t>
                      </w:r>
                      <w:r>
                        <w:rPr>
                          <w:b/>
                          <w:szCs w:val="18"/>
                        </w:rPr>
                        <w:t xml:space="preserve">inter-agency </w:t>
                      </w:r>
                      <w:r w:rsidRPr="000F642B">
                        <w:rPr>
                          <w:b/>
                          <w:szCs w:val="18"/>
                        </w:rPr>
                        <w:t>coordination and operational improvements</w:t>
                      </w:r>
                      <w:r>
                        <w:rPr>
                          <w:b/>
                          <w:szCs w:val="18"/>
                        </w:rPr>
                        <w:t xml:space="preserve"> re counterterrorism</w:t>
                      </w:r>
                    </w:p>
                    <w:p w14:paraId="1EB571DE" w14:textId="77777777" w:rsidR="00F70090" w:rsidRDefault="00F70090" w:rsidP="00F70090"/>
                  </w:txbxContent>
                </v:textbox>
              </v:shape>
            </w:pict>
          </mc:Fallback>
        </mc:AlternateContent>
      </w:r>
      <w:r w:rsidR="004A3B4E" w:rsidRPr="00CD16D5">
        <w:rPr>
          <w:rFonts w:ascii="Arial" w:hAnsi="Arial" w:cs="Arial"/>
          <w:noProof/>
          <w:sz w:val="20"/>
          <w:szCs w:val="20"/>
          <w:lang w:val="en-US" w:eastAsia="zh-CN"/>
        </w:rPr>
        <mc:AlternateContent>
          <mc:Choice Requires="wps">
            <w:drawing>
              <wp:anchor distT="0" distB="0" distL="114300" distR="114300" simplePos="0" relativeHeight="251685888" behindDoc="0" locked="0" layoutInCell="1" allowOverlap="1" wp14:anchorId="1EB571AF" wp14:editId="1EB571B0">
                <wp:simplePos x="0" y="0"/>
                <wp:positionH relativeFrom="column">
                  <wp:posOffset>5061098</wp:posOffset>
                </wp:positionH>
                <wp:positionV relativeFrom="paragraph">
                  <wp:posOffset>262609</wp:posOffset>
                </wp:positionV>
                <wp:extent cx="1803990" cy="2773326"/>
                <wp:effectExtent l="0" t="0" r="635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990" cy="2773326"/>
                        </a:xfrm>
                        <a:prstGeom prst="rect">
                          <a:avLst/>
                        </a:prstGeom>
                        <a:solidFill>
                          <a:srgbClr val="FFFFFF"/>
                        </a:solidFill>
                        <a:ln w="9525">
                          <a:noFill/>
                          <a:miter lim="800000"/>
                          <a:headEnd/>
                          <a:tailEnd/>
                        </a:ln>
                      </wps:spPr>
                      <wps:txbx>
                        <w:txbxContent>
                          <w:p w14:paraId="1EB571DF" w14:textId="77777777" w:rsidR="00D10265" w:rsidRDefault="00D10265" w:rsidP="00E65D06">
                            <w:pPr>
                              <w:pStyle w:val="NoSpacing"/>
                              <w:rPr>
                                <w:b/>
                                <w:color w:val="548DD4" w:themeColor="text2" w:themeTint="99"/>
                                <w:sz w:val="24"/>
                                <w:lang w:val="en-US"/>
                              </w:rPr>
                            </w:pPr>
                            <w:r>
                              <w:rPr>
                                <w:b/>
                                <w:color w:val="548DD4" w:themeColor="text2" w:themeTint="99"/>
                                <w:sz w:val="24"/>
                                <w:lang w:val="en-US"/>
                              </w:rPr>
                              <w:t xml:space="preserve">   </w:t>
                            </w:r>
                            <w:r w:rsidRPr="00E65D06">
                              <w:rPr>
                                <w:b/>
                                <w:color w:val="548DD4" w:themeColor="text2" w:themeTint="99"/>
                                <w:sz w:val="24"/>
                                <w:lang w:val="en-US"/>
                              </w:rPr>
                              <w:t>COMPOSITION:</w:t>
                            </w:r>
                          </w:p>
                          <w:p w14:paraId="1EB571E0" w14:textId="77777777" w:rsidR="00D10265" w:rsidRPr="00E65D06" w:rsidRDefault="00D10265" w:rsidP="00E65D06">
                            <w:pPr>
                              <w:pStyle w:val="NoSpacing"/>
                              <w:rPr>
                                <w:b/>
                                <w:color w:val="548DD4" w:themeColor="text2" w:themeTint="99"/>
                                <w:sz w:val="24"/>
                                <w:lang w:val="en-US"/>
                              </w:rPr>
                            </w:pPr>
                          </w:p>
                          <w:p w14:paraId="1EB571E1" w14:textId="77777777" w:rsidR="00D10265" w:rsidRPr="00C66448" w:rsidRDefault="004A3B4E">
                            <w:pPr>
                              <w:rPr>
                                <w:lang w:val="en-US"/>
                              </w:rPr>
                            </w:pPr>
                            <w:r>
                              <w:rPr>
                                <w:noProof/>
                                <w:lang w:val="en-US" w:eastAsia="zh-CN"/>
                              </w:rPr>
                              <w:drawing>
                                <wp:inline distT="0" distB="0" distL="0" distR="0" wp14:anchorId="1EB571E2" wp14:editId="1EB571E3">
                                  <wp:extent cx="1552353" cy="219030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69211" t="55990" r="15522" b="16364"/>
                                          <a:stretch/>
                                        </pic:blipFill>
                                        <pic:spPr bwMode="auto">
                                          <a:xfrm>
                                            <a:off x="0" y="0"/>
                                            <a:ext cx="1558972" cy="21996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1AF" id="_x0000_s1041" type="#_x0000_t202" style="position:absolute;margin-left:398.5pt;margin-top:20.7pt;width:142.05pt;height:2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UkJAIAACQ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" stroked="f">
                <v:textbox>
                  <w:txbxContent>
                    <w:p w14:paraId="1EB571DF" w14:textId="77777777" w:rsidR="00D10265" w:rsidRDefault="00D10265" w:rsidP="00E65D06">
                      <w:pPr>
                        <w:pStyle w:val="NoSpacing"/>
                        <w:rPr>
                          <w:b/>
                          <w:color w:val="548DD4" w:themeColor="text2" w:themeTint="99"/>
                          <w:sz w:val="24"/>
                          <w:lang w:val="en-US"/>
                        </w:rPr>
                      </w:pPr>
                      <w:r>
                        <w:rPr>
                          <w:b/>
                          <w:color w:val="548DD4" w:themeColor="text2" w:themeTint="99"/>
                          <w:sz w:val="24"/>
                          <w:lang w:val="en-US"/>
                        </w:rPr>
                        <w:t xml:space="preserve">   </w:t>
                      </w:r>
                      <w:r w:rsidRPr="00E65D06">
                        <w:rPr>
                          <w:b/>
                          <w:color w:val="548DD4" w:themeColor="text2" w:themeTint="99"/>
                          <w:sz w:val="24"/>
                          <w:lang w:val="en-US"/>
                        </w:rPr>
                        <w:t>COMPOSITION:</w:t>
                      </w:r>
                    </w:p>
                    <w:p w14:paraId="1EB571E0" w14:textId="77777777" w:rsidR="00D10265" w:rsidRPr="00E65D06" w:rsidRDefault="00D10265" w:rsidP="00E65D06">
                      <w:pPr>
                        <w:pStyle w:val="NoSpacing"/>
                        <w:rPr>
                          <w:b/>
                          <w:color w:val="548DD4" w:themeColor="text2" w:themeTint="99"/>
                          <w:sz w:val="24"/>
                          <w:lang w:val="en-US"/>
                        </w:rPr>
                      </w:pPr>
                    </w:p>
                    <w:p w14:paraId="1EB571E1" w14:textId="77777777" w:rsidR="00D10265" w:rsidRPr="00C66448" w:rsidRDefault="004A3B4E">
                      <w:pPr>
                        <w:rPr>
                          <w:lang w:val="en-US"/>
                        </w:rPr>
                      </w:pPr>
                      <w:r>
                        <w:rPr>
                          <w:noProof/>
                          <w:lang w:eastAsia="zh-CN"/>
                        </w:rPr>
                        <w:drawing>
                          <wp:inline distT="0" distB="0" distL="0" distR="0" wp14:anchorId="1EB571E2" wp14:editId="1EB571E3">
                            <wp:extent cx="1552353" cy="219030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69211" t="55990" r="15522" b="16364"/>
                                    <a:stretch/>
                                  </pic:blipFill>
                                  <pic:spPr bwMode="auto">
                                    <a:xfrm>
                                      <a:off x="0" y="0"/>
                                      <a:ext cx="1558972" cy="219964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7F3DE0" w:rsidRPr="007F3DE0" w:rsidSect="007F3D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21D1" w14:textId="77777777" w:rsidR="00FF6634" w:rsidRDefault="00FF6634" w:rsidP="001F5494">
      <w:pPr>
        <w:spacing w:after="0" w:line="240" w:lineRule="auto"/>
      </w:pPr>
      <w:r>
        <w:separator/>
      </w:r>
    </w:p>
  </w:endnote>
  <w:endnote w:type="continuationSeparator" w:id="0">
    <w:p w14:paraId="78FF7DD8" w14:textId="77777777" w:rsidR="00FF6634" w:rsidRDefault="00FF6634" w:rsidP="001F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7439" w14:textId="77777777" w:rsidR="00FF6634" w:rsidRDefault="00FF6634" w:rsidP="001F5494">
      <w:pPr>
        <w:spacing w:after="0" w:line="240" w:lineRule="auto"/>
      </w:pPr>
      <w:r>
        <w:separator/>
      </w:r>
    </w:p>
  </w:footnote>
  <w:footnote w:type="continuationSeparator" w:id="0">
    <w:p w14:paraId="4C06B607" w14:textId="77777777" w:rsidR="00FF6634" w:rsidRDefault="00FF6634" w:rsidP="001F5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05A"/>
    <w:multiLevelType w:val="hybridMultilevel"/>
    <w:tmpl w:val="0832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F01408"/>
    <w:multiLevelType w:val="hybridMultilevel"/>
    <w:tmpl w:val="3782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550A0"/>
    <w:multiLevelType w:val="hybridMultilevel"/>
    <w:tmpl w:val="BA90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6B752D"/>
    <w:multiLevelType w:val="multilevel"/>
    <w:tmpl w:val="0BAC2B12"/>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nsid w:val="23DC700B"/>
    <w:multiLevelType w:val="multilevel"/>
    <w:tmpl w:val="5652E03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2F852E78"/>
    <w:multiLevelType w:val="hybridMultilevel"/>
    <w:tmpl w:val="9282F1FC"/>
    <w:lvl w:ilvl="0" w:tplc="68A4B9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762F0"/>
    <w:multiLevelType w:val="hybridMultilevel"/>
    <w:tmpl w:val="C4685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0C78B6"/>
    <w:multiLevelType w:val="hybridMultilevel"/>
    <w:tmpl w:val="7DFA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8C10D1"/>
    <w:multiLevelType w:val="hybridMultilevel"/>
    <w:tmpl w:val="9CB07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E34F24"/>
    <w:multiLevelType w:val="hybridMultilevel"/>
    <w:tmpl w:val="C32AB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E92DC1"/>
    <w:multiLevelType w:val="multilevel"/>
    <w:tmpl w:val="F0BE3140"/>
    <w:lvl w:ilvl="0">
      <w:numFmt w:val="bullet"/>
      <w:lvlText w:val="•"/>
      <w:lvlJc w:val="left"/>
      <w:rPr>
        <w:b/>
        <w:bCs/>
        <w:i/>
        <w:iCs/>
        <w:position w:val="0"/>
        <w:lang w:val="en-US"/>
      </w:rPr>
    </w:lvl>
    <w:lvl w:ilvl="1">
      <w:start w:val="1"/>
      <w:numFmt w:val="bullet"/>
      <w:lvlText w:val="o"/>
      <w:lvlJc w:val="left"/>
      <w:rPr>
        <w:b/>
        <w:bCs/>
        <w:i/>
        <w:iCs/>
        <w:position w:val="0"/>
        <w:lang w:val="en-US"/>
      </w:rPr>
    </w:lvl>
    <w:lvl w:ilvl="2">
      <w:start w:val="1"/>
      <w:numFmt w:val="bullet"/>
      <w:lvlText w:val="▪"/>
      <w:lvlJc w:val="left"/>
      <w:rPr>
        <w:b/>
        <w:bCs/>
        <w:i/>
        <w:iCs/>
        <w:position w:val="0"/>
        <w:lang w:val="en-US"/>
      </w:rPr>
    </w:lvl>
    <w:lvl w:ilvl="3">
      <w:start w:val="1"/>
      <w:numFmt w:val="bullet"/>
      <w:lvlText w:val="•"/>
      <w:lvlJc w:val="left"/>
      <w:rPr>
        <w:b/>
        <w:bCs/>
        <w:i/>
        <w:iCs/>
        <w:position w:val="0"/>
        <w:lang w:val="en-US"/>
      </w:rPr>
    </w:lvl>
    <w:lvl w:ilvl="4">
      <w:start w:val="1"/>
      <w:numFmt w:val="bullet"/>
      <w:lvlText w:val="o"/>
      <w:lvlJc w:val="left"/>
      <w:rPr>
        <w:b/>
        <w:bCs/>
        <w:i/>
        <w:iCs/>
        <w:position w:val="0"/>
        <w:lang w:val="en-US"/>
      </w:rPr>
    </w:lvl>
    <w:lvl w:ilvl="5">
      <w:start w:val="1"/>
      <w:numFmt w:val="bullet"/>
      <w:lvlText w:val="▪"/>
      <w:lvlJc w:val="left"/>
      <w:rPr>
        <w:b/>
        <w:bCs/>
        <w:i/>
        <w:iCs/>
        <w:position w:val="0"/>
        <w:lang w:val="en-US"/>
      </w:rPr>
    </w:lvl>
    <w:lvl w:ilvl="6">
      <w:start w:val="1"/>
      <w:numFmt w:val="bullet"/>
      <w:lvlText w:val="•"/>
      <w:lvlJc w:val="left"/>
      <w:rPr>
        <w:b/>
        <w:bCs/>
        <w:i/>
        <w:iCs/>
        <w:position w:val="0"/>
        <w:lang w:val="en-US"/>
      </w:rPr>
    </w:lvl>
    <w:lvl w:ilvl="7">
      <w:start w:val="1"/>
      <w:numFmt w:val="bullet"/>
      <w:lvlText w:val="o"/>
      <w:lvlJc w:val="left"/>
      <w:rPr>
        <w:b/>
        <w:bCs/>
        <w:i/>
        <w:iCs/>
        <w:position w:val="0"/>
        <w:lang w:val="en-US"/>
      </w:rPr>
    </w:lvl>
    <w:lvl w:ilvl="8">
      <w:start w:val="1"/>
      <w:numFmt w:val="bullet"/>
      <w:lvlText w:val="▪"/>
      <w:lvlJc w:val="left"/>
      <w:rPr>
        <w:b/>
        <w:bCs/>
        <w:i/>
        <w:iCs/>
        <w:position w:val="0"/>
        <w:lang w:val="en-US"/>
      </w:rPr>
    </w:lvl>
  </w:abstractNum>
  <w:abstractNum w:abstractNumId="11">
    <w:nsid w:val="41BF00D6"/>
    <w:multiLevelType w:val="multilevel"/>
    <w:tmpl w:val="801E8D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2">
    <w:nsid w:val="4BC32CE0"/>
    <w:multiLevelType w:val="hybridMultilevel"/>
    <w:tmpl w:val="820C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063B47"/>
    <w:multiLevelType w:val="hybridMultilevel"/>
    <w:tmpl w:val="C5BC6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E53B18"/>
    <w:multiLevelType w:val="hybridMultilevel"/>
    <w:tmpl w:val="1C123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97399B"/>
    <w:multiLevelType w:val="multilevel"/>
    <w:tmpl w:val="5756E1E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nsid w:val="6F5971CD"/>
    <w:multiLevelType w:val="hybridMultilevel"/>
    <w:tmpl w:val="2C20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D1A42"/>
    <w:multiLevelType w:val="multilevel"/>
    <w:tmpl w:val="0CCC3638"/>
    <w:lvl w:ilvl="0">
      <w:numFmt w:val="bullet"/>
      <w:lvlText w:val="•"/>
      <w:lvlJc w:val="left"/>
      <w:rPr>
        <w:b/>
        <w:bCs/>
        <w:i/>
        <w:iCs/>
        <w:position w:val="0"/>
        <w:lang w:val="en-US"/>
      </w:rPr>
    </w:lvl>
    <w:lvl w:ilvl="1">
      <w:start w:val="1"/>
      <w:numFmt w:val="bullet"/>
      <w:lvlText w:val="o"/>
      <w:lvlJc w:val="left"/>
      <w:rPr>
        <w:b/>
        <w:bCs/>
        <w:i/>
        <w:iCs/>
        <w:position w:val="0"/>
        <w:lang w:val="en-US"/>
      </w:rPr>
    </w:lvl>
    <w:lvl w:ilvl="2">
      <w:start w:val="1"/>
      <w:numFmt w:val="bullet"/>
      <w:lvlText w:val="▪"/>
      <w:lvlJc w:val="left"/>
      <w:rPr>
        <w:b/>
        <w:bCs/>
        <w:i/>
        <w:iCs/>
        <w:position w:val="0"/>
        <w:lang w:val="en-US"/>
      </w:rPr>
    </w:lvl>
    <w:lvl w:ilvl="3">
      <w:start w:val="1"/>
      <w:numFmt w:val="bullet"/>
      <w:lvlText w:val="•"/>
      <w:lvlJc w:val="left"/>
      <w:rPr>
        <w:b/>
        <w:bCs/>
        <w:i/>
        <w:iCs/>
        <w:position w:val="0"/>
        <w:lang w:val="en-US"/>
      </w:rPr>
    </w:lvl>
    <w:lvl w:ilvl="4">
      <w:start w:val="1"/>
      <w:numFmt w:val="bullet"/>
      <w:lvlText w:val="o"/>
      <w:lvlJc w:val="left"/>
      <w:rPr>
        <w:b/>
        <w:bCs/>
        <w:i/>
        <w:iCs/>
        <w:position w:val="0"/>
        <w:lang w:val="en-US"/>
      </w:rPr>
    </w:lvl>
    <w:lvl w:ilvl="5">
      <w:start w:val="1"/>
      <w:numFmt w:val="bullet"/>
      <w:lvlText w:val="▪"/>
      <w:lvlJc w:val="left"/>
      <w:rPr>
        <w:b/>
        <w:bCs/>
        <w:i/>
        <w:iCs/>
        <w:position w:val="0"/>
        <w:lang w:val="en-US"/>
      </w:rPr>
    </w:lvl>
    <w:lvl w:ilvl="6">
      <w:start w:val="1"/>
      <w:numFmt w:val="bullet"/>
      <w:lvlText w:val="•"/>
      <w:lvlJc w:val="left"/>
      <w:rPr>
        <w:b/>
        <w:bCs/>
        <w:i/>
        <w:iCs/>
        <w:position w:val="0"/>
        <w:lang w:val="en-US"/>
      </w:rPr>
    </w:lvl>
    <w:lvl w:ilvl="7">
      <w:start w:val="1"/>
      <w:numFmt w:val="bullet"/>
      <w:lvlText w:val="o"/>
      <w:lvlJc w:val="left"/>
      <w:rPr>
        <w:b/>
        <w:bCs/>
        <w:i/>
        <w:iCs/>
        <w:position w:val="0"/>
        <w:lang w:val="en-US"/>
      </w:rPr>
    </w:lvl>
    <w:lvl w:ilvl="8">
      <w:start w:val="1"/>
      <w:numFmt w:val="bullet"/>
      <w:lvlText w:val="▪"/>
      <w:lvlJc w:val="left"/>
      <w:rPr>
        <w:b/>
        <w:bCs/>
        <w:i/>
        <w:iCs/>
        <w:position w:val="0"/>
        <w:lang w:val="en-US"/>
      </w:rPr>
    </w:lvl>
  </w:abstractNum>
  <w:num w:numId="1">
    <w:abstractNumId w:val="8"/>
  </w:num>
  <w:num w:numId="2">
    <w:abstractNumId w:val="0"/>
  </w:num>
  <w:num w:numId="3">
    <w:abstractNumId w:val="5"/>
  </w:num>
  <w:num w:numId="4">
    <w:abstractNumId w:val="9"/>
  </w:num>
  <w:num w:numId="5">
    <w:abstractNumId w:val="6"/>
  </w:num>
  <w:num w:numId="6">
    <w:abstractNumId w:val="16"/>
  </w:num>
  <w:num w:numId="7">
    <w:abstractNumId w:val="12"/>
  </w:num>
  <w:num w:numId="8">
    <w:abstractNumId w:val="7"/>
  </w:num>
  <w:num w:numId="9">
    <w:abstractNumId w:val="1"/>
  </w:num>
  <w:num w:numId="10">
    <w:abstractNumId w:val="15"/>
  </w:num>
  <w:num w:numId="11">
    <w:abstractNumId w:val="11"/>
  </w:num>
  <w:num w:numId="12">
    <w:abstractNumId w:val="3"/>
  </w:num>
  <w:num w:numId="13">
    <w:abstractNumId w:val="13"/>
  </w:num>
  <w:num w:numId="14">
    <w:abstractNumId w:val="4"/>
  </w:num>
  <w:num w:numId="15">
    <w:abstractNumId w:val="14"/>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1"/>
    <w:rsid w:val="000052AE"/>
    <w:rsid w:val="00005AC4"/>
    <w:rsid w:val="00020AD0"/>
    <w:rsid w:val="00025110"/>
    <w:rsid w:val="00035202"/>
    <w:rsid w:val="00042633"/>
    <w:rsid w:val="000560D0"/>
    <w:rsid w:val="00061313"/>
    <w:rsid w:val="00063E87"/>
    <w:rsid w:val="0007721F"/>
    <w:rsid w:val="0009313F"/>
    <w:rsid w:val="000A3235"/>
    <w:rsid w:val="000F642B"/>
    <w:rsid w:val="00112FE4"/>
    <w:rsid w:val="00123352"/>
    <w:rsid w:val="001368E5"/>
    <w:rsid w:val="00167D1E"/>
    <w:rsid w:val="00191CE5"/>
    <w:rsid w:val="001C6061"/>
    <w:rsid w:val="001D7751"/>
    <w:rsid w:val="001F5494"/>
    <w:rsid w:val="00281CD7"/>
    <w:rsid w:val="00292474"/>
    <w:rsid w:val="002A085F"/>
    <w:rsid w:val="002A3E2E"/>
    <w:rsid w:val="002A7521"/>
    <w:rsid w:val="002C443A"/>
    <w:rsid w:val="002D544B"/>
    <w:rsid w:val="003132EE"/>
    <w:rsid w:val="00313BAF"/>
    <w:rsid w:val="00346C10"/>
    <w:rsid w:val="00361405"/>
    <w:rsid w:val="00364D6F"/>
    <w:rsid w:val="00392713"/>
    <w:rsid w:val="00431DD5"/>
    <w:rsid w:val="00442289"/>
    <w:rsid w:val="00444C05"/>
    <w:rsid w:val="00496371"/>
    <w:rsid w:val="004A064A"/>
    <w:rsid w:val="004A3B4E"/>
    <w:rsid w:val="004C48BA"/>
    <w:rsid w:val="004D0198"/>
    <w:rsid w:val="004E160D"/>
    <w:rsid w:val="004F12F1"/>
    <w:rsid w:val="00517A56"/>
    <w:rsid w:val="005241CD"/>
    <w:rsid w:val="005330FC"/>
    <w:rsid w:val="005409E0"/>
    <w:rsid w:val="00547E10"/>
    <w:rsid w:val="00557750"/>
    <w:rsid w:val="005619D7"/>
    <w:rsid w:val="005A1F3B"/>
    <w:rsid w:val="005D0602"/>
    <w:rsid w:val="005D3242"/>
    <w:rsid w:val="005E242B"/>
    <w:rsid w:val="0065090C"/>
    <w:rsid w:val="00656076"/>
    <w:rsid w:val="00664931"/>
    <w:rsid w:val="0067082B"/>
    <w:rsid w:val="0067141F"/>
    <w:rsid w:val="006A6299"/>
    <w:rsid w:val="006B7BDA"/>
    <w:rsid w:val="006D23BE"/>
    <w:rsid w:val="006F655E"/>
    <w:rsid w:val="00717D24"/>
    <w:rsid w:val="007632D4"/>
    <w:rsid w:val="0076608B"/>
    <w:rsid w:val="00767B88"/>
    <w:rsid w:val="00767EB2"/>
    <w:rsid w:val="007753B2"/>
    <w:rsid w:val="00780417"/>
    <w:rsid w:val="007A6CAF"/>
    <w:rsid w:val="007C2C0F"/>
    <w:rsid w:val="007D5EFA"/>
    <w:rsid w:val="007E28B3"/>
    <w:rsid w:val="007F3DE0"/>
    <w:rsid w:val="007F4886"/>
    <w:rsid w:val="0083757B"/>
    <w:rsid w:val="00845BFF"/>
    <w:rsid w:val="0084765E"/>
    <w:rsid w:val="00863FD8"/>
    <w:rsid w:val="0086475C"/>
    <w:rsid w:val="008703A5"/>
    <w:rsid w:val="00876FC5"/>
    <w:rsid w:val="00886337"/>
    <w:rsid w:val="008D26CB"/>
    <w:rsid w:val="008E2C8A"/>
    <w:rsid w:val="008F7A00"/>
    <w:rsid w:val="00912103"/>
    <w:rsid w:val="00914678"/>
    <w:rsid w:val="00917F5E"/>
    <w:rsid w:val="00925734"/>
    <w:rsid w:val="00946643"/>
    <w:rsid w:val="009741ED"/>
    <w:rsid w:val="009972E0"/>
    <w:rsid w:val="009A19D4"/>
    <w:rsid w:val="009B0262"/>
    <w:rsid w:val="009B23E3"/>
    <w:rsid w:val="009E15BE"/>
    <w:rsid w:val="00A005EF"/>
    <w:rsid w:val="00A0095C"/>
    <w:rsid w:val="00A36AE9"/>
    <w:rsid w:val="00AE08F1"/>
    <w:rsid w:val="00AF3735"/>
    <w:rsid w:val="00B042C5"/>
    <w:rsid w:val="00B058C0"/>
    <w:rsid w:val="00B10C71"/>
    <w:rsid w:val="00B17BEC"/>
    <w:rsid w:val="00B3249D"/>
    <w:rsid w:val="00B329A5"/>
    <w:rsid w:val="00B539B9"/>
    <w:rsid w:val="00B74BB9"/>
    <w:rsid w:val="00B84285"/>
    <w:rsid w:val="00B90310"/>
    <w:rsid w:val="00BB47EA"/>
    <w:rsid w:val="00BC4BCD"/>
    <w:rsid w:val="00BC53A1"/>
    <w:rsid w:val="00BC713F"/>
    <w:rsid w:val="00BD163A"/>
    <w:rsid w:val="00BD4CCF"/>
    <w:rsid w:val="00BD740A"/>
    <w:rsid w:val="00BE0351"/>
    <w:rsid w:val="00C45EDF"/>
    <w:rsid w:val="00C51552"/>
    <w:rsid w:val="00C51CB1"/>
    <w:rsid w:val="00C66448"/>
    <w:rsid w:val="00C74442"/>
    <w:rsid w:val="00CA25DE"/>
    <w:rsid w:val="00CC42E6"/>
    <w:rsid w:val="00CC6AFC"/>
    <w:rsid w:val="00CD16D5"/>
    <w:rsid w:val="00CD4A1F"/>
    <w:rsid w:val="00CF4C1F"/>
    <w:rsid w:val="00D10265"/>
    <w:rsid w:val="00D205A2"/>
    <w:rsid w:val="00D34D04"/>
    <w:rsid w:val="00D701D3"/>
    <w:rsid w:val="00D75294"/>
    <w:rsid w:val="00D90FAC"/>
    <w:rsid w:val="00D9435F"/>
    <w:rsid w:val="00D9499E"/>
    <w:rsid w:val="00DA6918"/>
    <w:rsid w:val="00DB3034"/>
    <w:rsid w:val="00DE5B2F"/>
    <w:rsid w:val="00E02E43"/>
    <w:rsid w:val="00E5381A"/>
    <w:rsid w:val="00E65D06"/>
    <w:rsid w:val="00E90D7A"/>
    <w:rsid w:val="00E975E4"/>
    <w:rsid w:val="00EA7E61"/>
    <w:rsid w:val="00EB3DC3"/>
    <w:rsid w:val="00EC04D1"/>
    <w:rsid w:val="00ED340E"/>
    <w:rsid w:val="00F0416A"/>
    <w:rsid w:val="00F04818"/>
    <w:rsid w:val="00F47242"/>
    <w:rsid w:val="00F541C9"/>
    <w:rsid w:val="00F63F54"/>
    <w:rsid w:val="00F670A4"/>
    <w:rsid w:val="00F70090"/>
    <w:rsid w:val="00F93675"/>
    <w:rsid w:val="00F947A6"/>
    <w:rsid w:val="00FA28ED"/>
    <w:rsid w:val="00FB45BF"/>
    <w:rsid w:val="00FC1564"/>
    <w:rsid w:val="00FC7F66"/>
    <w:rsid w:val="00FE44A8"/>
    <w:rsid w:val="00FF6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5717A"/>
  <w15:docId w15:val="{4A58FC4D-66FA-4381-9AEC-03E3B666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D1"/>
    <w:rPr>
      <w:rFonts w:ascii="Tahoma" w:hAnsi="Tahoma" w:cs="Tahoma"/>
      <w:sz w:val="16"/>
      <w:szCs w:val="16"/>
    </w:rPr>
  </w:style>
  <w:style w:type="paragraph" w:styleId="ListParagraph">
    <w:name w:val="List Paragraph"/>
    <w:basedOn w:val="Normal"/>
    <w:uiPriority w:val="34"/>
    <w:qFormat/>
    <w:rsid w:val="00035202"/>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NoSpacing">
    <w:name w:val="No Spacing"/>
    <w:uiPriority w:val="1"/>
    <w:qFormat/>
    <w:rsid w:val="00BC4BCD"/>
    <w:pPr>
      <w:spacing w:after="0" w:line="240" w:lineRule="auto"/>
    </w:pPr>
  </w:style>
  <w:style w:type="paragraph" w:customStyle="1" w:styleId="Body">
    <w:name w:val="Body"/>
    <w:rsid w:val="00766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styleId="TableGrid">
    <w:name w:val="Table Grid"/>
    <w:basedOn w:val="TableNormal"/>
    <w:uiPriority w:val="59"/>
    <w:rsid w:val="0076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775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paragraph" w:styleId="Header">
    <w:name w:val="header"/>
    <w:basedOn w:val="Normal"/>
    <w:link w:val="HeaderChar"/>
    <w:uiPriority w:val="99"/>
    <w:unhideWhenUsed/>
    <w:rsid w:val="001F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494"/>
  </w:style>
  <w:style w:type="paragraph" w:styleId="Footer">
    <w:name w:val="footer"/>
    <w:basedOn w:val="Normal"/>
    <w:link w:val="FooterChar"/>
    <w:uiPriority w:val="99"/>
    <w:unhideWhenUsed/>
    <w:rsid w:val="001F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27080213F264DBBBF50D20B8418D2" ma:contentTypeVersion="3" ma:contentTypeDescription="Create a new document." ma:contentTypeScope="" ma:versionID="c520536b0f10aacf9d168421bd12ebcd">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81CE-68D2-47BA-A4FF-00F0AF8A8735}">
  <ds:schemaRefs>
    <ds:schemaRef ds:uri="http://schemas.microsoft.com/sharepoint/v3/contenttype/forms"/>
  </ds:schemaRefs>
</ds:datastoreItem>
</file>

<file path=customXml/itemProps2.xml><?xml version="1.0" encoding="utf-8"?>
<ds:datastoreItem xmlns:ds="http://schemas.openxmlformats.org/officeDocument/2006/customXml" ds:itemID="{26D23EDC-0708-4EB6-8A95-F9E4D8E6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4F2787-3EFF-43E8-A530-483ABDA92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4F36C-8F25-475F-B8C0-4B2572F5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PASOMA</cp:lastModifiedBy>
  <cp:revision>2</cp:revision>
  <cp:lastPrinted>2014-11-14T14:21:00Z</cp:lastPrinted>
  <dcterms:created xsi:type="dcterms:W3CDTF">2017-01-11T11:05:00Z</dcterms:created>
  <dcterms:modified xsi:type="dcterms:W3CDTF">2017-01-11T11:05:00Z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0x0101007C027080213F264DBBBF50D20B8418D2</vt:lpwstr>
  </property>
</Properties>
</file>