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34A98" w14:textId="77777777" w:rsidR="00DC5F45" w:rsidRDefault="008D089C">
      <w:pPr>
        <w:pStyle w:val="Body"/>
        <w:jc w:val="center"/>
      </w:pPr>
      <w:bookmarkStart w:id="0" w:name="_GoBack"/>
      <w:bookmarkEnd w:id="0"/>
      <w:r>
        <w:t>INTER-AGENCY STANDING COMMITTEE</w:t>
      </w:r>
    </w:p>
    <w:p w14:paraId="54317E90" w14:textId="77777777" w:rsidR="00DC5F45" w:rsidRDefault="008D089C">
      <w:pPr>
        <w:pStyle w:val="Body"/>
        <w:jc w:val="center"/>
      </w:pPr>
      <w:r>
        <w:t>PRINCIPALS MEETING</w:t>
      </w:r>
    </w:p>
    <w:p w14:paraId="09D12FE2" w14:textId="77777777" w:rsidR="00DC5F45" w:rsidRDefault="00DC5F45">
      <w:pPr>
        <w:pStyle w:val="Body"/>
        <w:jc w:val="center"/>
      </w:pPr>
    </w:p>
    <w:p w14:paraId="3926B536" w14:textId="6553E36D" w:rsidR="00377609" w:rsidRDefault="008D089C" w:rsidP="00377609">
      <w:pPr>
        <w:pStyle w:val="Body"/>
        <w:spacing w:after="200"/>
        <w:jc w:val="center"/>
        <w:rPr>
          <w:rFonts w:cs="Times New Roman"/>
          <w:b/>
          <w:bCs/>
          <w:color w:val="365F91"/>
          <w:u w:color="365F91"/>
        </w:rPr>
      </w:pPr>
      <w:r w:rsidRPr="00377609">
        <w:rPr>
          <w:rFonts w:cs="Times New Roman"/>
          <w:b/>
          <w:bCs/>
          <w:color w:val="365F91"/>
          <w:u w:color="365F91"/>
        </w:rPr>
        <w:t xml:space="preserve"> Summary Record</w:t>
      </w:r>
    </w:p>
    <w:p w14:paraId="1D02B6BB" w14:textId="77777777" w:rsidR="00DC5F45" w:rsidRPr="00377609" w:rsidRDefault="008D089C" w:rsidP="00377609">
      <w:pPr>
        <w:pStyle w:val="Body"/>
        <w:spacing w:after="200"/>
        <w:jc w:val="center"/>
        <w:rPr>
          <w:rFonts w:cs="Times New Roman"/>
          <w:b/>
          <w:bCs/>
          <w:color w:val="365F91"/>
          <w:u w:color="365F91"/>
        </w:rPr>
      </w:pPr>
      <w:r w:rsidRPr="00377609">
        <w:rPr>
          <w:rFonts w:cs="Times New Roman"/>
          <w:b/>
          <w:bCs/>
          <w:color w:val="365F91"/>
          <w:u w:color="365F91"/>
        </w:rPr>
        <w:t>6 December 2016</w:t>
      </w:r>
    </w:p>
    <w:p w14:paraId="0C28DCCF" w14:textId="77777777" w:rsidR="00DC5F45" w:rsidRDefault="008D089C" w:rsidP="00377609">
      <w:pPr>
        <w:pStyle w:val="Body"/>
        <w:jc w:val="center"/>
        <w:rPr>
          <w:rFonts w:cs="Times New Roman"/>
          <w:b/>
          <w:bCs/>
          <w:color w:val="365F91"/>
          <w:u w:color="365F91"/>
        </w:rPr>
      </w:pPr>
      <w:r w:rsidRPr="00377609">
        <w:rPr>
          <w:rFonts w:cs="Times New Roman"/>
          <w:b/>
          <w:bCs/>
          <w:color w:val="365F91"/>
          <w:u w:color="365F91"/>
        </w:rPr>
        <w:t>Co-host: UNHCR and UNICEF</w:t>
      </w:r>
    </w:p>
    <w:p w14:paraId="16AB9F82" w14:textId="77777777" w:rsidR="00377609" w:rsidRPr="00377609" w:rsidRDefault="00377609" w:rsidP="00377609">
      <w:pPr>
        <w:pStyle w:val="Body"/>
        <w:jc w:val="both"/>
        <w:rPr>
          <w:rFonts w:cs="Times New Roman"/>
        </w:rPr>
      </w:pPr>
    </w:p>
    <w:p w14:paraId="5112FB71" w14:textId="77777777" w:rsidR="00DC5F45" w:rsidRPr="00377609" w:rsidRDefault="008D089C" w:rsidP="00377609">
      <w:pPr>
        <w:pStyle w:val="BodyA"/>
        <w:tabs>
          <w:tab w:val="left" w:pos="567"/>
          <w:tab w:val="left" w:pos="992"/>
        </w:tabs>
        <w:spacing w:after="240" w:line="280" w:lineRule="exact"/>
        <w:jc w:val="both"/>
        <w:rPr>
          <w:rFonts w:ascii="Times New Roman" w:eastAsia="Times New Roman" w:hAnsi="Times New Roman" w:cs="Times New Roman"/>
          <w:b/>
          <w:bCs/>
          <w:sz w:val="24"/>
          <w:szCs w:val="24"/>
          <w:u w:color="365F91"/>
        </w:rPr>
      </w:pPr>
      <w:r w:rsidRPr="00377609">
        <w:rPr>
          <w:rFonts w:ascii="Times New Roman" w:hAnsi="Times New Roman" w:cs="Times New Roman"/>
          <w:b/>
          <w:bCs/>
          <w:color w:val="1F497D"/>
          <w:sz w:val="24"/>
          <w:szCs w:val="24"/>
          <w:u w:color="1F497D"/>
        </w:rPr>
        <w:t>Session 1:  Operations</w:t>
      </w:r>
      <w:r w:rsidRPr="00377609">
        <w:rPr>
          <w:rFonts w:ascii="Times New Roman" w:hAnsi="Times New Roman" w:cs="Times New Roman"/>
          <w:b/>
          <w:bCs/>
          <w:color w:val="365F91"/>
          <w:sz w:val="24"/>
          <w:szCs w:val="24"/>
          <w:u w:color="365F91"/>
        </w:rPr>
        <w:t>: Opportunities and Challenges</w:t>
      </w:r>
    </w:p>
    <w:p w14:paraId="60450740" w14:textId="4D9B2237" w:rsidR="00D3290E" w:rsidRDefault="00D3290E" w:rsidP="00B8141A">
      <w:pPr>
        <w:pStyle w:val="Body"/>
        <w:jc w:val="both"/>
        <w:rPr>
          <w:rFonts w:cs="Times New Roman"/>
        </w:rPr>
      </w:pPr>
      <w:r>
        <w:rPr>
          <w:rFonts w:cs="Times New Roman"/>
        </w:rPr>
        <w:t xml:space="preserve">Discussion focused on the IASC’s role and relevance in an evolving, and increasingly complex </w:t>
      </w:r>
      <w:r w:rsidR="002362B9">
        <w:rPr>
          <w:rFonts w:cs="Times New Roman"/>
        </w:rPr>
        <w:t xml:space="preserve">operating </w:t>
      </w:r>
      <w:r>
        <w:rPr>
          <w:rFonts w:cs="Times New Roman"/>
        </w:rPr>
        <w:t xml:space="preserve">environment. Building on an initial conversation </w:t>
      </w:r>
      <w:r w:rsidR="00B8141A">
        <w:rPr>
          <w:rFonts w:cs="Times New Roman"/>
        </w:rPr>
        <w:t>during</w:t>
      </w:r>
      <w:r>
        <w:rPr>
          <w:rFonts w:cs="Times New Roman"/>
        </w:rPr>
        <w:t xml:space="preserve"> dinner on 5 December, Principals highlighted both the challenges and opportunities of t</w:t>
      </w:r>
      <w:r w:rsidR="008D1AA9">
        <w:rPr>
          <w:rFonts w:cs="Times New Roman"/>
        </w:rPr>
        <w:t>his transitional time, marked by</w:t>
      </w:r>
      <w:r>
        <w:rPr>
          <w:rFonts w:cs="Times New Roman"/>
        </w:rPr>
        <w:t xml:space="preserve"> changes in the political landscape, new social dynamics, the continued rise in populism, xenophobia and violent extremism, increased fragility, growing humanitarian needs</w:t>
      </w:r>
      <w:r w:rsidR="002362B9">
        <w:rPr>
          <w:rFonts w:cs="Times New Roman"/>
        </w:rPr>
        <w:t>, attacks on aid workers and vital facilities and infrastructure,</w:t>
      </w:r>
      <w:r>
        <w:rPr>
          <w:rFonts w:cs="Times New Roman"/>
        </w:rPr>
        <w:t xml:space="preserve"> and constrain</w:t>
      </w:r>
      <w:r w:rsidR="002362B9">
        <w:rPr>
          <w:rFonts w:cs="Times New Roman"/>
        </w:rPr>
        <w:t>ts to</w:t>
      </w:r>
      <w:r w:rsidR="000631B9">
        <w:rPr>
          <w:rFonts w:cs="Times New Roman"/>
        </w:rPr>
        <w:t xml:space="preserve"> </w:t>
      </w:r>
      <w:r w:rsidR="00954B8D">
        <w:rPr>
          <w:rFonts w:cs="Times New Roman"/>
        </w:rPr>
        <w:t xml:space="preserve">access and </w:t>
      </w:r>
      <w:r>
        <w:rPr>
          <w:rFonts w:cs="Times New Roman"/>
        </w:rPr>
        <w:t xml:space="preserve">delivery. </w:t>
      </w:r>
      <w:r w:rsidR="008D1AA9">
        <w:rPr>
          <w:rFonts w:cs="Times New Roman"/>
        </w:rPr>
        <w:t xml:space="preserve">Concurrently, with reduced financial resources, humanitarian actors </w:t>
      </w:r>
      <w:r w:rsidR="00C52202">
        <w:rPr>
          <w:rFonts w:cs="Times New Roman"/>
        </w:rPr>
        <w:t>face</w:t>
      </w:r>
      <w:r w:rsidR="008D1AA9">
        <w:rPr>
          <w:rFonts w:cs="Times New Roman"/>
        </w:rPr>
        <w:t xml:space="preserve"> increased donor demands to see the value an</w:t>
      </w:r>
      <w:r w:rsidR="00954B8D">
        <w:rPr>
          <w:rFonts w:cs="Times New Roman"/>
        </w:rPr>
        <w:t>d impact of what they spend, as well as</w:t>
      </w:r>
      <w:r w:rsidR="008D1AA9">
        <w:rPr>
          <w:rFonts w:cs="Times New Roman"/>
        </w:rPr>
        <w:t xml:space="preserve"> donor scrutiny on fulfillment of Grand Bargain commitments. </w:t>
      </w:r>
    </w:p>
    <w:p w14:paraId="5333FCFD" w14:textId="77777777" w:rsidR="002362B9" w:rsidRDefault="002362B9" w:rsidP="00377609">
      <w:pPr>
        <w:pStyle w:val="Body"/>
        <w:jc w:val="both"/>
        <w:rPr>
          <w:rFonts w:cs="Times New Roman"/>
        </w:rPr>
      </w:pPr>
    </w:p>
    <w:p w14:paraId="0C7D4E7B" w14:textId="1535DEAB" w:rsidR="00C52202" w:rsidRDefault="00C52202" w:rsidP="002009E2">
      <w:pPr>
        <w:pStyle w:val="Body"/>
        <w:jc w:val="both"/>
        <w:rPr>
          <w:rFonts w:cs="Times New Roman"/>
        </w:rPr>
      </w:pPr>
      <w:r>
        <w:rPr>
          <w:rFonts w:cs="Times New Roman"/>
        </w:rPr>
        <w:t>Principals reaffirmed the unique nature and added value of the IASC</w:t>
      </w:r>
      <w:r w:rsidR="00954B8D">
        <w:rPr>
          <w:rFonts w:cs="Times New Roman"/>
        </w:rPr>
        <w:t xml:space="preserve"> within the humanitarian ecosystem</w:t>
      </w:r>
      <w:r>
        <w:rPr>
          <w:rFonts w:cs="Times New Roman"/>
        </w:rPr>
        <w:t xml:space="preserve">, as bringing together key humanitarian actors, based on shared values and principles, and </w:t>
      </w:r>
      <w:r w:rsidR="000631B9">
        <w:rPr>
          <w:rFonts w:cs="Times New Roman"/>
        </w:rPr>
        <w:t>as a platform for learning, advocating, supporting and inspiring individual and collective action.</w:t>
      </w:r>
      <w:r>
        <w:rPr>
          <w:rFonts w:cs="Times New Roman"/>
        </w:rPr>
        <w:t xml:space="preserve"> At the same time, while referencing the positive outcome of Humanitarian Reform (2006) and the Transformative Agenda (2010), the need for further change was emphasized, </w:t>
      </w:r>
      <w:r w:rsidR="00954B8D">
        <w:rPr>
          <w:rFonts w:cs="Times New Roman"/>
        </w:rPr>
        <w:t xml:space="preserve">including </w:t>
      </w:r>
      <w:r w:rsidR="002362B9">
        <w:rPr>
          <w:rFonts w:cs="Times New Roman"/>
        </w:rPr>
        <w:t xml:space="preserve">to address persistent </w:t>
      </w:r>
      <w:r>
        <w:rPr>
          <w:rFonts w:cs="Times New Roman"/>
        </w:rPr>
        <w:t>institu</w:t>
      </w:r>
      <w:r w:rsidR="00954B8D">
        <w:rPr>
          <w:rFonts w:cs="Times New Roman"/>
        </w:rPr>
        <w:t xml:space="preserve">tional factors, such as competition for resources, agency interests, </w:t>
      </w:r>
      <w:r w:rsidR="002362B9">
        <w:rPr>
          <w:rFonts w:cs="Times New Roman"/>
        </w:rPr>
        <w:t>policy incoherence</w:t>
      </w:r>
      <w:r w:rsidR="002009E2">
        <w:rPr>
          <w:rFonts w:cs="Times New Roman"/>
        </w:rPr>
        <w:t>.</w:t>
      </w:r>
      <w:r w:rsidR="002362B9">
        <w:rPr>
          <w:rFonts w:cs="Times New Roman"/>
        </w:rPr>
        <w:t xml:space="preserve"> </w:t>
      </w:r>
      <w:r w:rsidR="002009E2">
        <w:rPr>
          <w:rFonts w:cs="Times New Roman"/>
        </w:rPr>
        <w:t>P</w:t>
      </w:r>
      <w:r w:rsidR="00954B8D">
        <w:rPr>
          <w:rFonts w:cs="Times New Roman"/>
        </w:rPr>
        <w:t>roliferating and heavy struc</w:t>
      </w:r>
      <w:r w:rsidR="003A2F63">
        <w:rPr>
          <w:rFonts w:cs="Times New Roman"/>
        </w:rPr>
        <w:t>tures at different levels</w:t>
      </w:r>
      <w:r w:rsidR="002009E2">
        <w:rPr>
          <w:rFonts w:cs="Times New Roman"/>
        </w:rPr>
        <w:t xml:space="preserve"> were noted and, in this context, o</w:t>
      </w:r>
      <w:r w:rsidR="00961DEC">
        <w:rPr>
          <w:rFonts w:cs="Times New Roman"/>
        </w:rPr>
        <w:t xml:space="preserve">ne Principal suggested rationalizing the cluster system. </w:t>
      </w:r>
      <w:r w:rsidR="003A2F63">
        <w:rPr>
          <w:rFonts w:cs="Times New Roman"/>
        </w:rPr>
        <w:t>All of these</w:t>
      </w:r>
      <w:r w:rsidR="00954B8D">
        <w:rPr>
          <w:rFonts w:cs="Times New Roman"/>
        </w:rPr>
        <w:t xml:space="preserve"> </w:t>
      </w:r>
      <w:r w:rsidR="002009E2">
        <w:rPr>
          <w:rFonts w:cs="Times New Roman"/>
        </w:rPr>
        <w:t xml:space="preserve">factors </w:t>
      </w:r>
      <w:r w:rsidR="00954B8D">
        <w:rPr>
          <w:rFonts w:cs="Times New Roman"/>
        </w:rPr>
        <w:t xml:space="preserve">impact on the IASC’s working practices and efficiency.  </w:t>
      </w:r>
    </w:p>
    <w:p w14:paraId="3E386C9F" w14:textId="77777777" w:rsidR="002362B9" w:rsidRDefault="002362B9" w:rsidP="00377609">
      <w:pPr>
        <w:pStyle w:val="Body"/>
        <w:jc w:val="both"/>
        <w:rPr>
          <w:rFonts w:cs="Times New Roman"/>
        </w:rPr>
      </w:pPr>
    </w:p>
    <w:p w14:paraId="15ABE27C" w14:textId="4EABF39A" w:rsidR="00DC5F45" w:rsidRPr="00377609" w:rsidRDefault="002362B9" w:rsidP="003F748F">
      <w:pPr>
        <w:pStyle w:val="Body"/>
        <w:jc w:val="both"/>
        <w:rPr>
          <w:rFonts w:cs="Times New Roman"/>
        </w:rPr>
      </w:pPr>
      <w:r>
        <w:rPr>
          <w:rFonts w:cs="Times New Roman"/>
        </w:rPr>
        <w:t>Principals reiterated the need, particularly following the World Humanitarian Summit</w:t>
      </w:r>
      <w:r w:rsidR="000631B9">
        <w:rPr>
          <w:rFonts w:cs="Times New Roman"/>
        </w:rPr>
        <w:t xml:space="preserve"> and faced with growing frustration from some NGO partners</w:t>
      </w:r>
      <w:r>
        <w:rPr>
          <w:rFonts w:cs="Times New Roman"/>
        </w:rPr>
        <w:t>, to reach out and engage differently with a wide array of actors</w:t>
      </w:r>
      <w:r w:rsidR="00E0075F">
        <w:rPr>
          <w:rFonts w:cs="Times New Roman"/>
        </w:rPr>
        <w:t>, and across traditional silos</w:t>
      </w:r>
      <w:r>
        <w:rPr>
          <w:rFonts w:cs="Times New Roman"/>
        </w:rPr>
        <w:t xml:space="preserve">. The IASC must </w:t>
      </w:r>
      <w:r w:rsidR="001869DA">
        <w:rPr>
          <w:rFonts w:cs="Times New Roman"/>
        </w:rPr>
        <w:t xml:space="preserve">balance the challenges of manageable membership, with </w:t>
      </w:r>
      <w:r>
        <w:rPr>
          <w:rFonts w:cs="Times New Roman"/>
        </w:rPr>
        <w:t>enhance</w:t>
      </w:r>
      <w:r w:rsidR="001869DA">
        <w:rPr>
          <w:rFonts w:cs="Times New Roman"/>
        </w:rPr>
        <w:t>d</w:t>
      </w:r>
      <w:r>
        <w:rPr>
          <w:rFonts w:cs="Times New Roman"/>
        </w:rPr>
        <w:t xml:space="preserve"> inclusivity, and ensure that the IASC response is demand-driven, is </w:t>
      </w:r>
      <w:r w:rsidR="000631B9">
        <w:rPr>
          <w:rFonts w:cs="Times New Roman"/>
        </w:rPr>
        <w:t xml:space="preserve">proximate to and </w:t>
      </w:r>
      <w:r>
        <w:rPr>
          <w:rFonts w:cs="Times New Roman"/>
        </w:rPr>
        <w:t>informed by the actual needs of vulnerable populations</w:t>
      </w:r>
      <w:r w:rsidR="001869DA">
        <w:rPr>
          <w:rFonts w:cs="Times New Roman"/>
        </w:rPr>
        <w:t>. It must strengthen</w:t>
      </w:r>
      <w:r w:rsidR="000631B9">
        <w:rPr>
          <w:rFonts w:cs="Times New Roman"/>
        </w:rPr>
        <w:t xml:space="preserve"> </w:t>
      </w:r>
      <w:r w:rsidR="001869DA">
        <w:rPr>
          <w:rFonts w:cs="Times New Roman"/>
        </w:rPr>
        <w:t xml:space="preserve">its communication to and </w:t>
      </w:r>
      <w:r w:rsidR="000631B9">
        <w:rPr>
          <w:rFonts w:cs="Times New Roman"/>
        </w:rPr>
        <w:t xml:space="preserve">partnerships with, </w:t>
      </w:r>
      <w:r w:rsidR="000631B9" w:rsidRPr="001869DA">
        <w:rPr>
          <w:rFonts w:cs="Times New Roman"/>
          <w:i/>
        </w:rPr>
        <w:t>inter alia</w:t>
      </w:r>
      <w:r w:rsidR="000631B9">
        <w:rPr>
          <w:rFonts w:cs="Times New Roman"/>
        </w:rPr>
        <w:t>, the private sector, regional networks and Member States, connect with youth</w:t>
      </w:r>
      <w:r w:rsidR="003F748F">
        <w:rPr>
          <w:rFonts w:cs="Times New Roman"/>
        </w:rPr>
        <w:t>, faith-based communities, religious leaders as well as local and civil societies</w:t>
      </w:r>
      <w:r w:rsidR="000631B9">
        <w:rPr>
          <w:rFonts w:cs="Times New Roman"/>
        </w:rPr>
        <w:t xml:space="preserve">, and </w:t>
      </w:r>
      <w:r w:rsidR="00B8141A">
        <w:rPr>
          <w:rFonts w:cs="Times New Roman"/>
        </w:rPr>
        <w:t>with</w:t>
      </w:r>
      <w:r w:rsidR="001869DA">
        <w:rPr>
          <w:rFonts w:cs="Times New Roman"/>
        </w:rPr>
        <w:t xml:space="preserve"> </w:t>
      </w:r>
      <w:r w:rsidR="008364A4">
        <w:rPr>
          <w:rFonts w:cs="Times New Roman"/>
        </w:rPr>
        <w:t>specific groups</w:t>
      </w:r>
      <w:r w:rsidR="00B8141A">
        <w:rPr>
          <w:rFonts w:cs="Times New Roman"/>
        </w:rPr>
        <w:t xml:space="preserve"> most affected</w:t>
      </w:r>
      <w:r w:rsidR="008364A4">
        <w:rPr>
          <w:rFonts w:cs="Times New Roman"/>
        </w:rPr>
        <w:t>, including IDPs, women and girls</w:t>
      </w:r>
      <w:r w:rsidR="001869DA">
        <w:rPr>
          <w:rFonts w:cs="Times New Roman"/>
        </w:rPr>
        <w:t xml:space="preserve">. </w:t>
      </w:r>
    </w:p>
    <w:p w14:paraId="7E1C76E6" w14:textId="77777777" w:rsidR="00C1457A" w:rsidRDefault="00C1457A" w:rsidP="00377609">
      <w:pPr>
        <w:pStyle w:val="Body"/>
        <w:jc w:val="both"/>
        <w:rPr>
          <w:rFonts w:cs="Times New Roman"/>
        </w:rPr>
      </w:pPr>
    </w:p>
    <w:p w14:paraId="7740CF1C" w14:textId="117C95D9" w:rsidR="00C1457A" w:rsidRPr="00377609" w:rsidRDefault="001869DA" w:rsidP="00377609">
      <w:pPr>
        <w:pStyle w:val="Body"/>
        <w:jc w:val="both"/>
        <w:rPr>
          <w:rFonts w:cs="Times New Roman"/>
        </w:rPr>
      </w:pPr>
      <w:r>
        <w:rPr>
          <w:rFonts w:cs="Times New Roman"/>
        </w:rPr>
        <w:t>Such engagement, and clarity on the val</w:t>
      </w:r>
      <w:r w:rsidR="003A2F63">
        <w:rPr>
          <w:rFonts w:cs="Times New Roman"/>
        </w:rPr>
        <w:t xml:space="preserve">ues and principles of the IASC </w:t>
      </w:r>
      <w:r>
        <w:rPr>
          <w:rFonts w:cs="Times New Roman"/>
        </w:rPr>
        <w:t xml:space="preserve">can also enable strategic dialogue with key stakeholders. Many participants underscored the need to ‘stand </w:t>
      </w:r>
      <w:r w:rsidR="00935610">
        <w:rPr>
          <w:rFonts w:cs="Times New Roman"/>
        </w:rPr>
        <w:t>our ground on principled humanitarian action</w:t>
      </w:r>
      <w:r w:rsidR="00D96ADC">
        <w:rPr>
          <w:rFonts w:cs="Times New Roman"/>
        </w:rPr>
        <w:t>, common norms and laws</w:t>
      </w:r>
      <w:r w:rsidR="00935610">
        <w:rPr>
          <w:rFonts w:cs="Times New Roman"/>
        </w:rPr>
        <w:t>’, and use advocacy and the collective power of the IASC on be</w:t>
      </w:r>
      <w:r w:rsidR="000677BC">
        <w:rPr>
          <w:rFonts w:cs="Times New Roman"/>
        </w:rPr>
        <w:t>half of the people it serves</w:t>
      </w:r>
      <w:r w:rsidR="00935610">
        <w:rPr>
          <w:rFonts w:cs="Times New Roman"/>
        </w:rPr>
        <w:t xml:space="preserve"> to reaffirm their rights, reinforce IHL, and protect humanitarian staff in the field. This can mean difficult conversations with both donors and Member States, striking the right balance of courage, assertiveness and dialogue. </w:t>
      </w:r>
    </w:p>
    <w:p w14:paraId="53C32837" w14:textId="77777777" w:rsidR="003A2F63" w:rsidRDefault="00C1457A" w:rsidP="00377609">
      <w:pPr>
        <w:pStyle w:val="Body"/>
        <w:jc w:val="both"/>
        <w:rPr>
          <w:rFonts w:cs="Times New Roman"/>
        </w:rPr>
      </w:pPr>
      <w:r w:rsidRPr="00377609">
        <w:rPr>
          <w:rFonts w:cs="Times New Roman"/>
        </w:rPr>
        <w:t xml:space="preserve"> </w:t>
      </w:r>
    </w:p>
    <w:p w14:paraId="6D66472F" w14:textId="5069DAF8" w:rsidR="00935610" w:rsidRDefault="00935610" w:rsidP="00377609">
      <w:pPr>
        <w:pStyle w:val="Body"/>
        <w:jc w:val="both"/>
        <w:rPr>
          <w:rFonts w:cs="Times New Roman"/>
        </w:rPr>
      </w:pPr>
      <w:r>
        <w:rPr>
          <w:rFonts w:cs="Times New Roman"/>
        </w:rPr>
        <w:lastRenderedPageBreak/>
        <w:t xml:space="preserve">Principals </w:t>
      </w:r>
      <w:r w:rsidR="000677BC">
        <w:rPr>
          <w:rFonts w:cs="Times New Roman"/>
        </w:rPr>
        <w:t>requested that</w:t>
      </w:r>
      <w:r w:rsidR="00D96ADC">
        <w:rPr>
          <w:rFonts w:cs="Times New Roman"/>
        </w:rPr>
        <w:t xml:space="preserve"> </w:t>
      </w:r>
      <w:r w:rsidR="00D96ADC" w:rsidRPr="0061506B">
        <w:rPr>
          <w:rFonts w:cs="Times New Roman"/>
        </w:rPr>
        <w:t>a</w:t>
      </w:r>
      <w:r w:rsidR="00BD362A" w:rsidRPr="0061506B">
        <w:rPr>
          <w:rFonts w:cs="Times New Roman"/>
        </w:rPr>
        <w:t>n</w:t>
      </w:r>
      <w:r w:rsidR="00D96ADC">
        <w:rPr>
          <w:rFonts w:cs="Times New Roman"/>
        </w:rPr>
        <w:t xml:space="preserve"> </w:t>
      </w:r>
      <w:r w:rsidR="00E0075F">
        <w:rPr>
          <w:rFonts w:cs="Times New Roman"/>
        </w:rPr>
        <w:t xml:space="preserve">IASC Principals </w:t>
      </w:r>
      <w:r w:rsidR="000677BC">
        <w:rPr>
          <w:rFonts w:cs="Times New Roman"/>
        </w:rPr>
        <w:t>‘Retreat’</w:t>
      </w:r>
      <w:r w:rsidR="00D96ADC">
        <w:rPr>
          <w:rFonts w:cs="Times New Roman"/>
        </w:rPr>
        <w:t xml:space="preserve"> takes place</w:t>
      </w:r>
      <w:r w:rsidR="000677BC">
        <w:rPr>
          <w:rFonts w:cs="Times New Roman"/>
        </w:rPr>
        <w:t xml:space="preserve">, enabling frank discussion </w:t>
      </w:r>
      <w:r w:rsidR="00750DB1">
        <w:rPr>
          <w:rFonts w:cs="Times New Roman"/>
        </w:rPr>
        <w:t>of key changes to be made, and testing</w:t>
      </w:r>
      <w:r w:rsidR="000677BC">
        <w:rPr>
          <w:rFonts w:cs="Times New Roman"/>
        </w:rPr>
        <w:t xml:space="preserve"> propositions of how this might be achieved. They welcomed the potential to engage with the incoming Secretary-General on the role of the IASC, and to reinforce advocacy, operating space and delivery. </w:t>
      </w:r>
    </w:p>
    <w:p w14:paraId="07C5C439" w14:textId="77777777" w:rsidR="00AA49B4" w:rsidRPr="00377609" w:rsidRDefault="00AA49B4" w:rsidP="00377609">
      <w:pPr>
        <w:pStyle w:val="Body"/>
        <w:jc w:val="both"/>
        <w:rPr>
          <w:rFonts w:cs="Times New Roman"/>
        </w:rPr>
      </w:pPr>
    </w:p>
    <w:p w14:paraId="490572C8" w14:textId="26B68A4F" w:rsidR="00DC5F45" w:rsidRPr="00377609" w:rsidRDefault="00333A29" w:rsidP="00377609">
      <w:pPr>
        <w:pStyle w:val="BodyA"/>
        <w:tabs>
          <w:tab w:val="left" w:pos="567"/>
          <w:tab w:val="left" w:pos="992"/>
        </w:tabs>
        <w:spacing w:after="240" w:line="280" w:lineRule="exact"/>
        <w:jc w:val="both"/>
        <w:rPr>
          <w:rFonts w:ascii="Times New Roman" w:eastAsia="Times New Roman" w:hAnsi="Times New Roman" w:cs="Times New Roman"/>
          <w:b/>
          <w:bCs/>
          <w:sz w:val="24"/>
          <w:szCs w:val="24"/>
          <w:u w:color="365F91"/>
        </w:rPr>
      </w:pPr>
      <w:r>
        <w:rPr>
          <w:rFonts w:ascii="Times New Roman" w:hAnsi="Times New Roman" w:cs="Times New Roman"/>
          <w:b/>
          <w:bCs/>
          <w:sz w:val="24"/>
          <w:szCs w:val="24"/>
          <w:u w:color="365F91"/>
        </w:rPr>
        <w:t xml:space="preserve">The IASC </w:t>
      </w:r>
      <w:r w:rsidR="000677BC">
        <w:rPr>
          <w:rFonts w:ascii="Times New Roman" w:hAnsi="Times New Roman" w:cs="Times New Roman"/>
          <w:b/>
          <w:bCs/>
          <w:sz w:val="24"/>
          <w:szCs w:val="24"/>
          <w:u w:color="365F91"/>
        </w:rPr>
        <w:t xml:space="preserve">Principals agreed to: </w:t>
      </w:r>
    </w:p>
    <w:p w14:paraId="711145B5" w14:textId="524763C0" w:rsidR="009B5D98" w:rsidRPr="00AC61AB" w:rsidRDefault="000677BC" w:rsidP="003F748F">
      <w:pPr>
        <w:pStyle w:val="BodyA"/>
        <w:numPr>
          <w:ilvl w:val="0"/>
          <w:numId w:val="1"/>
        </w:numPr>
        <w:tabs>
          <w:tab w:val="left" w:pos="567"/>
          <w:tab w:val="left" w:pos="992"/>
        </w:tabs>
        <w:spacing w:after="240"/>
        <w:jc w:val="both"/>
        <w:rPr>
          <w:rFonts w:ascii="Times New Roman" w:hAnsi="Times New Roman" w:cs="Times New Roman"/>
          <w:b/>
          <w:bCs/>
          <w:i/>
          <w:iCs/>
          <w:color w:val="auto"/>
          <w:sz w:val="24"/>
          <w:szCs w:val="24"/>
          <w:u w:color="365F91"/>
        </w:rPr>
      </w:pPr>
      <w:r w:rsidRPr="00AC61AB">
        <w:rPr>
          <w:rFonts w:ascii="Times New Roman" w:hAnsi="Times New Roman" w:cs="Times New Roman"/>
          <w:i/>
          <w:iCs/>
          <w:color w:val="auto"/>
          <w:sz w:val="24"/>
          <w:szCs w:val="24"/>
          <w:u w:color="365F91"/>
        </w:rPr>
        <w:t>Convene a Principals-</w:t>
      </w:r>
      <w:r w:rsidR="004771F7" w:rsidRPr="00AC61AB">
        <w:rPr>
          <w:rFonts w:ascii="Times New Roman" w:hAnsi="Times New Roman" w:cs="Times New Roman"/>
          <w:i/>
          <w:iCs/>
          <w:color w:val="auto"/>
          <w:sz w:val="24"/>
          <w:szCs w:val="24"/>
          <w:u w:color="365F91"/>
        </w:rPr>
        <w:t>only R</w:t>
      </w:r>
      <w:r w:rsidR="008D089C" w:rsidRPr="00AC61AB">
        <w:rPr>
          <w:rFonts w:ascii="Times New Roman" w:hAnsi="Times New Roman" w:cs="Times New Roman"/>
          <w:i/>
          <w:iCs/>
          <w:color w:val="auto"/>
          <w:sz w:val="24"/>
          <w:szCs w:val="24"/>
          <w:u w:color="365F91"/>
        </w:rPr>
        <w:t>etreat</w:t>
      </w:r>
      <w:r w:rsidRPr="00AC61AB">
        <w:rPr>
          <w:rFonts w:ascii="Times New Roman" w:hAnsi="Times New Roman" w:cs="Times New Roman"/>
          <w:i/>
          <w:iCs/>
          <w:color w:val="auto"/>
          <w:sz w:val="24"/>
          <w:szCs w:val="24"/>
          <w:u w:color="365F91"/>
        </w:rPr>
        <w:t xml:space="preserve"> to </w:t>
      </w:r>
      <w:r w:rsidR="00BD362A">
        <w:rPr>
          <w:rFonts w:ascii="Times New Roman" w:hAnsi="Times New Roman" w:cs="Times New Roman"/>
          <w:i/>
          <w:iCs/>
          <w:color w:val="auto"/>
          <w:sz w:val="24"/>
          <w:szCs w:val="24"/>
          <w:u w:color="365F91"/>
        </w:rPr>
        <w:t>explore</w:t>
      </w:r>
      <w:r w:rsidR="008C1E7B">
        <w:rPr>
          <w:rFonts w:ascii="Times New Roman" w:hAnsi="Times New Roman" w:cs="Times New Roman"/>
          <w:i/>
          <w:iCs/>
          <w:color w:val="auto"/>
          <w:sz w:val="24"/>
          <w:szCs w:val="24"/>
          <w:u w:color="365F91"/>
        </w:rPr>
        <w:t xml:space="preserve"> </w:t>
      </w:r>
      <w:r w:rsidRPr="00AC61AB">
        <w:rPr>
          <w:rFonts w:ascii="Times New Roman" w:hAnsi="Times New Roman" w:cs="Times New Roman"/>
          <w:i/>
          <w:iCs/>
          <w:color w:val="auto"/>
          <w:sz w:val="24"/>
          <w:szCs w:val="24"/>
          <w:u w:color="365F91"/>
        </w:rPr>
        <w:t xml:space="preserve">propositions on how </w:t>
      </w:r>
      <w:r w:rsidR="008D089C" w:rsidRPr="00AC61AB">
        <w:rPr>
          <w:rFonts w:ascii="Times New Roman" w:hAnsi="Times New Roman" w:cs="Times New Roman"/>
          <w:i/>
          <w:iCs/>
          <w:color w:val="auto"/>
          <w:sz w:val="24"/>
          <w:szCs w:val="24"/>
          <w:u w:color="365F91"/>
        </w:rPr>
        <w:t xml:space="preserve">the IASC can </w:t>
      </w:r>
      <w:r w:rsidRPr="00AC61AB">
        <w:rPr>
          <w:rFonts w:ascii="Times New Roman" w:hAnsi="Times New Roman" w:cs="Times New Roman"/>
          <w:i/>
          <w:iCs/>
          <w:color w:val="auto"/>
          <w:sz w:val="24"/>
          <w:szCs w:val="24"/>
          <w:u w:color="365F91"/>
        </w:rPr>
        <w:t xml:space="preserve">ensure its continued relevance, including through refined working practice, enhanced advocacy and communication, increased engagement at regional, national and local levels and outreach to the diverse humanitarian eco-system. </w:t>
      </w:r>
      <w:r w:rsidRPr="00AC61AB">
        <w:rPr>
          <w:rFonts w:ascii="Times New Roman" w:hAnsi="Times New Roman" w:cs="Times New Roman"/>
          <w:b/>
          <w:i/>
          <w:iCs/>
          <w:color w:val="auto"/>
          <w:sz w:val="24"/>
          <w:szCs w:val="24"/>
          <w:u w:color="365F91"/>
        </w:rPr>
        <w:t>Action by:</w:t>
      </w:r>
      <w:r w:rsidRPr="00AC61AB">
        <w:rPr>
          <w:rFonts w:ascii="Times New Roman" w:hAnsi="Times New Roman" w:cs="Times New Roman"/>
          <w:i/>
          <w:iCs/>
          <w:color w:val="auto"/>
          <w:sz w:val="24"/>
          <w:szCs w:val="24"/>
          <w:u w:color="365F91"/>
        </w:rPr>
        <w:t xml:space="preserve"> </w:t>
      </w:r>
      <w:r w:rsidRPr="00AC61AB">
        <w:rPr>
          <w:rFonts w:ascii="Times New Roman" w:hAnsi="Times New Roman" w:cs="Times New Roman"/>
          <w:b/>
          <w:bCs/>
          <w:i/>
          <w:iCs/>
          <w:color w:val="auto"/>
          <w:sz w:val="24"/>
          <w:szCs w:val="24"/>
          <w:u w:color="365F91"/>
        </w:rPr>
        <w:t>the Emergency Relief Coordinator</w:t>
      </w:r>
      <w:r w:rsidR="00763D5D" w:rsidRPr="00AC61AB">
        <w:rPr>
          <w:rFonts w:ascii="Times New Roman" w:hAnsi="Times New Roman" w:cs="Times New Roman"/>
          <w:b/>
          <w:bCs/>
          <w:i/>
          <w:iCs/>
          <w:color w:val="auto"/>
          <w:sz w:val="24"/>
          <w:szCs w:val="24"/>
          <w:u w:color="365F91"/>
        </w:rPr>
        <w:t>, supported by the IASC secretariat,</w:t>
      </w:r>
      <w:r w:rsidR="009B5D98" w:rsidRPr="00AC61AB">
        <w:rPr>
          <w:rFonts w:ascii="Times New Roman" w:hAnsi="Times New Roman" w:cs="Times New Roman"/>
          <w:b/>
          <w:bCs/>
          <w:i/>
          <w:iCs/>
          <w:color w:val="auto"/>
          <w:sz w:val="24"/>
          <w:szCs w:val="24"/>
          <w:u w:color="365F91"/>
        </w:rPr>
        <w:t xml:space="preserve"> by end </w:t>
      </w:r>
      <w:r w:rsidR="003C1665">
        <w:rPr>
          <w:rFonts w:ascii="Times New Roman" w:hAnsi="Times New Roman" w:cs="Times New Roman"/>
          <w:b/>
          <w:bCs/>
          <w:i/>
          <w:iCs/>
          <w:color w:val="auto"/>
          <w:sz w:val="24"/>
          <w:szCs w:val="24"/>
          <w:u w:color="365F91"/>
        </w:rPr>
        <w:t>July</w:t>
      </w:r>
      <w:r w:rsidR="00EC3987">
        <w:rPr>
          <w:rFonts w:ascii="Times New Roman" w:hAnsi="Times New Roman" w:cs="Times New Roman"/>
          <w:b/>
          <w:bCs/>
          <w:i/>
          <w:iCs/>
          <w:color w:val="auto"/>
          <w:sz w:val="24"/>
          <w:szCs w:val="24"/>
          <w:u w:color="365F91"/>
        </w:rPr>
        <w:t xml:space="preserve"> </w:t>
      </w:r>
      <w:r w:rsidR="009B5D98" w:rsidRPr="00AC61AB">
        <w:rPr>
          <w:rFonts w:ascii="Times New Roman" w:hAnsi="Times New Roman" w:cs="Times New Roman"/>
          <w:b/>
          <w:bCs/>
          <w:i/>
          <w:iCs/>
          <w:color w:val="auto"/>
          <w:sz w:val="24"/>
          <w:szCs w:val="24"/>
          <w:u w:color="365F91"/>
        </w:rPr>
        <w:t xml:space="preserve">2017. </w:t>
      </w:r>
    </w:p>
    <w:p w14:paraId="3EAC35E7" w14:textId="77777777" w:rsidR="009B5D98" w:rsidRPr="00AC61AB" w:rsidRDefault="008D089C" w:rsidP="009B5D98">
      <w:pPr>
        <w:pStyle w:val="BodyA"/>
        <w:numPr>
          <w:ilvl w:val="0"/>
          <w:numId w:val="1"/>
        </w:numPr>
        <w:tabs>
          <w:tab w:val="left" w:pos="567"/>
          <w:tab w:val="left" w:pos="992"/>
        </w:tabs>
        <w:spacing w:after="240"/>
        <w:jc w:val="both"/>
        <w:rPr>
          <w:rFonts w:ascii="Times New Roman" w:hAnsi="Times New Roman" w:cs="Times New Roman"/>
          <w:b/>
          <w:i/>
          <w:iCs/>
          <w:color w:val="auto"/>
          <w:sz w:val="24"/>
          <w:szCs w:val="24"/>
          <w:u w:color="365F91"/>
        </w:rPr>
      </w:pPr>
      <w:r w:rsidRPr="00AC61AB">
        <w:rPr>
          <w:rFonts w:ascii="Times New Roman" w:hAnsi="Times New Roman" w:cs="Times New Roman"/>
          <w:i/>
          <w:iCs/>
          <w:color w:val="auto"/>
          <w:sz w:val="24"/>
          <w:szCs w:val="24"/>
          <w:u w:color="365F91"/>
        </w:rPr>
        <w:t>Identify key thematic areas of collective advocacy at all IASC meetings as a standard prac</w:t>
      </w:r>
      <w:r w:rsidR="009B5D98" w:rsidRPr="00AC61AB">
        <w:rPr>
          <w:rFonts w:ascii="Times New Roman" w:hAnsi="Times New Roman" w:cs="Times New Roman"/>
          <w:i/>
          <w:iCs/>
          <w:color w:val="auto"/>
          <w:sz w:val="24"/>
          <w:szCs w:val="24"/>
          <w:u w:color="365F91"/>
        </w:rPr>
        <w:t xml:space="preserve">tice. </w:t>
      </w:r>
      <w:r w:rsidR="009B5D98" w:rsidRPr="00AC61AB">
        <w:rPr>
          <w:rFonts w:ascii="Times New Roman" w:hAnsi="Times New Roman" w:cs="Times New Roman"/>
          <w:b/>
          <w:i/>
          <w:iCs/>
          <w:color w:val="auto"/>
          <w:sz w:val="24"/>
          <w:szCs w:val="24"/>
          <w:u w:color="365F91"/>
        </w:rPr>
        <w:t xml:space="preserve">Action by: Emergency Relief Coordinator and IASC Principals </w:t>
      </w:r>
    </w:p>
    <w:p w14:paraId="6F9CB036" w14:textId="76B1F300" w:rsidR="00DC5F45" w:rsidRPr="00AC61AB" w:rsidRDefault="008D089C" w:rsidP="009B5D98">
      <w:pPr>
        <w:pStyle w:val="BodyA"/>
        <w:numPr>
          <w:ilvl w:val="0"/>
          <w:numId w:val="1"/>
        </w:numPr>
        <w:tabs>
          <w:tab w:val="left" w:pos="567"/>
          <w:tab w:val="left" w:pos="992"/>
        </w:tabs>
        <w:spacing w:after="240"/>
        <w:jc w:val="both"/>
        <w:rPr>
          <w:rFonts w:ascii="Times New Roman" w:eastAsia="Times New Roman" w:hAnsi="Times New Roman" w:cs="Times New Roman"/>
          <w:b/>
          <w:i/>
          <w:iCs/>
          <w:color w:val="auto"/>
          <w:sz w:val="24"/>
          <w:szCs w:val="24"/>
          <w:u w:color="365F91"/>
        </w:rPr>
      </w:pPr>
      <w:r w:rsidRPr="00AC61AB">
        <w:rPr>
          <w:rFonts w:ascii="Times New Roman" w:hAnsi="Times New Roman" w:cs="Times New Roman"/>
          <w:i/>
          <w:iCs/>
          <w:color w:val="auto"/>
          <w:sz w:val="24"/>
          <w:szCs w:val="24"/>
          <w:u w:color="365F91"/>
        </w:rPr>
        <w:t>Continue engagement with the SG Designate</w:t>
      </w:r>
      <w:r w:rsidR="009B5D98" w:rsidRPr="00AC61AB">
        <w:rPr>
          <w:rFonts w:ascii="Times New Roman" w:hAnsi="Times New Roman" w:cs="Times New Roman"/>
          <w:i/>
          <w:iCs/>
          <w:color w:val="auto"/>
          <w:sz w:val="24"/>
          <w:szCs w:val="24"/>
          <w:u w:color="365F91"/>
        </w:rPr>
        <w:t xml:space="preserve"> on his support for IASC functionality</w:t>
      </w:r>
      <w:r w:rsidR="00D1658F" w:rsidRPr="00AC61AB">
        <w:rPr>
          <w:rFonts w:ascii="Times New Roman" w:hAnsi="Times New Roman" w:cs="Times New Roman"/>
          <w:i/>
          <w:iCs/>
          <w:color w:val="auto"/>
          <w:sz w:val="24"/>
          <w:szCs w:val="24"/>
          <w:u w:color="365F91"/>
        </w:rPr>
        <w:t>, action</w:t>
      </w:r>
      <w:r w:rsidR="009B5D98" w:rsidRPr="00AC61AB">
        <w:rPr>
          <w:rFonts w:ascii="Times New Roman" w:hAnsi="Times New Roman" w:cs="Times New Roman"/>
          <w:i/>
          <w:iCs/>
          <w:color w:val="auto"/>
          <w:sz w:val="24"/>
          <w:szCs w:val="24"/>
          <w:u w:color="365F91"/>
        </w:rPr>
        <w:t xml:space="preserve"> </w:t>
      </w:r>
      <w:r w:rsidRPr="00AC61AB">
        <w:rPr>
          <w:rFonts w:ascii="Times New Roman" w:hAnsi="Times New Roman" w:cs="Times New Roman"/>
          <w:i/>
          <w:iCs/>
          <w:color w:val="auto"/>
          <w:sz w:val="24"/>
          <w:szCs w:val="24"/>
          <w:u w:color="365F91"/>
        </w:rPr>
        <w:t>and advocacy.</w:t>
      </w:r>
      <w:r w:rsidR="009B5D98" w:rsidRPr="00AC61AB">
        <w:rPr>
          <w:rFonts w:ascii="Times New Roman" w:hAnsi="Times New Roman" w:cs="Times New Roman"/>
          <w:i/>
          <w:iCs/>
          <w:color w:val="auto"/>
          <w:sz w:val="24"/>
          <w:szCs w:val="24"/>
          <w:u w:color="365F91"/>
        </w:rPr>
        <w:t xml:space="preserve"> </w:t>
      </w:r>
      <w:r w:rsidR="009B5D98" w:rsidRPr="00AC61AB">
        <w:rPr>
          <w:rFonts w:ascii="Times New Roman" w:hAnsi="Times New Roman" w:cs="Times New Roman"/>
          <w:b/>
          <w:i/>
          <w:iCs/>
          <w:color w:val="auto"/>
          <w:sz w:val="24"/>
          <w:szCs w:val="24"/>
          <w:u w:color="365F91"/>
        </w:rPr>
        <w:t>Action by: Emergency Relief Coordinator and IASC Principals</w:t>
      </w:r>
    </w:p>
    <w:p w14:paraId="69210AE4" w14:textId="77777777" w:rsidR="00DC5F45" w:rsidRPr="00377609" w:rsidRDefault="008D089C" w:rsidP="00377609">
      <w:pPr>
        <w:pStyle w:val="BodyA"/>
        <w:tabs>
          <w:tab w:val="left" w:pos="567"/>
          <w:tab w:val="left" w:pos="992"/>
        </w:tabs>
        <w:spacing w:after="240" w:line="280" w:lineRule="exact"/>
        <w:jc w:val="both"/>
        <w:rPr>
          <w:rFonts w:ascii="Times New Roman" w:eastAsia="Times New Roman" w:hAnsi="Times New Roman" w:cs="Times New Roman"/>
          <w:b/>
          <w:bCs/>
          <w:sz w:val="24"/>
          <w:szCs w:val="24"/>
          <w:u w:color="365F91"/>
        </w:rPr>
      </w:pPr>
      <w:r w:rsidRPr="00377609">
        <w:rPr>
          <w:rFonts w:ascii="Times New Roman" w:hAnsi="Times New Roman" w:cs="Times New Roman"/>
          <w:b/>
          <w:bCs/>
          <w:color w:val="2F759E" w:themeColor="accent1" w:themeShade="BF"/>
          <w:sz w:val="24"/>
          <w:szCs w:val="24"/>
          <w:u w:color="1F497D"/>
        </w:rPr>
        <w:t>Session 2</w:t>
      </w:r>
      <w:r w:rsidRPr="00377609">
        <w:rPr>
          <w:rFonts w:ascii="Times New Roman" w:hAnsi="Times New Roman" w:cs="Times New Roman"/>
          <w:b/>
          <w:bCs/>
          <w:color w:val="3A7CA0"/>
          <w:sz w:val="24"/>
          <w:szCs w:val="24"/>
          <w:u w:color="365F91"/>
        </w:rPr>
        <w:t xml:space="preserve">: </w:t>
      </w:r>
      <w:r w:rsidRPr="00377609">
        <w:rPr>
          <w:rFonts w:ascii="Times New Roman" w:hAnsi="Times New Roman" w:cs="Times New Roman"/>
          <w:b/>
          <w:bCs/>
          <w:color w:val="365F91"/>
          <w:sz w:val="24"/>
          <w:szCs w:val="24"/>
          <w:u w:color="365F91"/>
        </w:rPr>
        <w:t>Safety and Security: Creating an Enabling and Conducive Environment for Humanitarian Assistance</w:t>
      </w:r>
    </w:p>
    <w:p w14:paraId="55B52E92" w14:textId="354C70A2" w:rsidR="008364A4" w:rsidRDefault="00542C6F" w:rsidP="00377609">
      <w:pPr>
        <w:pStyle w:val="BodyA"/>
        <w:tabs>
          <w:tab w:val="left" w:pos="567"/>
          <w:tab w:val="left" w:pos="992"/>
        </w:tabs>
        <w:spacing w:after="240"/>
        <w:jc w:val="both"/>
        <w:rPr>
          <w:rFonts w:ascii="Times New Roman" w:hAnsi="Times New Roman" w:cs="Times New Roman"/>
          <w:sz w:val="24"/>
          <w:szCs w:val="24"/>
          <w:u w:color="365F91"/>
        </w:rPr>
      </w:pPr>
      <w:r>
        <w:rPr>
          <w:rFonts w:ascii="Times New Roman" w:hAnsi="Times New Roman" w:cs="Times New Roman"/>
          <w:sz w:val="24"/>
          <w:szCs w:val="24"/>
          <w:u w:color="365F91"/>
        </w:rPr>
        <w:t>In</w:t>
      </w:r>
      <w:r w:rsidR="00AA49B4" w:rsidRPr="00377609">
        <w:rPr>
          <w:rFonts w:ascii="Times New Roman" w:hAnsi="Times New Roman" w:cs="Times New Roman"/>
          <w:sz w:val="24"/>
          <w:szCs w:val="24"/>
          <w:u w:color="365F91"/>
        </w:rPr>
        <w:t xml:space="preserve"> December 2015</w:t>
      </w:r>
      <w:r w:rsidR="00750DB1">
        <w:rPr>
          <w:rFonts w:ascii="Times New Roman" w:hAnsi="Times New Roman" w:cs="Times New Roman"/>
          <w:sz w:val="24"/>
          <w:szCs w:val="24"/>
          <w:u w:color="365F91"/>
        </w:rPr>
        <w:t>,</w:t>
      </w:r>
      <w:r w:rsidR="00AA49B4" w:rsidRPr="00377609">
        <w:rPr>
          <w:rFonts w:ascii="Times New Roman" w:hAnsi="Times New Roman" w:cs="Times New Roman"/>
          <w:sz w:val="24"/>
          <w:szCs w:val="24"/>
          <w:u w:color="365F91"/>
        </w:rPr>
        <w:t xml:space="preserve"> </w:t>
      </w:r>
      <w:r w:rsidR="008D089C" w:rsidRPr="00377609">
        <w:rPr>
          <w:rFonts w:ascii="Times New Roman" w:hAnsi="Times New Roman" w:cs="Times New Roman"/>
          <w:sz w:val="24"/>
          <w:szCs w:val="24"/>
          <w:u w:color="365F91"/>
        </w:rPr>
        <w:t>Principals</w:t>
      </w:r>
      <w:r w:rsidR="00AA49B4" w:rsidRPr="00377609">
        <w:rPr>
          <w:rFonts w:ascii="Times New Roman" w:hAnsi="Times New Roman" w:cs="Times New Roman"/>
          <w:sz w:val="24"/>
          <w:szCs w:val="24"/>
          <w:u w:color="365F91"/>
        </w:rPr>
        <w:t xml:space="preserve"> </w:t>
      </w:r>
      <w:r w:rsidR="008364A4">
        <w:rPr>
          <w:rFonts w:ascii="Times New Roman" w:hAnsi="Times New Roman" w:cs="Times New Roman"/>
          <w:sz w:val="24"/>
          <w:szCs w:val="24"/>
          <w:u w:color="365F91"/>
        </w:rPr>
        <w:t xml:space="preserve">suggested further dialogue </w:t>
      </w:r>
      <w:r w:rsidR="00A9585F" w:rsidRPr="00377609">
        <w:rPr>
          <w:rFonts w:ascii="Times New Roman" w:hAnsi="Times New Roman" w:cs="Times New Roman"/>
          <w:sz w:val="24"/>
          <w:szCs w:val="24"/>
          <w:u w:color="365F91"/>
        </w:rPr>
        <w:t xml:space="preserve">with </w:t>
      </w:r>
      <w:r w:rsidR="008D089C" w:rsidRPr="00377609">
        <w:rPr>
          <w:rFonts w:ascii="Times New Roman" w:hAnsi="Times New Roman" w:cs="Times New Roman"/>
          <w:sz w:val="24"/>
          <w:szCs w:val="24"/>
          <w:u w:color="365F91"/>
        </w:rPr>
        <w:t>the United Nations Department for Safety and Security</w:t>
      </w:r>
      <w:r>
        <w:rPr>
          <w:rFonts w:ascii="Times New Roman" w:hAnsi="Times New Roman" w:cs="Times New Roman"/>
          <w:sz w:val="24"/>
          <w:szCs w:val="24"/>
          <w:u w:color="365F91"/>
        </w:rPr>
        <w:t xml:space="preserve"> (UNDSS</w:t>
      </w:r>
      <w:r w:rsidR="00A9585F" w:rsidRPr="00377609">
        <w:rPr>
          <w:rFonts w:ascii="Times New Roman" w:hAnsi="Times New Roman" w:cs="Times New Roman"/>
          <w:sz w:val="24"/>
          <w:szCs w:val="24"/>
          <w:u w:color="365F91"/>
        </w:rPr>
        <w:t>)</w:t>
      </w:r>
      <w:r>
        <w:rPr>
          <w:rFonts w:ascii="Times New Roman" w:hAnsi="Times New Roman" w:cs="Times New Roman"/>
          <w:sz w:val="24"/>
          <w:szCs w:val="24"/>
          <w:u w:color="365F91"/>
        </w:rPr>
        <w:t xml:space="preserve"> on how to best ensure an enabling and conducive environment for the delivery of humanitarian assistance. Leading the discussion, </w:t>
      </w:r>
      <w:r w:rsidR="008D089C" w:rsidRPr="00377609">
        <w:rPr>
          <w:rFonts w:ascii="Times New Roman" w:hAnsi="Times New Roman" w:cs="Times New Roman"/>
          <w:sz w:val="24"/>
          <w:szCs w:val="24"/>
          <w:u w:color="365F91"/>
        </w:rPr>
        <w:t>Under-Secretary-General</w:t>
      </w:r>
      <w:r>
        <w:rPr>
          <w:rFonts w:ascii="Times New Roman" w:hAnsi="Times New Roman" w:cs="Times New Roman"/>
          <w:sz w:val="24"/>
          <w:szCs w:val="24"/>
          <w:u w:color="365F91"/>
        </w:rPr>
        <w:t xml:space="preserve"> UNDSS</w:t>
      </w:r>
      <w:r w:rsidR="008D089C" w:rsidRPr="00377609">
        <w:rPr>
          <w:rFonts w:ascii="Times New Roman" w:hAnsi="Times New Roman" w:cs="Times New Roman"/>
          <w:sz w:val="24"/>
          <w:szCs w:val="24"/>
          <w:u w:color="365F91"/>
        </w:rPr>
        <w:t xml:space="preserve">, Peter Drennan, </w:t>
      </w:r>
      <w:r>
        <w:rPr>
          <w:rFonts w:ascii="Times New Roman" w:hAnsi="Times New Roman" w:cs="Times New Roman"/>
          <w:sz w:val="24"/>
          <w:szCs w:val="24"/>
          <w:u w:color="365F91"/>
        </w:rPr>
        <w:t xml:space="preserve">outlined the </w:t>
      </w:r>
      <w:r w:rsidR="008364A4">
        <w:rPr>
          <w:rFonts w:ascii="Times New Roman" w:hAnsi="Times New Roman" w:cs="Times New Roman"/>
          <w:sz w:val="24"/>
          <w:szCs w:val="24"/>
          <w:u w:color="365F91"/>
        </w:rPr>
        <w:t xml:space="preserve">increasingly hostile </w:t>
      </w:r>
      <w:r>
        <w:rPr>
          <w:rFonts w:ascii="Times New Roman" w:hAnsi="Times New Roman" w:cs="Times New Roman"/>
          <w:sz w:val="24"/>
          <w:szCs w:val="24"/>
          <w:u w:color="365F91"/>
        </w:rPr>
        <w:t xml:space="preserve">global security environment, multi-faceted security threats, </w:t>
      </w:r>
      <w:r w:rsidR="00B8141A">
        <w:rPr>
          <w:rFonts w:ascii="Times New Roman" w:hAnsi="Times New Roman" w:cs="Times New Roman"/>
          <w:sz w:val="24"/>
          <w:szCs w:val="24"/>
          <w:u w:color="365F91"/>
        </w:rPr>
        <w:t xml:space="preserve">and the challenges </w:t>
      </w:r>
      <w:r w:rsidR="00763D5D">
        <w:rPr>
          <w:rFonts w:ascii="Times New Roman" w:hAnsi="Times New Roman" w:cs="Times New Roman"/>
          <w:sz w:val="24"/>
          <w:szCs w:val="24"/>
          <w:u w:color="365F91"/>
        </w:rPr>
        <w:t>this poses</w:t>
      </w:r>
      <w:r>
        <w:rPr>
          <w:rFonts w:ascii="Times New Roman" w:hAnsi="Times New Roman" w:cs="Times New Roman"/>
          <w:sz w:val="24"/>
          <w:szCs w:val="24"/>
          <w:u w:color="365F91"/>
        </w:rPr>
        <w:t xml:space="preserve"> to on-going efforts to create a ‘permissive security space’ within which humanitarian staff can effectively operate. </w:t>
      </w:r>
    </w:p>
    <w:p w14:paraId="0F730F0D" w14:textId="10E8D166" w:rsidR="00542C6F" w:rsidRDefault="008364A4" w:rsidP="00377609">
      <w:pPr>
        <w:pStyle w:val="BodyA"/>
        <w:tabs>
          <w:tab w:val="left" w:pos="567"/>
          <w:tab w:val="left" w:pos="992"/>
        </w:tabs>
        <w:spacing w:after="240"/>
        <w:jc w:val="both"/>
        <w:rPr>
          <w:rFonts w:ascii="Times New Roman" w:hAnsi="Times New Roman" w:cs="Times New Roman"/>
          <w:sz w:val="24"/>
          <w:szCs w:val="24"/>
          <w:u w:color="365F91"/>
        </w:rPr>
      </w:pPr>
      <w:r>
        <w:rPr>
          <w:rFonts w:ascii="Times New Roman" w:hAnsi="Times New Roman" w:cs="Times New Roman"/>
          <w:sz w:val="24"/>
          <w:szCs w:val="24"/>
          <w:u w:color="365F91"/>
        </w:rPr>
        <w:t>USG Drennan</w:t>
      </w:r>
      <w:r w:rsidR="00542C6F">
        <w:rPr>
          <w:rFonts w:ascii="Times New Roman" w:hAnsi="Times New Roman" w:cs="Times New Roman"/>
          <w:sz w:val="24"/>
          <w:szCs w:val="24"/>
          <w:u w:color="365F91"/>
        </w:rPr>
        <w:t xml:space="preserve"> highlighted that, since 2010, attacks against the humanitarian community have risen exponentially, yet expectations of humanitarian presence, accountability and delivery remain high. </w:t>
      </w:r>
      <w:r>
        <w:rPr>
          <w:rFonts w:ascii="Times New Roman" w:hAnsi="Times New Roman" w:cs="Times New Roman"/>
          <w:sz w:val="24"/>
          <w:szCs w:val="24"/>
          <w:u w:color="365F91"/>
        </w:rPr>
        <w:t xml:space="preserve">He reinforced the strategic value of </w:t>
      </w:r>
      <w:r w:rsidR="004771F7">
        <w:rPr>
          <w:rFonts w:ascii="Times New Roman" w:hAnsi="Times New Roman" w:cs="Times New Roman"/>
          <w:sz w:val="24"/>
          <w:szCs w:val="24"/>
          <w:u w:color="365F91"/>
        </w:rPr>
        <w:t>programme criticality exercises</w:t>
      </w:r>
      <w:r>
        <w:rPr>
          <w:rFonts w:ascii="Times New Roman" w:hAnsi="Times New Roman" w:cs="Times New Roman"/>
          <w:sz w:val="24"/>
          <w:szCs w:val="24"/>
          <w:u w:color="365F91"/>
        </w:rPr>
        <w:t xml:space="preserve"> and enhanced risk analysis, and suggested that better security management should be regarded as an enabler of humanitarian operati</w:t>
      </w:r>
      <w:r w:rsidR="004771F7">
        <w:rPr>
          <w:rFonts w:ascii="Times New Roman" w:hAnsi="Times New Roman" w:cs="Times New Roman"/>
          <w:sz w:val="24"/>
          <w:szCs w:val="24"/>
          <w:u w:color="365F91"/>
        </w:rPr>
        <w:t>ons, rather than an impediment</w:t>
      </w:r>
      <w:r w:rsidR="008C1E7B">
        <w:rPr>
          <w:rFonts w:ascii="Times New Roman" w:hAnsi="Times New Roman" w:cs="Times New Roman"/>
          <w:sz w:val="24"/>
          <w:szCs w:val="24"/>
          <w:u w:color="365F91"/>
        </w:rPr>
        <w:t>, and the role of UNDSS in this regard</w:t>
      </w:r>
      <w:r w:rsidR="004771F7">
        <w:rPr>
          <w:rFonts w:ascii="Times New Roman" w:hAnsi="Times New Roman" w:cs="Times New Roman"/>
          <w:sz w:val="24"/>
          <w:szCs w:val="24"/>
          <w:u w:color="365F91"/>
        </w:rPr>
        <w:t>. He called for security dimensions and costs to</w:t>
      </w:r>
      <w:r>
        <w:rPr>
          <w:rFonts w:ascii="Times New Roman" w:hAnsi="Times New Roman" w:cs="Times New Roman"/>
          <w:sz w:val="24"/>
          <w:szCs w:val="24"/>
          <w:u w:color="365F91"/>
        </w:rPr>
        <w:t xml:space="preserve"> be better integrated throughout humanitarian programme conceptualization and planning.  </w:t>
      </w:r>
    </w:p>
    <w:p w14:paraId="301261E5" w14:textId="17CA935F" w:rsidR="00F60AF5" w:rsidRDefault="0021478C" w:rsidP="003F748F">
      <w:pPr>
        <w:pStyle w:val="BodyA"/>
        <w:tabs>
          <w:tab w:val="left" w:pos="567"/>
          <w:tab w:val="left" w:pos="992"/>
        </w:tabs>
        <w:spacing w:after="240"/>
        <w:jc w:val="both"/>
        <w:rPr>
          <w:rFonts w:ascii="Times New Roman" w:hAnsi="Times New Roman" w:cs="Times New Roman"/>
          <w:sz w:val="24"/>
          <w:szCs w:val="24"/>
        </w:rPr>
      </w:pPr>
      <w:r>
        <w:rPr>
          <w:rFonts w:ascii="Times New Roman" w:hAnsi="Times New Roman" w:cs="Times New Roman"/>
          <w:sz w:val="24"/>
          <w:szCs w:val="24"/>
        </w:rPr>
        <w:t xml:space="preserve">Given this security environment, </w:t>
      </w:r>
      <w:r w:rsidR="008364A4">
        <w:rPr>
          <w:rFonts w:ascii="Times New Roman" w:hAnsi="Times New Roman" w:cs="Times New Roman"/>
          <w:sz w:val="24"/>
          <w:szCs w:val="24"/>
        </w:rPr>
        <w:t>Principals agreed the need to improve analysis</w:t>
      </w:r>
      <w:r>
        <w:rPr>
          <w:rFonts w:ascii="Times New Roman" w:hAnsi="Times New Roman" w:cs="Times New Roman"/>
          <w:sz w:val="24"/>
          <w:szCs w:val="24"/>
        </w:rPr>
        <w:t xml:space="preserve"> and strategic discussion</w:t>
      </w:r>
      <w:r w:rsidR="00AB75D8">
        <w:rPr>
          <w:rFonts w:ascii="Times New Roman" w:hAnsi="Times New Roman" w:cs="Times New Roman"/>
          <w:sz w:val="24"/>
          <w:szCs w:val="24"/>
        </w:rPr>
        <w:t>,</w:t>
      </w:r>
      <w:r w:rsidR="00F60AF5">
        <w:rPr>
          <w:rFonts w:ascii="Times New Roman" w:hAnsi="Times New Roman" w:cs="Times New Roman"/>
          <w:sz w:val="24"/>
          <w:szCs w:val="24"/>
        </w:rPr>
        <w:t xml:space="preserve"> at global and country HCT level,</w:t>
      </w:r>
      <w:r w:rsidR="008364A4">
        <w:rPr>
          <w:rFonts w:ascii="Times New Roman" w:hAnsi="Times New Roman" w:cs="Times New Roman"/>
          <w:sz w:val="24"/>
          <w:szCs w:val="24"/>
        </w:rPr>
        <w:t xml:space="preserve"> of </w:t>
      </w:r>
      <w:r w:rsidR="00F60AF5">
        <w:rPr>
          <w:rFonts w:ascii="Times New Roman" w:hAnsi="Times New Roman" w:cs="Times New Roman"/>
          <w:sz w:val="24"/>
          <w:szCs w:val="24"/>
        </w:rPr>
        <w:t xml:space="preserve">both </w:t>
      </w:r>
      <w:r w:rsidR="008364A4">
        <w:rPr>
          <w:rFonts w:ascii="Times New Roman" w:hAnsi="Times New Roman" w:cs="Times New Roman"/>
          <w:sz w:val="24"/>
          <w:szCs w:val="24"/>
        </w:rPr>
        <w:t>risk</w:t>
      </w:r>
      <w:r>
        <w:rPr>
          <w:rFonts w:ascii="Times New Roman" w:hAnsi="Times New Roman" w:cs="Times New Roman"/>
          <w:sz w:val="24"/>
          <w:szCs w:val="24"/>
        </w:rPr>
        <w:t xml:space="preserve"> and of the actual capacity to respond</w:t>
      </w:r>
      <w:r w:rsidR="00F60AF5">
        <w:rPr>
          <w:rFonts w:ascii="Times New Roman" w:hAnsi="Times New Roman" w:cs="Times New Roman"/>
          <w:sz w:val="24"/>
          <w:szCs w:val="24"/>
        </w:rPr>
        <w:t xml:space="preserve"> when humanitarians are under attack</w:t>
      </w:r>
      <w:r>
        <w:rPr>
          <w:rFonts w:ascii="Times New Roman" w:hAnsi="Times New Roman" w:cs="Times New Roman"/>
          <w:sz w:val="24"/>
          <w:szCs w:val="24"/>
        </w:rPr>
        <w:t>, particularly if this is limite</w:t>
      </w:r>
      <w:r w:rsidR="00F60AF5">
        <w:rPr>
          <w:rFonts w:ascii="Times New Roman" w:hAnsi="Times New Roman" w:cs="Times New Roman"/>
          <w:sz w:val="24"/>
          <w:szCs w:val="24"/>
        </w:rPr>
        <w:t xml:space="preserve">d. </w:t>
      </w:r>
      <w:r w:rsidR="004771F7">
        <w:rPr>
          <w:rFonts w:ascii="Times New Roman" w:hAnsi="Times New Roman" w:cs="Times New Roman"/>
          <w:sz w:val="24"/>
          <w:szCs w:val="24"/>
        </w:rPr>
        <w:t>They called for</w:t>
      </w:r>
      <w:r w:rsidR="008364A4">
        <w:rPr>
          <w:rFonts w:ascii="Times New Roman" w:hAnsi="Times New Roman" w:cs="Times New Roman"/>
          <w:sz w:val="24"/>
          <w:szCs w:val="24"/>
        </w:rPr>
        <w:t xml:space="preserve"> enhanced </w:t>
      </w:r>
      <w:r w:rsidR="00380796">
        <w:rPr>
          <w:rFonts w:ascii="Times New Roman" w:hAnsi="Times New Roman" w:cs="Times New Roman"/>
          <w:sz w:val="24"/>
          <w:szCs w:val="24"/>
        </w:rPr>
        <w:t xml:space="preserve">communication, transparency and information-flow on security concerns and security management processes, within and between both UN and NGO humanitarian communities. </w:t>
      </w:r>
      <w:r w:rsidR="00F60AF5">
        <w:rPr>
          <w:rFonts w:ascii="Times New Roman" w:hAnsi="Times New Roman" w:cs="Times New Roman"/>
          <w:sz w:val="24"/>
          <w:szCs w:val="24"/>
        </w:rPr>
        <w:t xml:space="preserve">Supporting this, Principals </w:t>
      </w:r>
      <w:r w:rsidR="00BD362A">
        <w:rPr>
          <w:rFonts w:ascii="Times New Roman" w:hAnsi="Times New Roman" w:cs="Times New Roman"/>
          <w:sz w:val="24"/>
          <w:szCs w:val="24"/>
        </w:rPr>
        <w:t xml:space="preserve">underscored </w:t>
      </w:r>
      <w:r w:rsidR="00F60AF5">
        <w:rPr>
          <w:rFonts w:ascii="Times New Roman" w:hAnsi="Times New Roman" w:cs="Times New Roman"/>
          <w:sz w:val="24"/>
          <w:szCs w:val="24"/>
        </w:rPr>
        <w:t xml:space="preserve">the importance of appropriate UNDSS staff profiles in the field. </w:t>
      </w:r>
    </w:p>
    <w:p w14:paraId="5E383C3D" w14:textId="30E5151A" w:rsidR="008364A4" w:rsidRDefault="00380796" w:rsidP="0061506B">
      <w:pPr>
        <w:pStyle w:val="BodyA"/>
        <w:tabs>
          <w:tab w:val="left" w:pos="567"/>
          <w:tab w:val="left" w:pos="992"/>
        </w:tabs>
        <w:spacing w:after="240"/>
        <w:jc w:val="both"/>
        <w:rPr>
          <w:rFonts w:ascii="Times New Roman" w:hAnsi="Times New Roman" w:cs="Times New Roman"/>
          <w:sz w:val="24"/>
          <w:szCs w:val="24"/>
        </w:rPr>
      </w:pPr>
      <w:r>
        <w:rPr>
          <w:rFonts w:ascii="Times New Roman" w:hAnsi="Times New Roman" w:cs="Times New Roman"/>
          <w:sz w:val="24"/>
          <w:szCs w:val="24"/>
        </w:rPr>
        <w:t>The benefit for increased outreach to other actors with more nuanced understanding of di</w:t>
      </w:r>
      <w:r w:rsidR="004771F7">
        <w:rPr>
          <w:rFonts w:ascii="Times New Roman" w:hAnsi="Times New Roman" w:cs="Times New Roman"/>
          <w:sz w:val="24"/>
          <w:szCs w:val="24"/>
        </w:rPr>
        <w:t>fferent contexts, whether from</w:t>
      </w:r>
      <w:r>
        <w:rPr>
          <w:rFonts w:ascii="Times New Roman" w:hAnsi="Times New Roman" w:cs="Times New Roman"/>
          <w:sz w:val="24"/>
          <w:szCs w:val="24"/>
        </w:rPr>
        <w:t xml:space="preserve"> the UN (such as the Department of Political Affairs), or local actors on the </w:t>
      </w:r>
      <w:r>
        <w:rPr>
          <w:rFonts w:ascii="Times New Roman" w:hAnsi="Times New Roman" w:cs="Times New Roman"/>
          <w:sz w:val="24"/>
          <w:szCs w:val="24"/>
        </w:rPr>
        <w:lastRenderedPageBreak/>
        <w:t xml:space="preserve">ground, was </w:t>
      </w:r>
      <w:r w:rsidR="00F60AF5">
        <w:rPr>
          <w:rFonts w:ascii="Times New Roman" w:hAnsi="Times New Roman" w:cs="Times New Roman"/>
          <w:sz w:val="24"/>
          <w:szCs w:val="24"/>
        </w:rPr>
        <w:t>also</w:t>
      </w:r>
      <w:r w:rsidR="00BD362A">
        <w:rPr>
          <w:rFonts w:ascii="Times New Roman" w:hAnsi="Times New Roman" w:cs="Times New Roman"/>
          <w:sz w:val="24"/>
          <w:szCs w:val="24"/>
        </w:rPr>
        <w:t xml:space="preserve"> highlighted</w:t>
      </w:r>
      <w:r w:rsidR="00F60AF5">
        <w:rPr>
          <w:rFonts w:ascii="Times New Roman" w:hAnsi="Times New Roman" w:cs="Times New Roman"/>
          <w:sz w:val="24"/>
          <w:szCs w:val="24"/>
        </w:rPr>
        <w:t xml:space="preserve">, and it was recognized that humanitarian actors must continue to explore a range of working modalities, including leveraging </w:t>
      </w:r>
      <w:r w:rsidR="00FF1E90">
        <w:rPr>
          <w:rFonts w:ascii="Times New Roman" w:hAnsi="Times New Roman" w:cs="Times New Roman"/>
          <w:sz w:val="24"/>
          <w:szCs w:val="24"/>
        </w:rPr>
        <w:t xml:space="preserve">communication with </w:t>
      </w:r>
      <w:r w:rsidR="00F60AF5">
        <w:rPr>
          <w:rFonts w:ascii="Times New Roman" w:hAnsi="Times New Roman" w:cs="Times New Roman"/>
          <w:sz w:val="24"/>
          <w:szCs w:val="24"/>
        </w:rPr>
        <w:t xml:space="preserve">of local communities and different actors, </w:t>
      </w:r>
      <w:r w:rsidR="00B8141A">
        <w:rPr>
          <w:rFonts w:ascii="Times New Roman" w:hAnsi="Times New Roman" w:cs="Times New Roman"/>
          <w:sz w:val="24"/>
          <w:szCs w:val="24"/>
        </w:rPr>
        <w:t xml:space="preserve">without transferring risk, </w:t>
      </w:r>
      <w:r w:rsidR="00FF1E90">
        <w:rPr>
          <w:rFonts w:ascii="Times New Roman" w:hAnsi="Times New Roman" w:cs="Times New Roman"/>
          <w:sz w:val="24"/>
          <w:szCs w:val="24"/>
        </w:rPr>
        <w:t xml:space="preserve">and balancing between </w:t>
      </w:r>
      <w:r w:rsidR="0061506B">
        <w:rPr>
          <w:rFonts w:ascii="Times New Roman" w:hAnsi="Times New Roman" w:cs="Times New Roman"/>
          <w:sz w:val="24"/>
          <w:szCs w:val="24"/>
        </w:rPr>
        <w:t xml:space="preserve">a </w:t>
      </w:r>
      <w:r w:rsidR="00A40157">
        <w:rPr>
          <w:rFonts w:ascii="Times New Roman" w:hAnsi="Times New Roman" w:cs="Times New Roman"/>
          <w:sz w:val="24"/>
          <w:szCs w:val="24"/>
        </w:rPr>
        <w:t xml:space="preserve">security culture and delivery culture. </w:t>
      </w:r>
      <w:r w:rsidR="003915E7">
        <w:rPr>
          <w:rFonts w:ascii="Times New Roman" w:hAnsi="Times New Roman" w:cs="Times New Roman"/>
          <w:sz w:val="24"/>
          <w:szCs w:val="24"/>
        </w:rPr>
        <w:t xml:space="preserve">Consideration needs also to </w:t>
      </w:r>
      <w:r w:rsidR="00B15846">
        <w:rPr>
          <w:rFonts w:ascii="Times New Roman" w:hAnsi="Times New Roman" w:cs="Times New Roman"/>
          <w:sz w:val="24"/>
          <w:szCs w:val="24"/>
        </w:rPr>
        <w:t xml:space="preserve">be </w:t>
      </w:r>
      <w:r w:rsidR="003915E7">
        <w:rPr>
          <w:rFonts w:ascii="Times New Roman" w:hAnsi="Times New Roman" w:cs="Times New Roman"/>
          <w:sz w:val="24"/>
          <w:szCs w:val="24"/>
        </w:rPr>
        <w:t>made on</w:t>
      </w:r>
      <w:r w:rsidR="00093C13">
        <w:rPr>
          <w:rFonts w:ascii="Times New Roman" w:hAnsi="Times New Roman" w:cs="Times New Roman"/>
          <w:sz w:val="24"/>
          <w:szCs w:val="24"/>
        </w:rPr>
        <w:t xml:space="preserve"> </w:t>
      </w:r>
      <w:r w:rsidR="003915E7">
        <w:rPr>
          <w:rFonts w:ascii="Times New Roman" w:hAnsi="Times New Roman" w:cs="Times New Roman"/>
          <w:sz w:val="24"/>
          <w:szCs w:val="24"/>
        </w:rPr>
        <w:t>how to prioritize programmes to create permissive security space</w:t>
      </w:r>
      <w:r w:rsidR="0075685F">
        <w:rPr>
          <w:rFonts w:ascii="Times New Roman" w:hAnsi="Times New Roman" w:cs="Times New Roman"/>
          <w:sz w:val="24"/>
          <w:szCs w:val="24"/>
        </w:rPr>
        <w:t xml:space="preserve">. </w:t>
      </w:r>
    </w:p>
    <w:p w14:paraId="2DCB2196" w14:textId="43E4D0BD" w:rsidR="00DC5F45" w:rsidRPr="00377609" w:rsidRDefault="00333A29" w:rsidP="00377609">
      <w:pPr>
        <w:pStyle w:val="BodyA"/>
        <w:tabs>
          <w:tab w:val="left" w:pos="567"/>
          <w:tab w:val="left" w:pos="992"/>
        </w:tabs>
        <w:spacing w:after="240"/>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The IASC </w:t>
      </w:r>
      <w:r w:rsidR="008364A4">
        <w:rPr>
          <w:rFonts w:ascii="Times New Roman" w:hAnsi="Times New Roman" w:cs="Times New Roman"/>
          <w:b/>
          <w:bCs/>
          <w:sz w:val="24"/>
          <w:szCs w:val="24"/>
        </w:rPr>
        <w:t>Principals agreed to:</w:t>
      </w:r>
    </w:p>
    <w:p w14:paraId="7ED6C80C" w14:textId="48CEE605" w:rsidR="004771F7" w:rsidRPr="00AC61AB" w:rsidRDefault="008D089C" w:rsidP="0061506B">
      <w:pPr>
        <w:pStyle w:val="BodyA"/>
        <w:numPr>
          <w:ilvl w:val="0"/>
          <w:numId w:val="2"/>
        </w:numPr>
        <w:tabs>
          <w:tab w:val="left" w:pos="567"/>
          <w:tab w:val="left" w:pos="992"/>
        </w:tabs>
        <w:spacing w:after="240"/>
        <w:jc w:val="both"/>
        <w:rPr>
          <w:rFonts w:ascii="Times New Roman" w:eastAsia="Times New Roman" w:hAnsi="Times New Roman" w:cs="Times New Roman"/>
          <w:i/>
          <w:iCs/>
          <w:color w:val="auto"/>
          <w:sz w:val="24"/>
          <w:szCs w:val="24"/>
        </w:rPr>
      </w:pPr>
      <w:r w:rsidRPr="00AC61AB">
        <w:rPr>
          <w:rFonts w:ascii="Times New Roman" w:hAnsi="Times New Roman" w:cs="Times New Roman"/>
          <w:i/>
          <w:iCs/>
          <w:color w:val="auto"/>
          <w:sz w:val="24"/>
          <w:szCs w:val="24"/>
        </w:rPr>
        <w:t>UNDSS to ensure availability of the right</w:t>
      </w:r>
      <w:r w:rsidR="002A2B25">
        <w:rPr>
          <w:rFonts w:ascii="Times New Roman" w:hAnsi="Times New Roman" w:cs="Times New Roman"/>
          <w:i/>
          <w:iCs/>
          <w:color w:val="auto"/>
          <w:sz w:val="24"/>
          <w:szCs w:val="24"/>
        </w:rPr>
        <w:t xml:space="preserve"> </w:t>
      </w:r>
      <w:r w:rsidR="0061506B">
        <w:rPr>
          <w:rFonts w:ascii="Times New Roman" w:hAnsi="Times New Roman" w:cs="Times New Roman"/>
          <w:i/>
          <w:iCs/>
          <w:color w:val="auto"/>
          <w:sz w:val="24"/>
          <w:szCs w:val="24"/>
        </w:rPr>
        <w:t xml:space="preserve">UNDSS staff </w:t>
      </w:r>
      <w:r w:rsidRPr="00AC61AB">
        <w:rPr>
          <w:rFonts w:ascii="Times New Roman" w:hAnsi="Times New Roman" w:cs="Times New Roman"/>
          <w:i/>
          <w:iCs/>
          <w:color w:val="auto"/>
          <w:sz w:val="24"/>
          <w:szCs w:val="24"/>
        </w:rPr>
        <w:t>profiles</w:t>
      </w:r>
      <w:r w:rsidR="00326A4F">
        <w:rPr>
          <w:rFonts w:ascii="Times New Roman" w:hAnsi="Times New Roman" w:cs="Times New Roman"/>
          <w:i/>
          <w:iCs/>
          <w:color w:val="auto"/>
          <w:sz w:val="24"/>
          <w:szCs w:val="24"/>
        </w:rPr>
        <w:t xml:space="preserve">, </w:t>
      </w:r>
      <w:r w:rsidR="0061506B">
        <w:rPr>
          <w:rFonts w:ascii="Times New Roman" w:hAnsi="Times New Roman" w:cs="Times New Roman"/>
          <w:i/>
          <w:iCs/>
          <w:color w:val="auto"/>
          <w:sz w:val="24"/>
          <w:szCs w:val="24"/>
        </w:rPr>
        <w:t>relevant to the context</w:t>
      </w:r>
      <w:r w:rsidR="00A40157">
        <w:rPr>
          <w:rFonts w:ascii="Times New Roman" w:hAnsi="Times New Roman" w:cs="Times New Roman"/>
          <w:i/>
          <w:iCs/>
          <w:color w:val="auto"/>
          <w:sz w:val="24"/>
          <w:szCs w:val="24"/>
        </w:rPr>
        <w:t xml:space="preserve">, </w:t>
      </w:r>
      <w:r w:rsidR="002009E2">
        <w:rPr>
          <w:rFonts w:ascii="Times New Roman" w:hAnsi="Times New Roman" w:cs="Times New Roman"/>
          <w:i/>
          <w:iCs/>
          <w:color w:val="auto"/>
          <w:sz w:val="24"/>
          <w:szCs w:val="24"/>
        </w:rPr>
        <w:t xml:space="preserve">and </w:t>
      </w:r>
      <w:r w:rsidR="0061506B">
        <w:rPr>
          <w:rFonts w:ascii="Times New Roman" w:hAnsi="Times New Roman" w:cs="Times New Roman"/>
          <w:i/>
          <w:iCs/>
          <w:color w:val="auto"/>
          <w:sz w:val="24"/>
          <w:szCs w:val="24"/>
        </w:rPr>
        <w:t xml:space="preserve">to </w:t>
      </w:r>
      <w:r w:rsidR="00A40157">
        <w:rPr>
          <w:rFonts w:ascii="Times New Roman" w:hAnsi="Times New Roman" w:cs="Times New Roman"/>
          <w:i/>
          <w:iCs/>
          <w:color w:val="auto"/>
          <w:sz w:val="24"/>
          <w:szCs w:val="24"/>
        </w:rPr>
        <w:t>clarify accountabilities and ensure performance management</w:t>
      </w:r>
      <w:r w:rsidRPr="00AC61AB">
        <w:rPr>
          <w:rFonts w:ascii="Times New Roman" w:hAnsi="Times New Roman" w:cs="Times New Roman"/>
          <w:i/>
          <w:iCs/>
          <w:color w:val="auto"/>
          <w:sz w:val="24"/>
          <w:szCs w:val="24"/>
        </w:rPr>
        <w:t xml:space="preserve">. </w:t>
      </w:r>
      <w:r w:rsidR="008E1603" w:rsidRPr="00AC61AB">
        <w:rPr>
          <w:rFonts w:ascii="Times New Roman" w:hAnsi="Times New Roman" w:cs="Times New Roman"/>
          <w:b/>
          <w:bCs/>
          <w:i/>
          <w:iCs/>
          <w:color w:val="auto"/>
          <w:sz w:val="24"/>
          <w:szCs w:val="24"/>
        </w:rPr>
        <w:t>Action by: UNDSS</w:t>
      </w:r>
    </w:p>
    <w:p w14:paraId="1D7C474A" w14:textId="20C353F7" w:rsidR="004771F7" w:rsidRPr="00AC61AB" w:rsidRDefault="008D089C" w:rsidP="004771F7">
      <w:pPr>
        <w:pStyle w:val="BodyA"/>
        <w:numPr>
          <w:ilvl w:val="0"/>
          <w:numId w:val="2"/>
        </w:numPr>
        <w:tabs>
          <w:tab w:val="left" w:pos="567"/>
          <w:tab w:val="left" w:pos="992"/>
        </w:tabs>
        <w:spacing w:after="240"/>
        <w:jc w:val="both"/>
        <w:rPr>
          <w:rFonts w:ascii="Times New Roman" w:eastAsia="Times New Roman" w:hAnsi="Times New Roman" w:cs="Times New Roman"/>
          <w:i/>
          <w:iCs/>
          <w:color w:val="auto"/>
          <w:sz w:val="24"/>
          <w:szCs w:val="24"/>
        </w:rPr>
      </w:pPr>
      <w:r w:rsidRPr="00AC61AB">
        <w:rPr>
          <w:rFonts w:ascii="Times New Roman" w:hAnsi="Times New Roman" w:cs="Times New Roman"/>
          <w:i/>
          <w:iCs/>
          <w:color w:val="auto"/>
          <w:sz w:val="24"/>
          <w:szCs w:val="24"/>
        </w:rPr>
        <w:t>Strengthen the analysis of risks and capacity to respond, including proactive sharing of information and engagement of re</w:t>
      </w:r>
      <w:r w:rsidR="004771F7" w:rsidRPr="00AC61AB">
        <w:rPr>
          <w:rFonts w:ascii="Times New Roman" w:hAnsi="Times New Roman" w:cs="Times New Roman"/>
          <w:i/>
          <w:iCs/>
          <w:color w:val="auto"/>
          <w:sz w:val="24"/>
          <w:szCs w:val="24"/>
        </w:rPr>
        <w:t xml:space="preserve">levant stakeholders in analysis, and </w:t>
      </w:r>
      <w:r w:rsidR="00AB75D8" w:rsidRPr="00AC61AB">
        <w:rPr>
          <w:rFonts w:ascii="Times New Roman" w:hAnsi="Times New Roman" w:cs="Times New Roman"/>
          <w:i/>
          <w:iCs/>
          <w:color w:val="auto"/>
          <w:sz w:val="24"/>
          <w:szCs w:val="24"/>
        </w:rPr>
        <w:t xml:space="preserve">to </w:t>
      </w:r>
      <w:r w:rsidR="004771F7" w:rsidRPr="00AC61AB">
        <w:rPr>
          <w:rFonts w:ascii="Times New Roman" w:hAnsi="Times New Roman" w:cs="Times New Roman"/>
          <w:i/>
          <w:iCs/>
          <w:color w:val="auto"/>
          <w:sz w:val="24"/>
          <w:szCs w:val="24"/>
        </w:rPr>
        <w:t>better integrate security dimensions in programme conceptualization and planning</w:t>
      </w:r>
      <w:r w:rsidR="004771F7" w:rsidRPr="00AC61AB">
        <w:rPr>
          <w:rFonts w:ascii="Times New Roman" w:eastAsia="Times New Roman" w:hAnsi="Times New Roman" w:cs="Times New Roman"/>
          <w:i/>
          <w:iCs/>
          <w:color w:val="auto"/>
          <w:sz w:val="24"/>
          <w:szCs w:val="24"/>
        </w:rPr>
        <w:t>.</w:t>
      </w:r>
      <w:r w:rsidR="008E1603" w:rsidRPr="00AC61AB">
        <w:rPr>
          <w:rFonts w:ascii="Times New Roman" w:eastAsia="Times New Roman" w:hAnsi="Times New Roman" w:cs="Times New Roman"/>
          <w:i/>
          <w:iCs/>
          <w:color w:val="auto"/>
          <w:sz w:val="24"/>
          <w:szCs w:val="24"/>
        </w:rPr>
        <w:t xml:space="preserve"> </w:t>
      </w:r>
      <w:r w:rsidR="008E1603" w:rsidRPr="00AC61AB">
        <w:rPr>
          <w:rFonts w:ascii="Times New Roman" w:eastAsia="Times New Roman" w:hAnsi="Times New Roman" w:cs="Times New Roman"/>
          <w:b/>
          <w:bCs/>
          <w:i/>
          <w:iCs/>
          <w:color w:val="auto"/>
          <w:sz w:val="24"/>
          <w:szCs w:val="24"/>
        </w:rPr>
        <w:t>Action by: IASC Principals;</w:t>
      </w:r>
      <w:r w:rsidR="008E1603" w:rsidRPr="00AC61AB">
        <w:rPr>
          <w:rFonts w:ascii="Times New Roman" w:eastAsia="Times New Roman" w:hAnsi="Times New Roman" w:cs="Times New Roman"/>
          <w:i/>
          <w:iCs/>
          <w:color w:val="auto"/>
          <w:sz w:val="24"/>
          <w:szCs w:val="24"/>
        </w:rPr>
        <w:t xml:space="preserve"> </w:t>
      </w:r>
    </w:p>
    <w:p w14:paraId="52675D81" w14:textId="77777777" w:rsidR="00DC5F45" w:rsidRPr="00377609" w:rsidRDefault="008D089C" w:rsidP="00377609">
      <w:pPr>
        <w:pStyle w:val="BodyA"/>
        <w:tabs>
          <w:tab w:val="left" w:pos="567"/>
          <w:tab w:val="left" w:pos="992"/>
        </w:tabs>
        <w:spacing w:after="240" w:line="280" w:lineRule="exact"/>
        <w:jc w:val="both"/>
        <w:rPr>
          <w:rFonts w:ascii="Times New Roman" w:eastAsia="Times New Roman" w:hAnsi="Times New Roman" w:cs="Times New Roman"/>
          <w:b/>
          <w:bCs/>
          <w:sz w:val="24"/>
          <w:szCs w:val="24"/>
          <w:u w:val="single"/>
        </w:rPr>
      </w:pPr>
      <w:r w:rsidRPr="00377609">
        <w:rPr>
          <w:rFonts w:ascii="Times New Roman" w:hAnsi="Times New Roman" w:cs="Times New Roman"/>
          <w:b/>
          <w:bCs/>
          <w:color w:val="1F497D"/>
          <w:sz w:val="24"/>
          <w:szCs w:val="24"/>
          <w:u w:color="1F497D"/>
        </w:rPr>
        <w:t>Session 3: El Niño/La Niña events: Perspectives for a new way of working</w:t>
      </w:r>
    </w:p>
    <w:p w14:paraId="0C9A1077" w14:textId="199C2367" w:rsidR="00F40096" w:rsidRPr="00F40096" w:rsidRDefault="00F40096" w:rsidP="0061506B">
      <w:pPr>
        <w:jc w:val="both"/>
        <w:rPr>
          <w:rFonts w:eastAsia="Helvetica"/>
          <w:color w:val="000000" w:themeColor="text1"/>
          <w:u w:color="365F91"/>
          <w:lang w:eastAsia="zh-CN"/>
        </w:rPr>
      </w:pPr>
      <w:r w:rsidRPr="00F40096">
        <w:rPr>
          <w:rFonts w:eastAsia="Helvetica"/>
          <w:color w:val="000000" w:themeColor="text1"/>
          <w:u w:color="365F91"/>
          <w:lang w:eastAsia="zh-CN"/>
        </w:rPr>
        <w:t xml:space="preserve">In his introductory remarks, the Chair noted </w:t>
      </w:r>
      <w:r w:rsidR="0061506B">
        <w:rPr>
          <w:rFonts w:eastAsia="Helvetica"/>
          <w:color w:val="000000" w:themeColor="text1"/>
          <w:u w:color="365F91"/>
          <w:lang w:eastAsia="zh-CN"/>
        </w:rPr>
        <w:t>that El Niño/La Niña events had</w:t>
      </w:r>
      <w:r w:rsidRPr="00F40096">
        <w:rPr>
          <w:rFonts w:eastAsia="Helvetica"/>
          <w:color w:val="000000" w:themeColor="text1"/>
          <w:u w:color="365F91"/>
          <w:lang w:eastAsia="zh-CN"/>
        </w:rPr>
        <w:t xml:space="preserve"> been an initial test to </w:t>
      </w:r>
      <w:r w:rsidR="006C4612">
        <w:rPr>
          <w:rFonts w:eastAsia="Helvetica"/>
          <w:color w:val="000000" w:themeColor="text1"/>
          <w:u w:color="365F91"/>
          <w:lang w:eastAsia="zh-CN"/>
        </w:rPr>
        <w:t>'t</w:t>
      </w:r>
      <w:r w:rsidRPr="00F40096">
        <w:rPr>
          <w:rFonts w:eastAsia="Helvetica"/>
          <w:color w:val="000000" w:themeColor="text1"/>
          <w:u w:color="365F91"/>
          <w:lang w:eastAsia="zh-CN"/>
        </w:rPr>
        <w:t>he New Way Working</w:t>
      </w:r>
      <w:r w:rsidR="006C4612">
        <w:rPr>
          <w:rFonts w:eastAsia="Helvetica"/>
          <w:color w:val="000000" w:themeColor="text1"/>
          <w:u w:color="365F91"/>
          <w:lang w:eastAsia="zh-CN"/>
        </w:rPr>
        <w:t>’</w:t>
      </w:r>
      <w:r w:rsidRPr="00F40096">
        <w:rPr>
          <w:rFonts w:eastAsia="Helvetica"/>
          <w:color w:val="000000" w:themeColor="text1"/>
          <w:u w:color="365F91"/>
          <w:lang w:eastAsia="zh-CN"/>
        </w:rPr>
        <w:t xml:space="preserve">, </w:t>
      </w:r>
      <w:r w:rsidR="0061506B">
        <w:rPr>
          <w:rFonts w:eastAsia="Helvetica"/>
          <w:color w:val="000000" w:themeColor="text1"/>
          <w:u w:color="365F91"/>
          <w:lang w:eastAsia="zh-CN"/>
        </w:rPr>
        <w:t xml:space="preserve">which was signed by many </w:t>
      </w:r>
      <w:r w:rsidRPr="00F40096">
        <w:rPr>
          <w:rFonts w:eastAsia="Helvetica"/>
          <w:color w:val="000000" w:themeColor="text1"/>
          <w:u w:color="365F91"/>
          <w:lang w:eastAsia="zh-CN"/>
        </w:rPr>
        <w:t>at the World Humanitarian Summit</w:t>
      </w:r>
      <w:r w:rsidR="006C4612">
        <w:rPr>
          <w:rFonts w:eastAsia="Helvetica"/>
          <w:color w:val="000000" w:themeColor="text1"/>
          <w:u w:color="365F91"/>
          <w:lang w:eastAsia="zh-CN"/>
        </w:rPr>
        <w:t xml:space="preserve">. He referenced </w:t>
      </w:r>
      <w:r w:rsidRPr="00F40096">
        <w:rPr>
          <w:rFonts w:eastAsia="Helvetica"/>
          <w:color w:val="000000" w:themeColor="text1"/>
          <w:u w:color="365F91"/>
          <w:lang w:eastAsia="zh-CN"/>
        </w:rPr>
        <w:t>the</w:t>
      </w:r>
      <w:r w:rsidR="0061506B">
        <w:rPr>
          <w:rFonts w:eastAsia="Helvetica"/>
          <w:color w:val="000000" w:themeColor="text1"/>
          <w:u w:color="365F91"/>
          <w:lang w:eastAsia="zh-CN"/>
        </w:rPr>
        <w:t xml:space="preserve"> October 2016 </w:t>
      </w:r>
      <w:r w:rsidRPr="00F40096">
        <w:rPr>
          <w:rFonts w:eastAsia="Helvetica"/>
          <w:color w:val="000000" w:themeColor="text1"/>
          <w:u w:color="365F91"/>
          <w:lang w:eastAsia="zh-CN"/>
        </w:rPr>
        <w:t xml:space="preserve">Joint Workshop on the Humanitarian-Development-Peace Nexus, co-organized by UNWGT and IASC Task Team </w:t>
      </w:r>
      <w:r w:rsidR="00326A4F">
        <w:rPr>
          <w:rFonts w:eastAsia="Helvetica"/>
          <w:color w:val="000000" w:themeColor="text1"/>
          <w:u w:color="365F91"/>
          <w:lang w:eastAsia="zh-CN"/>
        </w:rPr>
        <w:t xml:space="preserve">on </w:t>
      </w:r>
      <w:r w:rsidRPr="00F40096">
        <w:rPr>
          <w:rFonts w:eastAsia="Helvetica"/>
          <w:color w:val="000000" w:themeColor="text1"/>
          <w:u w:color="365F91"/>
          <w:lang w:eastAsia="zh-CN"/>
        </w:rPr>
        <w:t>Strengthening the Humanitarian/Development Nexus with a focus on protracted contexts</w:t>
      </w:r>
      <w:r w:rsidR="006C4612">
        <w:rPr>
          <w:rFonts w:eastAsia="Helvetica"/>
          <w:color w:val="000000" w:themeColor="text1"/>
          <w:u w:color="365F91"/>
          <w:lang w:eastAsia="zh-CN"/>
        </w:rPr>
        <w:t xml:space="preserve">. </w:t>
      </w:r>
    </w:p>
    <w:p w14:paraId="4B040913" w14:textId="77777777" w:rsidR="00F40096" w:rsidRDefault="00F40096" w:rsidP="00F40096">
      <w:pPr>
        <w:pStyle w:val="BodyA"/>
        <w:tabs>
          <w:tab w:val="left" w:pos="567"/>
          <w:tab w:val="left" w:pos="992"/>
        </w:tabs>
        <w:jc w:val="both"/>
        <w:rPr>
          <w:rFonts w:ascii="Times New Roman" w:hAnsi="Times New Roman" w:cs="Times New Roman"/>
          <w:color w:val="000000" w:themeColor="text1"/>
          <w:sz w:val="24"/>
          <w:szCs w:val="24"/>
        </w:rPr>
      </w:pPr>
    </w:p>
    <w:p w14:paraId="329EB7AA" w14:textId="1EFADA66" w:rsidR="003A2F63" w:rsidRDefault="003A2F63" w:rsidP="0030120C">
      <w:pPr>
        <w:pStyle w:val="BodyA"/>
        <w:tabs>
          <w:tab w:val="left" w:pos="567"/>
          <w:tab w:val="left" w:pos="992"/>
        </w:tabs>
        <w:jc w:val="both"/>
        <w:rPr>
          <w:rFonts w:ascii="Times New Roman" w:hAnsi="Times New Roman" w:cs="Times New Roman"/>
          <w:color w:val="000000" w:themeColor="text1"/>
          <w:sz w:val="24"/>
          <w:szCs w:val="24"/>
          <w:u w:color="365F91"/>
        </w:rPr>
      </w:pPr>
      <w:r>
        <w:rPr>
          <w:rFonts w:ascii="Times New Roman" w:hAnsi="Times New Roman" w:cs="Times New Roman"/>
          <w:color w:val="000000" w:themeColor="text1"/>
          <w:sz w:val="24"/>
          <w:szCs w:val="24"/>
        </w:rPr>
        <w:t xml:space="preserve">The presentation by </w:t>
      </w:r>
      <w:r w:rsidR="00032332" w:rsidRPr="00377609">
        <w:rPr>
          <w:rFonts w:ascii="Times New Roman" w:hAnsi="Times New Roman" w:cs="Times New Roman"/>
          <w:color w:val="000000" w:themeColor="text1"/>
          <w:sz w:val="24"/>
          <w:szCs w:val="24"/>
        </w:rPr>
        <w:t xml:space="preserve">Special Envoy for </w:t>
      </w:r>
      <w:r w:rsidR="00032332" w:rsidRPr="00377609">
        <w:rPr>
          <w:rFonts w:ascii="Times New Roman" w:hAnsi="Times New Roman" w:cs="Times New Roman"/>
          <w:color w:val="000000" w:themeColor="text1"/>
          <w:sz w:val="24"/>
          <w:szCs w:val="24"/>
          <w:u w:color="365F91"/>
        </w:rPr>
        <w:t>El Niño and Climate</w:t>
      </w:r>
      <w:r>
        <w:rPr>
          <w:rFonts w:ascii="Times New Roman" w:hAnsi="Times New Roman" w:cs="Times New Roman"/>
          <w:color w:val="000000" w:themeColor="text1"/>
          <w:sz w:val="24"/>
          <w:szCs w:val="24"/>
          <w:u w:color="365F91"/>
        </w:rPr>
        <w:t>,</w:t>
      </w:r>
      <w:r w:rsidR="00032332" w:rsidRPr="00377609">
        <w:rPr>
          <w:rFonts w:ascii="Times New Roman" w:hAnsi="Times New Roman" w:cs="Times New Roman"/>
          <w:color w:val="000000" w:themeColor="text1"/>
          <w:sz w:val="24"/>
          <w:szCs w:val="24"/>
        </w:rPr>
        <w:t xml:space="preserve"> </w:t>
      </w:r>
      <w:r w:rsidR="00572964" w:rsidRPr="00377609">
        <w:rPr>
          <w:rFonts w:ascii="Times New Roman" w:hAnsi="Times New Roman" w:cs="Times New Roman"/>
          <w:color w:val="000000" w:themeColor="text1"/>
          <w:sz w:val="24"/>
          <w:szCs w:val="24"/>
        </w:rPr>
        <w:t xml:space="preserve">Ms. </w:t>
      </w:r>
      <w:r w:rsidR="008D089C" w:rsidRPr="00377609">
        <w:rPr>
          <w:rFonts w:ascii="Times New Roman" w:hAnsi="Times New Roman" w:cs="Times New Roman"/>
          <w:color w:val="000000" w:themeColor="text1"/>
          <w:sz w:val="24"/>
          <w:szCs w:val="24"/>
        </w:rPr>
        <w:t>M</w:t>
      </w:r>
      <w:r w:rsidR="008D089C" w:rsidRPr="00377609">
        <w:rPr>
          <w:rFonts w:ascii="Times New Roman" w:hAnsi="Times New Roman" w:cs="Times New Roman"/>
          <w:color w:val="000000" w:themeColor="text1"/>
          <w:sz w:val="24"/>
          <w:szCs w:val="24"/>
          <w:u w:color="365F91"/>
        </w:rPr>
        <w:t>ary Robinson</w:t>
      </w:r>
      <w:r>
        <w:rPr>
          <w:rFonts w:ascii="Times New Roman" w:hAnsi="Times New Roman" w:cs="Times New Roman"/>
          <w:color w:val="000000" w:themeColor="text1"/>
          <w:sz w:val="24"/>
          <w:szCs w:val="24"/>
          <w:u w:color="365F91"/>
        </w:rPr>
        <w:t>, of the work by the Special Envoy, includ</w:t>
      </w:r>
      <w:r w:rsidR="00F216B0">
        <w:rPr>
          <w:rFonts w:ascii="Times New Roman" w:hAnsi="Times New Roman" w:cs="Times New Roman"/>
          <w:color w:val="000000" w:themeColor="text1"/>
          <w:sz w:val="24"/>
          <w:szCs w:val="24"/>
          <w:u w:color="365F91"/>
        </w:rPr>
        <w:t>ing on a ‘Blueprint for Action’</w:t>
      </w:r>
      <w:r>
        <w:rPr>
          <w:rFonts w:ascii="Times New Roman" w:hAnsi="Times New Roman" w:cs="Times New Roman"/>
          <w:color w:val="000000" w:themeColor="text1"/>
          <w:sz w:val="24"/>
          <w:szCs w:val="24"/>
          <w:u w:color="365F91"/>
        </w:rPr>
        <w:t xml:space="preserve"> in El Nino contexts, highlighted areas for continued support and advocacy on El Nino preparedness and response, as well as valuable lessons for the IASC in taking forward commitments on the </w:t>
      </w:r>
      <w:r w:rsidR="00C514EE">
        <w:rPr>
          <w:rFonts w:ascii="Times New Roman" w:hAnsi="Times New Roman" w:cs="Times New Roman"/>
          <w:color w:val="000000" w:themeColor="text1"/>
          <w:sz w:val="24"/>
          <w:szCs w:val="24"/>
          <w:u w:color="365F91"/>
        </w:rPr>
        <w:t>‘</w:t>
      </w:r>
      <w:r>
        <w:rPr>
          <w:rFonts w:ascii="Times New Roman" w:hAnsi="Times New Roman" w:cs="Times New Roman"/>
          <w:color w:val="000000" w:themeColor="text1"/>
          <w:sz w:val="24"/>
          <w:szCs w:val="24"/>
          <w:u w:color="365F91"/>
        </w:rPr>
        <w:t>New Way of Working</w:t>
      </w:r>
      <w:r w:rsidR="00C514EE">
        <w:rPr>
          <w:rFonts w:ascii="Times New Roman" w:hAnsi="Times New Roman" w:cs="Times New Roman"/>
          <w:color w:val="000000" w:themeColor="text1"/>
          <w:sz w:val="24"/>
          <w:szCs w:val="24"/>
          <w:u w:color="365F91"/>
        </w:rPr>
        <w:t>’</w:t>
      </w:r>
      <w:r w:rsidR="00326A4F">
        <w:rPr>
          <w:rFonts w:ascii="Times New Roman" w:hAnsi="Times New Roman" w:cs="Times New Roman"/>
          <w:color w:val="000000" w:themeColor="text1"/>
          <w:sz w:val="24"/>
          <w:szCs w:val="24"/>
          <w:u w:color="365F91"/>
        </w:rPr>
        <w:t>, recognizing that its application must be context-specific</w:t>
      </w:r>
      <w:r w:rsidR="00326A4F">
        <w:rPr>
          <w:rStyle w:val="FootnoteReference"/>
          <w:rFonts w:ascii="Times New Roman" w:hAnsi="Times New Roman" w:cs="Times New Roman"/>
          <w:color w:val="000000" w:themeColor="text1"/>
          <w:sz w:val="24"/>
          <w:szCs w:val="24"/>
          <w:u w:color="365F91"/>
        </w:rPr>
        <w:footnoteReference w:id="1"/>
      </w:r>
      <w:r w:rsidR="0030120C">
        <w:rPr>
          <w:rFonts w:ascii="Times New Roman" w:hAnsi="Times New Roman" w:cs="Times New Roman"/>
          <w:color w:val="000000" w:themeColor="text1"/>
          <w:sz w:val="24"/>
          <w:szCs w:val="24"/>
          <w:u w:color="365F91"/>
        </w:rPr>
        <w:t>.</w:t>
      </w:r>
      <w:r>
        <w:rPr>
          <w:rFonts w:ascii="Times New Roman" w:hAnsi="Times New Roman" w:cs="Times New Roman"/>
          <w:color w:val="000000" w:themeColor="text1"/>
          <w:sz w:val="24"/>
          <w:szCs w:val="24"/>
          <w:u w:color="365F91"/>
        </w:rPr>
        <w:t xml:space="preserve"> </w:t>
      </w:r>
    </w:p>
    <w:p w14:paraId="1721DB2F" w14:textId="77777777" w:rsidR="00651B85" w:rsidRDefault="00651B85" w:rsidP="00651B85">
      <w:pPr>
        <w:pStyle w:val="BodyA"/>
        <w:tabs>
          <w:tab w:val="left" w:pos="567"/>
          <w:tab w:val="left" w:pos="992"/>
        </w:tabs>
        <w:jc w:val="both"/>
        <w:rPr>
          <w:rFonts w:ascii="Times New Roman" w:hAnsi="Times New Roman" w:cs="Times New Roman"/>
          <w:color w:val="000000" w:themeColor="text1"/>
          <w:sz w:val="24"/>
          <w:szCs w:val="24"/>
          <w:u w:color="365F91"/>
        </w:rPr>
      </w:pPr>
    </w:p>
    <w:p w14:paraId="20809B0C" w14:textId="32B21A38" w:rsidR="00BE3BA4" w:rsidRDefault="003A2F63" w:rsidP="00651B85">
      <w:pPr>
        <w:pStyle w:val="BodyA"/>
        <w:tabs>
          <w:tab w:val="left" w:pos="567"/>
          <w:tab w:val="left" w:pos="992"/>
        </w:tabs>
        <w:jc w:val="both"/>
        <w:rPr>
          <w:rFonts w:ascii="Times New Roman" w:hAnsi="Times New Roman" w:cs="Times New Roman"/>
          <w:sz w:val="24"/>
          <w:szCs w:val="24"/>
          <w:u w:color="365F91"/>
        </w:rPr>
      </w:pPr>
      <w:r>
        <w:rPr>
          <w:rFonts w:ascii="Times New Roman" w:hAnsi="Times New Roman" w:cs="Times New Roman"/>
          <w:color w:val="000000" w:themeColor="text1"/>
          <w:sz w:val="24"/>
          <w:szCs w:val="24"/>
          <w:u w:color="365F91"/>
        </w:rPr>
        <w:t xml:space="preserve">Expressing her appreciation for the support to the initiative, Ms. Robinson reflected the Envoys’ </w:t>
      </w:r>
      <w:r w:rsidR="00BE3BA4">
        <w:rPr>
          <w:rFonts w:ascii="Times New Roman" w:hAnsi="Times New Roman" w:cs="Times New Roman"/>
          <w:color w:val="000000" w:themeColor="text1"/>
          <w:sz w:val="24"/>
          <w:szCs w:val="24"/>
          <w:u w:color="365F91"/>
        </w:rPr>
        <w:t xml:space="preserve">work with Governments and other actors in eight countries, </w:t>
      </w:r>
      <w:r w:rsidR="00F216B0">
        <w:rPr>
          <w:rFonts w:ascii="Times New Roman" w:hAnsi="Times New Roman" w:cs="Times New Roman"/>
          <w:color w:val="000000" w:themeColor="text1"/>
          <w:sz w:val="24"/>
          <w:szCs w:val="24"/>
          <w:u w:color="365F91"/>
        </w:rPr>
        <w:t>and how she had used</w:t>
      </w:r>
      <w:r w:rsidR="005313BC">
        <w:rPr>
          <w:rFonts w:ascii="Times New Roman" w:hAnsi="Times New Roman" w:cs="Times New Roman"/>
          <w:color w:val="000000" w:themeColor="text1"/>
          <w:sz w:val="24"/>
          <w:szCs w:val="24"/>
          <w:u w:color="365F91"/>
        </w:rPr>
        <w:t xml:space="preserve"> the opportunity to provide advice</w:t>
      </w:r>
      <w:r w:rsidR="00BE3BA4">
        <w:rPr>
          <w:rFonts w:ascii="Times New Roman" w:hAnsi="Times New Roman" w:cs="Times New Roman"/>
          <w:color w:val="000000" w:themeColor="text1"/>
          <w:sz w:val="24"/>
          <w:szCs w:val="24"/>
          <w:u w:color="365F91"/>
        </w:rPr>
        <w:t xml:space="preserve"> on building </w:t>
      </w:r>
      <w:r w:rsidR="005313BC">
        <w:rPr>
          <w:rFonts w:ascii="Times New Roman" w:hAnsi="Times New Roman" w:cs="Times New Roman"/>
          <w:color w:val="000000" w:themeColor="text1"/>
          <w:sz w:val="24"/>
          <w:szCs w:val="24"/>
          <w:u w:color="365F91"/>
        </w:rPr>
        <w:t xml:space="preserve">the </w:t>
      </w:r>
      <w:r w:rsidR="00BE3BA4">
        <w:rPr>
          <w:rFonts w:ascii="Times New Roman" w:hAnsi="Times New Roman" w:cs="Times New Roman"/>
          <w:color w:val="000000" w:themeColor="text1"/>
          <w:sz w:val="24"/>
          <w:szCs w:val="24"/>
          <w:u w:color="365F91"/>
        </w:rPr>
        <w:t>resilience of communities. She noted the need for stakeholders, including donors, to work ‘horizontal</w:t>
      </w:r>
      <w:r w:rsidR="005313BC">
        <w:rPr>
          <w:rFonts w:ascii="Times New Roman" w:hAnsi="Times New Roman" w:cs="Times New Roman"/>
          <w:color w:val="000000" w:themeColor="text1"/>
          <w:sz w:val="24"/>
          <w:szCs w:val="24"/>
          <w:u w:color="365F91"/>
        </w:rPr>
        <w:t xml:space="preserve">ly’, </w:t>
      </w:r>
      <w:r w:rsidR="00BE3BA4">
        <w:rPr>
          <w:rFonts w:ascii="Times New Roman" w:hAnsi="Times New Roman" w:cs="Times New Roman"/>
          <w:color w:val="000000" w:themeColor="text1"/>
          <w:sz w:val="24"/>
          <w:szCs w:val="24"/>
          <w:u w:color="365F91"/>
        </w:rPr>
        <w:t xml:space="preserve">out of traditional humanitarian-development or sectoral silos, and with a wider range of actors: from the World Bank, to national Governments and the private sector. </w:t>
      </w:r>
      <w:r w:rsidR="00EC1653">
        <w:rPr>
          <w:rFonts w:ascii="Times New Roman" w:hAnsi="Times New Roman" w:cs="Times New Roman"/>
          <w:color w:val="000000" w:themeColor="text1"/>
          <w:sz w:val="24"/>
          <w:szCs w:val="24"/>
          <w:u w:color="365F91"/>
        </w:rPr>
        <w:t>The Envoys anticipate piloting the ‘Blueprint’</w:t>
      </w:r>
      <w:r w:rsidR="005313BC">
        <w:rPr>
          <w:rFonts w:ascii="Times New Roman" w:hAnsi="Times New Roman" w:cs="Times New Roman"/>
          <w:color w:val="000000" w:themeColor="text1"/>
          <w:sz w:val="24"/>
          <w:szCs w:val="24"/>
          <w:u w:color="365F91"/>
        </w:rPr>
        <w:t xml:space="preserve"> from early April 2017, and</w:t>
      </w:r>
      <w:r w:rsidR="00EC1653">
        <w:rPr>
          <w:rFonts w:ascii="Times New Roman" w:hAnsi="Times New Roman" w:cs="Times New Roman"/>
          <w:color w:val="000000" w:themeColor="text1"/>
          <w:sz w:val="24"/>
          <w:szCs w:val="24"/>
          <w:u w:color="365F91"/>
        </w:rPr>
        <w:t xml:space="preserve"> are </w:t>
      </w:r>
      <w:r w:rsidR="005313BC">
        <w:rPr>
          <w:rFonts w:ascii="Times New Roman" w:hAnsi="Times New Roman" w:cs="Times New Roman"/>
          <w:color w:val="000000" w:themeColor="text1"/>
          <w:sz w:val="24"/>
          <w:szCs w:val="24"/>
          <w:u w:color="365F91"/>
        </w:rPr>
        <w:t xml:space="preserve">already </w:t>
      </w:r>
      <w:r w:rsidR="00EC1653">
        <w:rPr>
          <w:rFonts w:ascii="Times New Roman" w:hAnsi="Times New Roman" w:cs="Times New Roman"/>
          <w:color w:val="000000" w:themeColor="text1"/>
          <w:sz w:val="24"/>
          <w:szCs w:val="24"/>
          <w:u w:color="365F91"/>
        </w:rPr>
        <w:t xml:space="preserve">engaging with a number of countries on this, including </w:t>
      </w:r>
      <w:r w:rsidR="00EC1653" w:rsidRPr="00377609">
        <w:rPr>
          <w:rFonts w:ascii="Times New Roman" w:hAnsi="Times New Roman" w:cs="Times New Roman"/>
          <w:sz w:val="24"/>
          <w:szCs w:val="24"/>
          <w:u w:color="365F91"/>
        </w:rPr>
        <w:t>Ethiopia, Mozambique, Honduras, Palau, Zimbabwe, Ti</w:t>
      </w:r>
      <w:r w:rsidR="00EC1653">
        <w:rPr>
          <w:rFonts w:ascii="Times New Roman" w:hAnsi="Times New Roman" w:cs="Times New Roman"/>
          <w:sz w:val="24"/>
          <w:szCs w:val="24"/>
          <w:u w:color="365F91"/>
        </w:rPr>
        <w:t>mor Le</w:t>
      </w:r>
      <w:r w:rsidR="00EC1653" w:rsidRPr="00377609">
        <w:rPr>
          <w:rFonts w:ascii="Times New Roman" w:hAnsi="Times New Roman" w:cs="Times New Roman"/>
          <w:sz w:val="24"/>
          <w:szCs w:val="24"/>
          <w:u w:color="365F91"/>
        </w:rPr>
        <w:t xml:space="preserve">ste, </w:t>
      </w:r>
      <w:r w:rsidR="00A36CF3">
        <w:rPr>
          <w:rFonts w:ascii="Times New Roman" w:hAnsi="Times New Roman" w:cs="Times New Roman"/>
          <w:sz w:val="24"/>
          <w:szCs w:val="24"/>
          <w:u w:color="365F91"/>
        </w:rPr>
        <w:t>and Botswana</w:t>
      </w:r>
      <w:r w:rsidR="00EC1653">
        <w:rPr>
          <w:rFonts w:ascii="Times New Roman" w:hAnsi="Times New Roman" w:cs="Times New Roman"/>
          <w:sz w:val="24"/>
          <w:szCs w:val="24"/>
          <w:u w:color="365F91"/>
        </w:rPr>
        <w:t>. National leadership and ownership will be a key component for success.</w:t>
      </w:r>
    </w:p>
    <w:p w14:paraId="1C795E03" w14:textId="77777777" w:rsidR="0061506B" w:rsidRDefault="0061506B" w:rsidP="00651B85">
      <w:pPr>
        <w:pStyle w:val="BodyA"/>
        <w:tabs>
          <w:tab w:val="left" w:pos="567"/>
          <w:tab w:val="left" w:pos="992"/>
        </w:tabs>
        <w:jc w:val="both"/>
        <w:rPr>
          <w:rFonts w:ascii="Times New Roman" w:hAnsi="Times New Roman" w:cs="Times New Roman"/>
          <w:color w:val="000000" w:themeColor="text1"/>
          <w:sz w:val="24"/>
          <w:szCs w:val="24"/>
          <w:u w:color="365F91"/>
        </w:rPr>
      </w:pPr>
    </w:p>
    <w:p w14:paraId="51747D90" w14:textId="631AB767" w:rsidR="007E0784" w:rsidRDefault="00EC1653" w:rsidP="00BD362A">
      <w:pPr>
        <w:pStyle w:val="BodyA"/>
        <w:tabs>
          <w:tab w:val="left" w:pos="567"/>
          <w:tab w:val="left" w:pos="992"/>
        </w:tabs>
        <w:spacing w:after="240"/>
        <w:jc w:val="both"/>
        <w:rPr>
          <w:rFonts w:ascii="Times New Roman" w:hAnsi="Times New Roman" w:cs="Times New Roman"/>
          <w:color w:val="000000" w:themeColor="text1"/>
          <w:sz w:val="24"/>
          <w:szCs w:val="24"/>
          <w:u w:color="365F91"/>
        </w:rPr>
      </w:pPr>
      <w:r>
        <w:rPr>
          <w:rFonts w:ascii="Times New Roman" w:hAnsi="Times New Roman" w:cs="Times New Roman"/>
          <w:color w:val="000000" w:themeColor="text1"/>
          <w:sz w:val="24"/>
          <w:szCs w:val="24"/>
          <w:u w:color="365F91"/>
        </w:rPr>
        <w:t xml:space="preserve">The discussion reinforced the need for ‘bottom-up’ approaches, </w:t>
      </w:r>
      <w:r w:rsidR="005313BC">
        <w:rPr>
          <w:rFonts w:ascii="Times New Roman" w:hAnsi="Times New Roman" w:cs="Times New Roman"/>
          <w:color w:val="000000" w:themeColor="text1"/>
          <w:sz w:val="24"/>
          <w:szCs w:val="24"/>
          <w:u w:color="365F91"/>
        </w:rPr>
        <w:t xml:space="preserve">as well as </w:t>
      </w:r>
      <w:r w:rsidR="007E0784">
        <w:rPr>
          <w:rFonts w:ascii="Times New Roman" w:hAnsi="Times New Roman" w:cs="Times New Roman"/>
          <w:color w:val="000000" w:themeColor="text1"/>
          <w:sz w:val="24"/>
          <w:szCs w:val="24"/>
          <w:u w:color="365F91"/>
        </w:rPr>
        <w:t xml:space="preserve">early and </w:t>
      </w:r>
      <w:r>
        <w:rPr>
          <w:rFonts w:ascii="Times New Roman" w:hAnsi="Times New Roman" w:cs="Times New Roman"/>
          <w:color w:val="000000" w:themeColor="text1"/>
          <w:sz w:val="24"/>
          <w:szCs w:val="24"/>
          <w:u w:color="365F91"/>
        </w:rPr>
        <w:t xml:space="preserve">enhanced engagement </w:t>
      </w:r>
      <w:r w:rsidR="007E0784">
        <w:rPr>
          <w:rFonts w:ascii="Times New Roman" w:hAnsi="Times New Roman" w:cs="Times New Roman"/>
          <w:color w:val="000000" w:themeColor="text1"/>
          <w:sz w:val="24"/>
          <w:szCs w:val="24"/>
          <w:u w:color="365F91"/>
        </w:rPr>
        <w:t xml:space="preserve">by RC/HCs, </w:t>
      </w:r>
      <w:r>
        <w:rPr>
          <w:rFonts w:ascii="Times New Roman" w:hAnsi="Times New Roman" w:cs="Times New Roman"/>
          <w:color w:val="000000" w:themeColor="text1"/>
          <w:sz w:val="24"/>
          <w:szCs w:val="24"/>
          <w:u w:color="365F91"/>
        </w:rPr>
        <w:t>HCTs</w:t>
      </w:r>
      <w:r w:rsidR="007E0784">
        <w:rPr>
          <w:rFonts w:ascii="Times New Roman" w:hAnsi="Times New Roman" w:cs="Times New Roman"/>
          <w:color w:val="000000" w:themeColor="text1"/>
          <w:sz w:val="24"/>
          <w:szCs w:val="24"/>
          <w:u w:color="365F91"/>
        </w:rPr>
        <w:t xml:space="preserve"> and with </w:t>
      </w:r>
      <w:r>
        <w:rPr>
          <w:rFonts w:ascii="Times New Roman" w:hAnsi="Times New Roman" w:cs="Times New Roman"/>
          <w:color w:val="000000" w:themeColor="text1"/>
          <w:sz w:val="24"/>
          <w:szCs w:val="24"/>
          <w:u w:color="365F91"/>
        </w:rPr>
        <w:t>national actors</w:t>
      </w:r>
      <w:r w:rsidR="007E0784">
        <w:rPr>
          <w:rFonts w:ascii="Times New Roman" w:hAnsi="Times New Roman" w:cs="Times New Roman"/>
          <w:color w:val="000000" w:themeColor="text1"/>
          <w:sz w:val="24"/>
          <w:szCs w:val="24"/>
          <w:u w:color="365F91"/>
        </w:rPr>
        <w:t xml:space="preserve"> and civil society to ensure a coherent approach which draws on the comparativ</w:t>
      </w:r>
      <w:r w:rsidR="00BF532E">
        <w:rPr>
          <w:rFonts w:ascii="Times New Roman" w:hAnsi="Times New Roman" w:cs="Times New Roman"/>
          <w:color w:val="000000" w:themeColor="text1"/>
          <w:sz w:val="24"/>
          <w:szCs w:val="24"/>
          <w:u w:color="365F91"/>
        </w:rPr>
        <w:t>e advantage and experience of all stakeholders</w:t>
      </w:r>
      <w:r w:rsidR="007E0784">
        <w:rPr>
          <w:rFonts w:ascii="Times New Roman" w:hAnsi="Times New Roman" w:cs="Times New Roman"/>
          <w:color w:val="000000" w:themeColor="text1"/>
          <w:sz w:val="24"/>
          <w:szCs w:val="24"/>
          <w:u w:color="365F91"/>
        </w:rPr>
        <w:t xml:space="preserve"> and affected groups, including women and girls. The importance of sound analysis was empha</w:t>
      </w:r>
      <w:r w:rsidR="00BF532E">
        <w:rPr>
          <w:rFonts w:ascii="Times New Roman" w:hAnsi="Times New Roman" w:cs="Times New Roman"/>
          <w:color w:val="000000" w:themeColor="text1"/>
          <w:sz w:val="24"/>
          <w:szCs w:val="24"/>
          <w:u w:color="365F91"/>
        </w:rPr>
        <w:t xml:space="preserve">sized </w:t>
      </w:r>
      <w:r w:rsidR="00BF532E">
        <w:rPr>
          <w:rFonts w:ascii="Times New Roman" w:hAnsi="Times New Roman" w:cs="Times New Roman"/>
          <w:color w:val="000000" w:themeColor="text1"/>
          <w:sz w:val="24"/>
          <w:szCs w:val="24"/>
          <w:u w:color="365F91"/>
        </w:rPr>
        <w:lastRenderedPageBreak/>
        <w:t xml:space="preserve">and, in relation to the </w:t>
      </w:r>
      <w:r w:rsidR="00651B85">
        <w:rPr>
          <w:rFonts w:ascii="Times New Roman" w:hAnsi="Times New Roman" w:cs="Times New Roman"/>
          <w:color w:val="000000" w:themeColor="text1"/>
          <w:sz w:val="24"/>
          <w:szCs w:val="24"/>
          <w:u w:color="365F91"/>
        </w:rPr>
        <w:t>on-going</w:t>
      </w:r>
      <w:r w:rsidR="00BD362A">
        <w:rPr>
          <w:rFonts w:ascii="Times New Roman" w:hAnsi="Times New Roman" w:cs="Times New Roman"/>
          <w:color w:val="000000" w:themeColor="text1"/>
          <w:sz w:val="24"/>
          <w:szCs w:val="24"/>
          <w:u w:color="365F91"/>
        </w:rPr>
        <w:t xml:space="preserve"> development of Standard Operating Procedures for response in El Nino contexts</w:t>
      </w:r>
      <w:r w:rsidR="00BF532E">
        <w:rPr>
          <w:rFonts w:ascii="Times New Roman" w:hAnsi="Times New Roman" w:cs="Times New Roman"/>
          <w:color w:val="000000" w:themeColor="text1"/>
          <w:sz w:val="24"/>
          <w:szCs w:val="24"/>
          <w:u w:color="365F91"/>
        </w:rPr>
        <w:t>,</w:t>
      </w:r>
      <w:r w:rsidR="007E0784">
        <w:rPr>
          <w:rFonts w:ascii="Times New Roman" w:hAnsi="Times New Roman" w:cs="Times New Roman"/>
          <w:color w:val="000000" w:themeColor="text1"/>
          <w:sz w:val="24"/>
          <w:szCs w:val="24"/>
          <w:u w:color="365F91"/>
        </w:rPr>
        <w:t xml:space="preserve"> Principals agreed that both </w:t>
      </w:r>
      <w:r w:rsidR="00BE3BA4">
        <w:rPr>
          <w:rFonts w:ascii="Times New Roman" w:hAnsi="Times New Roman" w:cs="Times New Roman"/>
          <w:color w:val="000000" w:themeColor="text1"/>
          <w:sz w:val="24"/>
          <w:szCs w:val="24"/>
          <w:u w:color="365F91"/>
        </w:rPr>
        <w:t>preparedness and early action is essential to mitig</w:t>
      </w:r>
      <w:r w:rsidR="00750DB1">
        <w:rPr>
          <w:rFonts w:ascii="Times New Roman" w:hAnsi="Times New Roman" w:cs="Times New Roman"/>
          <w:color w:val="000000" w:themeColor="text1"/>
          <w:sz w:val="24"/>
          <w:szCs w:val="24"/>
          <w:u w:color="365F91"/>
        </w:rPr>
        <w:t>ate possible</w:t>
      </w:r>
      <w:r w:rsidR="007E0784">
        <w:rPr>
          <w:rFonts w:ascii="Times New Roman" w:hAnsi="Times New Roman" w:cs="Times New Roman"/>
          <w:color w:val="000000" w:themeColor="text1"/>
          <w:sz w:val="24"/>
          <w:szCs w:val="24"/>
          <w:u w:color="365F91"/>
        </w:rPr>
        <w:t xml:space="preserve"> </w:t>
      </w:r>
      <w:r w:rsidR="00BE3BA4">
        <w:rPr>
          <w:rFonts w:ascii="Times New Roman" w:hAnsi="Times New Roman" w:cs="Times New Roman"/>
          <w:color w:val="000000" w:themeColor="text1"/>
          <w:sz w:val="24"/>
          <w:szCs w:val="24"/>
          <w:u w:color="365F91"/>
        </w:rPr>
        <w:t>El Nino</w:t>
      </w:r>
      <w:r w:rsidR="007E0784">
        <w:rPr>
          <w:rFonts w:ascii="Times New Roman" w:hAnsi="Times New Roman" w:cs="Times New Roman"/>
          <w:color w:val="000000" w:themeColor="text1"/>
          <w:sz w:val="24"/>
          <w:szCs w:val="24"/>
          <w:u w:color="365F91"/>
        </w:rPr>
        <w:t xml:space="preserve"> impacts</w:t>
      </w:r>
      <w:r w:rsidR="00BE3BA4">
        <w:rPr>
          <w:rFonts w:ascii="Times New Roman" w:hAnsi="Times New Roman" w:cs="Times New Roman"/>
          <w:color w:val="000000" w:themeColor="text1"/>
          <w:sz w:val="24"/>
          <w:szCs w:val="24"/>
          <w:u w:color="365F91"/>
        </w:rPr>
        <w:t>, and could prevent full-scale humanitari</w:t>
      </w:r>
      <w:r w:rsidR="007E0784">
        <w:rPr>
          <w:rFonts w:ascii="Times New Roman" w:hAnsi="Times New Roman" w:cs="Times New Roman"/>
          <w:color w:val="000000" w:themeColor="text1"/>
          <w:sz w:val="24"/>
          <w:szCs w:val="24"/>
          <w:u w:color="365F91"/>
        </w:rPr>
        <w:t xml:space="preserve">an crisis. </w:t>
      </w:r>
    </w:p>
    <w:p w14:paraId="5A28DE91" w14:textId="2C63E9A5" w:rsidR="00BE3BA4" w:rsidRDefault="007E0784" w:rsidP="007D5EF8">
      <w:pPr>
        <w:pStyle w:val="BodyA"/>
        <w:tabs>
          <w:tab w:val="left" w:pos="567"/>
          <w:tab w:val="left" w:pos="992"/>
        </w:tabs>
        <w:spacing w:after="240"/>
        <w:jc w:val="both"/>
        <w:rPr>
          <w:rFonts w:ascii="Times New Roman" w:hAnsi="Times New Roman" w:cs="Times New Roman"/>
          <w:color w:val="000000" w:themeColor="text1"/>
          <w:sz w:val="24"/>
          <w:szCs w:val="24"/>
          <w:u w:color="365F91"/>
        </w:rPr>
      </w:pPr>
      <w:r>
        <w:rPr>
          <w:rFonts w:ascii="Times New Roman" w:hAnsi="Times New Roman" w:cs="Times New Roman"/>
          <w:color w:val="000000" w:themeColor="text1"/>
          <w:sz w:val="24"/>
          <w:szCs w:val="24"/>
          <w:u w:color="365F91"/>
        </w:rPr>
        <w:t>Principals expressed broad support for the ‘Blueprint for Action’, agreeing the importance of ensuring use of</w:t>
      </w:r>
      <w:r w:rsidR="005313BC">
        <w:rPr>
          <w:rFonts w:ascii="Times New Roman" w:hAnsi="Times New Roman" w:cs="Times New Roman"/>
          <w:color w:val="000000" w:themeColor="text1"/>
          <w:sz w:val="24"/>
          <w:szCs w:val="24"/>
          <w:u w:color="365F91"/>
        </w:rPr>
        <w:t>,</w:t>
      </w:r>
      <w:r>
        <w:rPr>
          <w:rFonts w:ascii="Times New Roman" w:hAnsi="Times New Roman" w:cs="Times New Roman"/>
          <w:color w:val="000000" w:themeColor="text1"/>
          <w:sz w:val="24"/>
          <w:szCs w:val="24"/>
          <w:u w:color="365F91"/>
        </w:rPr>
        <w:t xml:space="preserve"> and links to</w:t>
      </w:r>
      <w:r w:rsidR="005313BC">
        <w:rPr>
          <w:rFonts w:ascii="Times New Roman" w:hAnsi="Times New Roman" w:cs="Times New Roman"/>
          <w:color w:val="000000" w:themeColor="text1"/>
          <w:sz w:val="24"/>
          <w:szCs w:val="24"/>
          <w:u w:color="365F91"/>
        </w:rPr>
        <w:t>,</w:t>
      </w:r>
      <w:r>
        <w:rPr>
          <w:rFonts w:ascii="Times New Roman" w:hAnsi="Times New Roman" w:cs="Times New Roman"/>
          <w:color w:val="000000" w:themeColor="text1"/>
          <w:sz w:val="24"/>
          <w:szCs w:val="24"/>
          <w:u w:color="365F91"/>
        </w:rPr>
        <w:t xml:space="preserve"> existing frameworks and tools, including the Sustainable Developm</w:t>
      </w:r>
      <w:r w:rsidR="008E1603">
        <w:rPr>
          <w:rFonts w:ascii="Times New Roman" w:hAnsi="Times New Roman" w:cs="Times New Roman"/>
          <w:color w:val="000000" w:themeColor="text1"/>
          <w:sz w:val="24"/>
          <w:szCs w:val="24"/>
          <w:u w:color="365F91"/>
        </w:rPr>
        <w:t>ent Goals, T</w:t>
      </w:r>
      <w:r>
        <w:rPr>
          <w:rFonts w:ascii="Times New Roman" w:hAnsi="Times New Roman" w:cs="Times New Roman"/>
          <w:color w:val="000000" w:themeColor="text1"/>
          <w:sz w:val="24"/>
          <w:szCs w:val="24"/>
          <w:u w:color="365F91"/>
        </w:rPr>
        <w:t xml:space="preserve">he Sendai </w:t>
      </w:r>
      <w:r w:rsidR="008E1603">
        <w:rPr>
          <w:rFonts w:ascii="Times New Roman" w:hAnsi="Times New Roman" w:cs="Times New Roman"/>
          <w:color w:val="000000" w:themeColor="text1"/>
          <w:sz w:val="24"/>
          <w:szCs w:val="24"/>
          <w:u w:color="365F91"/>
        </w:rPr>
        <w:t>Framework for Disaster Risk Reduction 2015-2030</w:t>
      </w:r>
      <w:r>
        <w:rPr>
          <w:rFonts w:ascii="Times New Roman" w:hAnsi="Times New Roman" w:cs="Times New Roman"/>
          <w:color w:val="000000" w:themeColor="text1"/>
          <w:sz w:val="24"/>
          <w:szCs w:val="24"/>
          <w:u w:color="365F91"/>
        </w:rPr>
        <w:t xml:space="preserve"> and </w:t>
      </w:r>
      <w:r w:rsidR="008E1603">
        <w:rPr>
          <w:rFonts w:ascii="Times New Roman" w:hAnsi="Times New Roman" w:cs="Times New Roman"/>
          <w:color w:val="000000" w:themeColor="text1"/>
          <w:sz w:val="24"/>
          <w:szCs w:val="24"/>
          <w:u w:color="365F91"/>
        </w:rPr>
        <w:t>the Paris Agreement on climate change,</w:t>
      </w:r>
      <w:r w:rsidR="005313BC">
        <w:rPr>
          <w:rFonts w:ascii="Times New Roman" w:hAnsi="Times New Roman" w:cs="Times New Roman"/>
          <w:color w:val="000000" w:themeColor="text1"/>
          <w:sz w:val="24"/>
          <w:szCs w:val="24"/>
          <w:u w:color="365F91"/>
        </w:rPr>
        <w:t xml:space="preserve"> </w:t>
      </w:r>
      <w:r w:rsidR="00750DB1">
        <w:rPr>
          <w:rFonts w:ascii="Times New Roman" w:hAnsi="Times New Roman" w:cs="Times New Roman"/>
          <w:color w:val="000000" w:themeColor="text1"/>
          <w:sz w:val="24"/>
          <w:szCs w:val="24"/>
          <w:u w:color="365F91"/>
        </w:rPr>
        <w:t xml:space="preserve">as well as ensuring consistency within and across existing IASC policies on disaster response and resilience. Increasing engagement with, and alignment to, </w:t>
      </w:r>
      <w:r>
        <w:rPr>
          <w:rFonts w:ascii="Times New Roman" w:hAnsi="Times New Roman" w:cs="Times New Roman"/>
          <w:color w:val="000000" w:themeColor="text1"/>
          <w:sz w:val="24"/>
          <w:szCs w:val="24"/>
          <w:u w:color="365F91"/>
        </w:rPr>
        <w:t xml:space="preserve">the </w:t>
      </w:r>
      <w:r w:rsidR="008E1603">
        <w:rPr>
          <w:rFonts w:ascii="Times New Roman" w:hAnsi="Times New Roman" w:cs="Times New Roman"/>
          <w:color w:val="000000" w:themeColor="text1"/>
          <w:sz w:val="24"/>
          <w:szCs w:val="24"/>
          <w:u w:color="365F91"/>
        </w:rPr>
        <w:t>UN Secretary-General’s ‘Climate Resilience Initiative A2R – Anticipate, Absorb, Reshape’</w:t>
      </w:r>
      <w:r w:rsidR="00750DB1">
        <w:rPr>
          <w:rFonts w:ascii="Times New Roman" w:hAnsi="Times New Roman" w:cs="Times New Roman"/>
          <w:color w:val="000000" w:themeColor="text1"/>
          <w:sz w:val="24"/>
          <w:szCs w:val="24"/>
          <w:u w:color="365F91"/>
        </w:rPr>
        <w:t xml:space="preserve"> was proposed as a concrete </w:t>
      </w:r>
      <w:r w:rsidR="007D5EF8">
        <w:rPr>
          <w:rFonts w:ascii="Times New Roman" w:hAnsi="Times New Roman" w:cs="Times New Roman"/>
          <w:color w:val="000000" w:themeColor="text1"/>
          <w:sz w:val="24"/>
          <w:szCs w:val="24"/>
          <w:u w:color="365F91"/>
        </w:rPr>
        <w:t>way</w:t>
      </w:r>
      <w:r w:rsidR="00750DB1">
        <w:rPr>
          <w:rFonts w:ascii="Times New Roman" w:hAnsi="Times New Roman" w:cs="Times New Roman"/>
          <w:color w:val="000000" w:themeColor="text1"/>
          <w:sz w:val="24"/>
          <w:szCs w:val="24"/>
          <w:u w:color="365F91"/>
        </w:rPr>
        <w:t xml:space="preserve"> to take forward </w:t>
      </w:r>
      <w:r w:rsidR="00AC61AB">
        <w:rPr>
          <w:rFonts w:ascii="Times New Roman" w:hAnsi="Times New Roman" w:cs="Times New Roman"/>
          <w:color w:val="000000" w:themeColor="text1"/>
          <w:sz w:val="24"/>
          <w:szCs w:val="24"/>
          <w:u w:color="365F91"/>
        </w:rPr>
        <w:t>both the ‘Blueprint’ and new linkages and ways of doing business</w:t>
      </w:r>
      <w:r w:rsidR="00750DB1">
        <w:rPr>
          <w:rFonts w:ascii="Times New Roman" w:hAnsi="Times New Roman" w:cs="Times New Roman"/>
          <w:color w:val="000000" w:themeColor="text1"/>
          <w:sz w:val="24"/>
          <w:szCs w:val="24"/>
          <w:u w:color="365F91"/>
        </w:rPr>
        <w:t xml:space="preserve">. </w:t>
      </w:r>
    </w:p>
    <w:p w14:paraId="76541705" w14:textId="0B01174D" w:rsidR="00DC5F45" w:rsidRPr="00377609" w:rsidRDefault="00333A29" w:rsidP="00377609">
      <w:pPr>
        <w:pStyle w:val="BodyA"/>
        <w:tabs>
          <w:tab w:val="left" w:pos="567"/>
          <w:tab w:val="left" w:pos="992"/>
        </w:tabs>
        <w:spacing w:after="240"/>
        <w:jc w:val="both"/>
        <w:rPr>
          <w:rFonts w:ascii="Times New Roman" w:eastAsia="Times New Roman" w:hAnsi="Times New Roman" w:cs="Times New Roman"/>
          <w:b/>
          <w:bCs/>
          <w:sz w:val="24"/>
          <w:szCs w:val="24"/>
          <w:u w:color="365F91"/>
        </w:rPr>
      </w:pPr>
      <w:r>
        <w:rPr>
          <w:rFonts w:ascii="Times New Roman" w:hAnsi="Times New Roman" w:cs="Times New Roman"/>
          <w:b/>
          <w:bCs/>
          <w:sz w:val="24"/>
          <w:szCs w:val="24"/>
          <w:u w:color="365F91"/>
        </w:rPr>
        <w:t xml:space="preserve">The IASC </w:t>
      </w:r>
      <w:r w:rsidR="00BF532E">
        <w:rPr>
          <w:rFonts w:ascii="Times New Roman" w:hAnsi="Times New Roman" w:cs="Times New Roman"/>
          <w:b/>
          <w:bCs/>
          <w:sz w:val="24"/>
          <w:szCs w:val="24"/>
          <w:u w:color="365F91"/>
        </w:rPr>
        <w:t>Principals</w:t>
      </w:r>
      <w:r w:rsidR="00D96ADC">
        <w:rPr>
          <w:rFonts w:ascii="Times New Roman" w:hAnsi="Times New Roman" w:cs="Times New Roman"/>
          <w:b/>
          <w:bCs/>
          <w:sz w:val="24"/>
          <w:szCs w:val="24"/>
          <w:u w:color="365F91"/>
        </w:rPr>
        <w:t xml:space="preserve"> </w:t>
      </w:r>
      <w:r w:rsidR="00BF532E">
        <w:rPr>
          <w:rFonts w:ascii="Times New Roman" w:hAnsi="Times New Roman" w:cs="Times New Roman"/>
          <w:b/>
          <w:bCs/>
          <w:sz w:val="24"/>
          <w:szCs w:val="24"/>
          <w:u w:color="365F91"/>
        </w:rPr>
        <w:t>agreed to:</w:t>
      </w:r>
    </w:p>
    <w:p w14:paraId="54A776F6" w14:textId="44210583" w:rsidR="008E1603" w:rsidRPr="00AC61AB" w:rsidRDefault="00BF532E" w:rsidP="0030120C">
      <w:pPr>
        <w:pStyle w:val="BodyA"/>
        <w:numPr>
          <w:ilvl w:val="0"/>
          <w:numId w:val="5"/>
        </w:numPr>
        <w:tabs>
          <w:tab w:val="left" w:pos="567"/>
          <w:tab w:val="left" w:pos="992"/>
        </w:tabs>
        <w:spacing w:after="240"/>
        <w:jc w:val="both"/>
        <w:rPr>
          <w:rFonts w:ascii="Times New Roman" w:hAnsi="Times New Roman" w:cs="Times New Roman"/>
          <w:i/>
          <w:iCs/>
          <w:color w:val="auto"/>
          <w:sz w:val="24"/>
          <w:szCs w:val="24"/>
          <w:u w:color="365F91"/>
        </w:rPr>
      </w:pPr>
      <w:r w:rsidRPr="00AC61AB">
        <w:rPr>
          <w:rFonts w:ascii="Times New Roman" w:hAnsi="Times New Roman" w:cs="Times New Roman"/>
          <w:i/>
          <w:iCs/>
          <w:color w:val="auto"/>
          <w:sz w:val="24"/>
          <w:szCs w:val="24"/>
          <w:u w:color="365F91"/>
        </w:rPr>
        <w:t>Support use</w:t>
      </w:r>
      <w:r w:rsidR="008E1603" w:rsidRPr="00AC61AB">
        <w:rPr>
          <w:rFonts w:ascii="Times New Roman" w:hAnsi="Times New Roman" w:cs="Times New Roman"/>
          <w:i/>
          <w:iCs/>
          <w:color w:val="auto"/>
          <w:sz w:val="24"/>
          <w:szCs w:val="24"/>
          <w:u w:color="365F91"/>
        </w:rPr>
        <w:t xml:space="preserve"> of the ‘Blueprint for Action’</w:t>
      </w:r>
      <w:r w:rsidR="00326A4F">
        <w:rPr>
          <w:rFonts w:ascii="Times New Roman" w:hAnsi="Times New Roman" w:cs="Times New Roman"/>
          <w:i/>
          <w:iCs/>
          <w:color w:val="auto"/>
          <w:sz w:val="24"/>
          <w:szCs w:val="24"/>
          <w:u w:color="365F91"/>
        </w:rPr>
        <w:t xml:space="preserve"> in relevant contexts</w:t>
      </w:r>
      <w:r w:rsidR="008E1603" w:rsidRPr="00AC61AB">
        <w:rPr>
          <w:rFonts w:ascii="Times New Roman" w:hAnsi="Times New Roman" w:cs="Times New Roman"/>
          <w:i/>
          <w:iCs/>
          <w:color w:val="auto"/>
          <w:sz w:val="24"/>
          <w:szCs w:val="24"/>
          <w:u w:color="365F91"/>
        </w:rPr>
        <w:t xml:space="preserve">. </w:t>
      </w:r>
      <w:r w:rsidR="008E1603" w:rsidRPr="00AC61AB">
        <w:rPr>
          <w:rFonts w:ascii="Times New Roman" w:hAnsi="Times New Roman" w:cs="Times New Roman"/>
          <w:b/>
          <w:bCs/>
          <w:i/>
          <w:iCs/>
          <w:color w:val="auto"/>
          <w:sz w:val="24"/>
          <w:szCs w:val="24"/>
          <w:u w:color="365F91"/>
        </w:rPr>
        <w:t>Action by: IASC Principals through 2016/2017.</w:t>
      </w:r>
    </w:p>
    <w:p w14:paraId="49B06666" w14:textId="2E925C9E" w:rsidR="00BF532E" w:rsidRPr="00AC61AB" w:rsidRDefault="008E1603" w:rsidP="00326A4F">
      <w:pPr>
        <w:pStyle w:val="BodyA"/>
        <w:numPr>
          <w:ilvl w:val="0"/>
          <w:numId w:val="5"/>
        </w:numPr>
        <w:tabs>
          <w:tab w:val="left" w:pos="567"/>
          <w:tab w:val="left" w:pos="992"/>
        </w:tabs>
        <w:spacing w:after="240"/>
        <w:jc w:val="both"/>
        <w:rPr>
          <w:rFonts w:ascii="Times New Roman" w:hAnsi="Times New Roman" w:cs="Times New Roman"/>
          <w:i/>
          <w:iCs/>
          <w:color w:val="auto"/>
          <w:sz w:val="24"/>
          <w:szCs w:val="24"/>
          <w:u w:color="365F91"/>
        </w:rPr>
      </w:pPr>
      <w:r w:rsidRPr="00405A1F">
        <w:rPr>
          <w:rFonts w:ascii="Times New Roman" w:hAnsi="Times New Roman" w:cs="Times New Roman"/>
          <w:i/>
          <w:iCs/>
          <w:color w:val="auto"/>
          <w:sz w:val="24"/>
          <w:szCs w:val="24"/>
        </w:rPr>
        <w:t xml:space="preserve">Consult </w:t>
      </w:r>
      <w:r w:rsidR="00BD362A" w:rsidRPr="00405A1F">
        <w:rPr>
          <w:rFonts w:ascii="Times New Roman" w:hAnsi="Times New Roman" w:cs="Times New Roman"/>
          <w:i/>
          <w:iCs/>
          <w:color w:val="auto"/>
          <w:sz w:val="24"/>
          <w:szCs w:val="24"/>
        </w:rPr>
        <w:t xml:space="preserve">and </w:t>
      </w:r>
      <w:r w:rsidR="00326A4F" w:rsidRPr="00405A1F">
        <w:rPr>
          <w:rFonts w:ascii="Times New Roman" w:hAnsi="Times New Roman" w:cs="Times New Roman"/>
          <w:i/>
          <w:iCs/>
          <w:color w:val="auto"/>
          <w:sz w:val="24"/>
          <w:szCs w:val="24"/>
        </w:rPr>
        <w:t>agree on</w:t>
      </w:r>
      <w:r w:rsidR="00BD362A" w:rsidRPr="00405A1F">
        <w:rPr>
          <w:rFonts w:ascii="Times New Roman" w:hAnsi="Times New Roman" w:cs="Times New Roman"/>
          <w:i/>
          <w:iCs/>
          <w:color w:val="auto"/>
          <w:sz w:val="24"/>
          <w:szCs w:val="24"/>
        </w:rPr>
        <w:t xml:space="preserve"> </w:t>
      </w:r>
      <w:r w:rsidR="00BF532E" w:rsidRPr="00405A1F">
        <w:rPr>
          <w:rFonts w:ascii="Times New Roman" w:hAnsi="Times New Roman" w:cs="Times New Roman"/>
          <w:i/>
          <w:iCs/>
          <w:color w:val="auto"/>
          <w:sz w:val="24"/>
          <w:szCs w:val="24"/>
        </w:rPr>
        <w:t>I</w:t>
      </w:r>
      <w:r w:rsidR="00BD362A" w:rsidRPr="00405A1F">
        <w:rPr>
          <w:rFonts w:ascii="Times New Roman" w:hAnsi="Times New Roman" w:cs="Times New Roman"/>
          <w:i/>
          <w:iCs/>
          <w:color w:val="auto"/>
          <w:sz w:val="24"/>
          <w:szCs w:val="24"/>
        </w:rPr>
        <w:t xml:space="preserve">nter-Agency Standard </w:t>
      </w:r>
      <w:r w:rsidR="00BD362A" w:rsidRPr="00040394">
        <w:rPr>
          <w:rFonts w:ascii="Times New Roman" w:hAnsi="Times New Roman" w:cs="Times New Roman"/>
          <w:i/>
          <w:iCs/>
          <w:color w:val="auto"/>
          <w:sz w:val="24"/>
          <w:szCs w:val="24"/>
        </w:rPr>
        <w:t xml:space="preserve">Operating </w:t>
      </w:r>
      <w:r w:rsidR="00BD362A">
        <w:rPr>
          <w:rFonts w:ascii="Times New Roman" w:hAnsi="Times New Roman" w:cs="Times New Roman"/>
          <w:i/>
          <w:iCs/>
          <w:color w:val="auto"/>
          <w:sz w:val="24"/>
          <w:szCs w:val="24"/>
        </w:rPr>
        <w:t>P</w:t>
      </w:r>
      <w:r w:rsidR="00BF532E" w:rsidRPr="00AC61AB">
        <w:rPr>
          <w:rFonts w:ascii="Times New Roman" w:hAnsi="Times New Roman" w:cs="Times New Roman"/>
          <w:i/>
          <w:iCs/>
          <w:color w:val="auto"/>
          <w:sz w:val="24"/>
          <w:szCs w:val="24"/>
        </w:rPr>
        <w:t>rocedures to guide early action by development and humanitarian actors to future El Nino and La Nina episodes</w:t>
      </w:r>
      <w:r w:rsidR="00040394">
        <w:rPr>
          <w:rFonts w:ascii="Times New Roman" w:hAnsi="Times New Roman" w:cs="Times New Roman"/>
          <w:i/>
          <w:iCs/>
          <w:color w:val="auto"/>
          <w:sz w:val="24"/>
          <w:szCs w:val="24"/>
        </w:rPr>
        <w:t xml:space="preserve"> </w:t>
      </w:r>
      <w:r w:rsidR="00326A4F">
        <w:rPr>
          <w:rFonts w:ascii="Times New Roman" w:hAnsi="Times New Roman" w:cs="Times New Roman"/>
          <w:i/>
          <w:iCs/>
          <w:color w:val="auto"/>
          <w:sz w:val="24"/>
          <w:szCs w:val="24"/>
        </w:rPr>
        <w:t xml:space="preserve">and ensure that these </w:t>
      </w:r>
      <w:r w:rsidR="00040394">
        <w:rPr>
          <w:rFonts w:ascii="Times New Roman" w:hAnsi="Times New Roman" w:cs="Times New Roman"/>
          <w:i/>
          <w:iCs/>
          <w:color w:val="auto"/>
          <w:sz w:val="24"/>
          <w:szCs w:val="24"/>
        </w:rPr>
        <w:t>are aligned with</w:t>
      </w:r>
      <w:r w:rsidR="00326A4F">
        <w:rPr>
          <w:rFonts w:ascii="Times New Roman" w:hAnsi="Times New Roman" w:cs="Times New Roman"/>
          <w:i/>
          <w:iCs/>
          <w:color w:val="auto"/>
          <w:sz w:val="24"/>
          <w:szCs w:val="24"/>
        </w:rPr>
        <w:t>, and relevant elements are integrated in or supplement,</w:t>
      </w:r>
      <w:r w:rsidR="00040394">
        <w:rPr>
          <w:rFonts w:ascii="Times New Roman" w:hAnsi="Times New Roman" w:cs="Times New Roman"/>
          <w:i/>
          <w:iCs/>
          <w:color w:val="auto"/>
          <w:sz w:val="24"/>
          <w:szCs w:val="24"/>
        </w:rPr>
        <w:t xml:space="preserve"> existing IASC guidance</w:t>
      </w:r>
      <w:r w:rsidR="00326A4F">
        <w:rPr>
          <w:rFonts w:ascii="Times New Roman" w:hAnsi="Times New Roman" w:cs="Times New Roman"/>
          <w:i/>
          <w:iCs/>
          <w:color w:val="auto"/>
          <w:sz w:val="24"/>
          <w:szCs w:val="24"/>
        </w:rPr>
        <w:t xml:space="preserve">. </w:t>
      </w:r>
      <w:r w:rsidR="00DA4247">
        <w:rPr>
          <w:rFonts w:ascii="Times New Roman" w:hAnsi="Times New Roman" w:cs="Times New Roman"/>
          <w:i/>
          <w:iCs/>
          <w:color w:val="auto"/>
          <w:sz w:val="24"/>
          <w:szCs w:val="24"/>
        </w:rPr>
        <w:t xml:space="preserve"> </w:t>
      </w:r>
      <w:r w:rsidR="00BF532E" w:rsidRPr="00AC61AB">
        <w:rPr>
          <w:rFonts w:ascii="Times New Roman" w:hAnsi="Times New Roman" w:cs="Times New Roman"/>
          <w:b/>
          <w:bCs/>
          <w:i/>
          <w:iCs/>
          <w:color w:val="auto"/>
          <w:sz w:val="24"/>
          <w:szCs w:val="24"/>
        </w:rPr>
        <w:t>Action</w:t>
      </w:r>
      <w:r w:rsidRPr="00AC61AB">
        <w:rPr>
          <w:rFonts w:ascii="Times New Roman" w:hAnsi="Times New Roman" w:cs="Times New Roman"/>
          <w:b/>
          <w:bCs/>
          <w:i/>
          <w:iCs/>
          <w:color w:val="auto"/>
          <w:sz w:val="24"/>
          <w:szCs w:val="24"/>
        </w:rPr>
        <w:t xml:space="preserve"> by</w:t>
      </w:r>
      <w:r w:rsidR="00BF532E" w:rsidRPr="00AC61AB">
        <w:rPr>
          <w:rFonts w:ascii="Times New Roman" w:hAnsi="Times New Roman" w:cs="Times New Roman"/>
          <w:b/>
          <w:bCs/>
          <w:i/>
          <w:iCs/>
          <w:color w:val="auto"/>
          <w:sz w:val="24"/>
          <w:szCs w:val="24"/>
        </w:rPr>
        <w:t>:</w:t>
      </w:r>
      <w:r w:rsidR="00BF532E" w:rsidRPr="00AC61AB">
        <w:rPr>
          <w:rFonts w:ascii="Times New Roman" w:hAnsi="Times New Roman" w:cs="Times New Roman"/>
          <w:i/>
          <w:iCs/>
          <w:color w:val="auto"/>
          <w:sz w:val="24"/>
          <w:szCs w:val="24"/>
        </w:rPr>
        <w:t xml:space="preserve"> </w:t>
      </w:r>
      <w:r w:rsidRPr="00AC61AB">
        <w:rPr>
          <w:rFonts w:ascii="Times New Roman" w:hAnsi="Times New Roman" w:cs="Times New Roman"/>
          <w:b/>
          <w:bCs/>
          <w:i/>
          <w:iCs/>
          <w:color w:val="auto"/>
          <w:sz w:val="24"/>
          <w:szCs w:val="24"/>
        </w:rPr>
        <w:t xml:space="preserve">OCHA to </w:t>
      </w:r>
      <w:r w:rsidR="00040394">
        <w:rPr>
          <w:rFonts w:ascii="Times New Roman" w:hAnsi="Times New Roman" w:cs="Times New Roman"/>
          <w:b/>
          <w:bCs/>
          <w:i/>
          <w:iCs/>
          <w:color w:val="auto"/>
          <w:sz w:val="24"/>
          <w:szCs w:val="24"/>
        </w:rPr>
        <w:t xml:space="preserve">submit </w:t>
      </w:r>
      <w:r w:rsidRPr="00AC61AB">
        <w:rPr>
          <w:rFonts w:ascii="Times New Roman" w:hAnsi="Times New Roman" w:cs="Times New Roman"/>
          <w:b/>
          <w:bCs/>
          <w:i/>
          <w:iCs/>
          <w:color w:val="auto"/>
          <w:sz w:val="24"/>
          <w:szCs w:val="24"/>
        </w:rPr>
        <w:t>draft SoPs to IASC Working Group</w:t>
      </w:r>
      <w:r w:rsidR="00040394">
        <w:rPr>
          <w:rFonts w:ascii="Times New Roman" w:hAnsi="Times New Roman" w:cs="Times New Roman"/>
          <w:b/>
          <w:bCs/>
          <w:i/>
          <w:iCs/>
          <w:color w:val="auto"/>
          <w:sz w:val="24"/>
          <w:szCs w:val="24"/>
        </w:rPr>
        <w:t xml:space="preserve"> for consideration and recommendation</w:t>
      </w:r>
      <w:r w:rsidR="00A36CF3">
        <w:rPr>
          <w:rFonts w:ascii="Times New Roman" w:hAnsi="Times New Roman" w:cs="Times New Roman"/>
          <w:b/>
          <w:bCs/>
          <w:i/>
          <w:iCs/>
          <w:color w:val="auto"/>
          <w:sz w:val="24"/>
          <w:szCs w:val="24"/>
        </w:rPr>
        <w:t>,</w:t>
      </w:r>
      <w:r w:rsidRPr="00AC61AB">
        <w:rPr>
          <w:rFonts w:ascii="Times New Roman" w:hAnsi="Times New Roman" w:cs="Times New Roman"/>
          <w:b/>
          <w:bCs/>
          <w:i/>
          <w:iCs/>
          <w:color w:val="auto"/>
          <w:sz w:val="24"/>
          <w:szCs w:val="24"/>
        </w:rPr>
        <w:t xml:space="preserve"> prior to </w:t>
      </w:r>
      <w:r w:rsidR="00040394">
        <w:rPr>
          <w:rFonts w:ascii="Times New Roman" w:hAnsi="Times New Roman" w:cs="Times New Roman"/>
          <w:b/>
          <w:bCs/>
          <w:i/>
          <w:iCs/>
          <w:color w:val="auto"/>
          <w:sz w:val="24"/>
          <w:szCs w:val="24"/>
        </w:rPr>
        <w:t xml:space="preserve">submitting to </w:t>
      </w:r>
      <w:r w:rsidRPr="00AC61AB">
        <w:rPr>
          <w:rFonts w:ascii="Times New Roman" w:hAnsi="Times New Roman" w:cs="Times New Roman"/>
          <w:b/>
          <w:bCs/>
          <w:i/>
          <w:iCs/>
          <w:color w:val="auto"/>
          <w:sz w:val="24"/>
          <w:szCs w:val="24"/>
        </w:rPr>
        <w:t xml:space="preserve">IASC Principals for endorsement </w:t>
      </w:r>
      <w:r w:rsidR="00040394">
        <w:rPr>
          <w:rFonts w:ascii="Times New Roman" w:hAnsi="Times New Roman" w:cs="Times New Roman"/>
          <w:b/>
          <w:bCs/>
          <w:i/>
          <w:iCs/>
          <w:color w:val="auto"/>
          <w:sz w:val="24"/>
          <w:szCs w:val="24"/>
        </w:rPr>
        <w:t>(</w:t>
      </w:r>
      <w:r w:rsidRPr="00AC61AB">
        <w:rPr>
          <w:rFonts w:ascii="Times New Roman" w:hAnsi="Times New Roman" w:cs="Times New Roman"/>
          <w:b/>
          <w:bCs/>
          <w:i/>
          <w:iCs/>
          <w:color w:val="auto"/>
          <w:sz w:val="24"/>
          <w:szCs w:val="24"/>
        </w:rPr>
        <w:t>2017</w:t>
      </w:r>
      <w:r w:rsidR="00040394">
        <w:rPr>
          <w:rFonts w:ascii="Times New Roman" w:hAnsi="Times New Roman" w:cs="Times New Roman"/>
          <w:b/>
          <w:bCs/>
          <w:i/>
          <w:iCs/>
          <w:color w:val="auto"/>
          <w:sz w:val="24"/>
          <w:szCs w:val="24"/>
        </w:rPr>
        <w:t>)</w:t>
      </w:r>
      <w:r w:rsidRPr="00AC61AB">
        <w:rPr>
          <w:rFonts w:ascii="Times New Roman" w:hAnsi="Times New Roman" w:cs="Times New Roman"/>
          <w:b/>
          <w:bCs/>
          <w:i/>
          <w:iCs/>
          <w:color w:val="auto"/>
          <w:sz w:val="24"/>
          <w:szCs w:val="24"/>
        </w:rPr>
        <w:t>.</w:t>
      </w:r>
      <w:r w:rsidRPr="00AC61AB">
        <w:rPr>
          <w:rFonts w:ascii="Times New Roman" w:hAnsi="Times New Roman" w:cs="Times New Roman"/>
          <w:i/>
          <w:iCs/>
          <w:color w:val="auto"/>
          <w:sz w:val="24"/>
          <w:szCs w:val="24"/>
        </w:rPr>
        <w:t xml:space="preserve"> </w:t>
      </w:r>
    </w:p>
    <w:p w14:paraId="2DBE4250" w14:textId="3FF7E347" w:rsidR="00BF532E" w:rsidRPr="00AC61AB" w:rsidRDefault="00BF532E" w:rsidP="0030120C">
      <w:pPr>
        <w:pStyle w:val="BodyA"/>
        <w:numPr>
          <w:ilvl w:val="0"/>
          <w:numId w:val="5"/>
        </w:numPr>
        <w:tabs>
          <w:tab w:val="left" w:pos="567"/>
          <w:tab w:val="left" w:pos="992"/>
        </w:tabs>
        <w:spacing w:after="240"/>
        <w:jc w:val="both"/>
        <w:rPr>
          <w:rFonts w:ascii="Times New Roman" w:eastAsia="Times New Roman" w:hAnsi="Times New Roman" w:cs="Times New Roman"/>
          <w:i/>
          <w:iCs/>
          <w:color w:val="auto"/>
          <w:sz w:val="24"/>
          <w:szCs w:val="24"/>
        </w:rPr>
      </w:pPr>
      <w:r w:rsidRPr="00AC61AB">
        <w:rPr>
          <w:rFonts w:ascii="Times New Roman" w:hAnsi="Times New Roman" w:cs="Times New Roman"/>
          <w:i/>
          <w:iCs/>
          <w:color w:val="auto"/>
          <w:sz w:val="24"/>
          <w:szCs w:val="24"/>
        </w:rPr>
        <w:t xml:space="preserve">Maintain momentum in collectively </w:t>
      </w:r>
      <w:r w:rsidR="008D089C" w:rsidRPr="00AC61AB">
        <w:rPr>
          <w:rFonts w:ascii="Times New Roman" w:hAnsi="Times New Roman" w:cs="Times New Roman"/>
          <w:i/>
          <w:iCs/>
          <w:color w:val="auto"/>
          <w:sz w:val="24"/>
          <w:szCs w:val="24"/>
        </w:rPr>
        <w:t>taking forwar</w:t>
      </w:r>
      <w:r w:rsidRPr="00AC61AB">
        <w:rPr>
          <w:rFonts w:ascii="Times New Roman" w:hAnsi="Times New Roman" w:cs="Times New Roman"/>
          <w:i/>
          <w:iCs/>
          <w:color w:val="auto"/>
          <w:sz w:val="24"/>
          <w:szCs w:val="24"/>
        </w:rPr>
        <w:t>d the ‘New Way of Working’</w:t>
      </w:r>
      <w:r w:rsidR="008D089C" w:rsidRPr="00AC61AB">
        <w:rPr>
          <w:rFonts w:ascii="Times New Roman" w:hAnsi="Times New Roman" w:cs="Times New Roman"/>
          <w:i/>
          <w:iCs/>
          <w:color w:val="auto"/>
          <w:sz w:val="24"/>
          <w:szCs w:val="24"/>
        </w:rPr>
        <w:t xml:space="preserve">, including through </w:t>
      </w:r>
      <w:r w:rsidRPr="00AC61AB">
        <w:rPr>
          <w:rFonts w:ascii="Times New Roman" w:hAnsi="Times New Roman" w:cs="Times New Roman"/>
          <w:i/>
          <w:iCs/>
          <w:color w:val="auto"/>
          <w:sz w:val="24"/>
          <w:szCs w:val="24"/>
        </w:rPr>
        <w:t>support, as appropriate, to</w:t>
      </w:r>
      <w:r w:rsidR="008D089C" w:rsidRPr="00AC61AB">
        <w:rPr>
          <w:rFonts w:ascii="Times New Roman" w:hAnsi="Times New Roman" w:cs="Times New Roman"/>
          <w:i/>
          <w:iCs/>
          <w:color w:val="auto"/>
          <w:sz w:val="24"/>
          <w:szCs w:val="24"/>
        </w:rPr>
        <w:t xml:space="preserve"> the </w:t>
      </w:r>
      <w:r w:rsidR="008E1603" w:rsidRPr="00AC61AB">
        <w:rPr>
          <w:rFonts w:ascii="Times New Roman" w:hAnsi="Times New Roman" w:cs="Times New Roman"/>
          <w:i/>
          <w:iCs/>
          <w:color w:val="auto"/>
          <w:sz w:val="24"/>
          <w:szCs w:val="24"/>
        </w:rPr>
        <w:t xml:space="preserve">Secretary-General’s </w:t>
      </w:r>
      <w:r w:rsidR="008D089C" w:rsidRPr="00AC61AB">
        <w:rPr>
          <w:rFonts w:ascii="Times New Roman" w:hAnsi="Times New Roman" w:cs="Times New Roman"/>
          <w:i/>
          <w:iCs/>
          <w:color w:val="auto"/>
          <w:sz w:val="24"/>
          <w:szCs w:val="24"/>
        </w:rPr>
        <w:t>A2R</w:t>
      </w:r>
      <w:r w:rsidR="00F37C14">
        <w:rPr>
          <w:rFonts w:ascii="Times New Roman" w:hAnsi="Times New Roman" w:cs="Times New Roman"/>
          <w:i/>
          <w:iCs/>
          <w:color w:val="auto"/>
          <w:sz w:val="24"/>
          <w:szCs w:val="24"/>
        </w:rPr>
        <w:t xml:space="preserve"> Initiative for Climate Resilience</w:t>
      </w:r>
      <w:r w:rsidR="008D089C" w:rsidRPr="00AC61AB">
        <w:rPr>
          <w:rFonts w:ascii="Times New Roman" w:hAnsi="Times New Roman" w:cs="Times New Roman"/>
          <w:i/>
          <w:iCs/>
          <w:color w:val="auto"/>
          <w:sz w:val="24"/>
          <w:szCs w:val="24"/>
        </w:rPr>
        <w:t>.</w:t>
      </w:r>
      <w:r w:rsidRPr="00AC61AB">
        <w:rPr>
          <w:rFonts w:ascii="Times New Roman" w:hAnsi="Times New Roman" w:cs="Times New Roman"/>
          <w:i/>
          <w:iCs/>
          <w:color w:val="auto"/>
          <w:sz w:val="24"/>
          <w:szCs w:val="24"/>
        </w:rPr>
        <w:t xml:space="preserve">  </w:t>
      </w:r>
      <w:r w:rsidRPr="00AC61AB">
        <w:rPr>
          <w:rFonts w:ascii="Times New Roman" w:hAnsi="Times New Roman" w:cs="Times New Roman"/>
          <w:b/>
          <w:bCs/>
          <w:i/>
          <w:iCs/>
          <w:color w:val="auto"/>
          <w:sz w:val="24"/>
          <w:szCs w:val="24"/>
        </w:rPr>
        <w:t xml:space="preserve">Action by: </w:t>
      </w:r>
      <w:r w:rsidR="008E1603" w:rsidRPr="00AC61AB">
        <w:rPr>
          <w:rFonts w:ascii="Times New Roman" w:hAnsi="Times New Roman" w:cs="Times New Roman"/>
          <w:b/>
          <w:bCs/>
          <w:i/>
          <w:iCs/>
          <w:color w:val="auto"/>
          <w:sz w:val="24"/>
          <w:szCs w:val="24"/>
        </w:rPr>
        <w:t>IASC Principals (2017)</w:t>
      </w:r>
      <w:r w:rsidR="0030120C">
        <w:rPr>
          <w:rFonts w:ascii="Times New Roman" w:hAnsi="Times New Roman" w:cs="Times New Roman"/>
          <w:b/>
          <w:bCs/>
          <w:i/>
          <w:iCs/>
          <w:color w:val="auto"/>
          <w:sz w:val="24"/>
          <w:szCs w:val="24"/>
        </w:rPr>
        <w:t xml:space="preserve"> and </w:t>
      </w:r>
      <w:r w:rsidR="0030120C">
        <w:rPr>
          <w:rFonts w:ascii="Times New Roman" w:hAnsi="Times New Roman" w:cs="Times New Roman"/>
          <w:i/>
          <w:iCs/>
          <w:color w:val="auto"/>
          <w:sz w:val="24"/>
          <w:szCs w:val="24"/>
        </w:rPr>
        <w:t xml:space="preserve">the IASC Task Team on </w:t>
      </w:r>
      <w:r w:rsidR="002009E2">
        <w:rPr>
          <w:rFonts w:ascii="Times New Roman" w:hAnsi="Times New Roman" w:cs="Times New Roman"/>
          <w:i/>
          <w:iCs/>
          <w:color w:val="auto"/>
          <w:sz w:val="24"/>
          <w:szCs w:val="24"/>
        </w:rPr>
        <w:t xml:space="preserve">Strengthening the </w:t>
      </w:r>
      <w:r w:rsidR="0030120C">
        <w:rPr>
          <w:rFonts w:ascii="Times New Roman" w:hAnsi="Times New Roman" w:cs="Times New Roman"/>
          <w:i/>
          <w:iCs/>
          <w:color w:val="auto"/>
          <w:sz w:val="24"/>
          <w:szCs w:val="24"/>
        </w:rPr>
        <w:t>Humanitarian</w:t>
      </w:r>
      <w:r w:rsidR="002009E2">
        <w:rPr>
          <w:rFonts w:ascii="Times New Roman" w:hAnsi="Times New Roman" w:cs="Times New Roman"/>
          <w:i/>
          <w:iCs/>
          <w:color w:val="auto"/>
          <w:sz w:val="24"/>
          <w:szCs w:val="24"/>
        </w:rPr>
        <w:t>/</w:t>
      </w:r>
      <w:r w:rsidR="0030120C">
        <w:rPr>
          <w:rFonts w:ascii="Times New Roman" w:hAnsi="Times New Roman" w:cs="Times New Roman"/>
          <w:i/>
          <w:iCs/>
          <w:color w:val="auto"/>
          <w:sz w:val="24"/>
          <w:szCs w:val="24"/>
        </w:rPr>
        <w:t xml:space="preserve">Development Nexus with a focus on protracted contexts. </w:t>
      </w:r>
    </w:p>
    <w:p w14:paraId="5A59594C" w14:textId="77777777" w:rsidR="00DC5F45" w:rsidRPr="00377609" w:rsidRDefault="008D089C" w:rsidP="00377609">
      <w:pPr>
        <w:pStyle w:val="BodyA"/>
        <w:tabs>
          <w:tab w:val="left" w:pos="567"/>
          <w:tab w:val="left" w:pos="992"/>
        </w:tabs>
        <w:spacing w:after="240" w:line="280" w:lineRule="exact"/>
        <w:jc w:val="both"/>
        <w:rPr>
          <w:rFonts w:ascii="Times New Roman" w:eastAsia="Times New Roman" w:hAnsi="Times New Roman" w:cs="Times New Roman"/>
          <w:b/>
          <w:bCs/>
          <w:i/>
          <w:iCs/>
          <w:color w:val="1F497D"/>
          <w:sz w:val="24"/>
          <w:szCs w:val="24"/>
          <w:u w:color="1F497D"/>
        </w:rPr>
      </w:pPr>
      <w:r w:rsidRPr="00377609">
        <w:rPr>
          <w:rFonts w:ascii="Times New Roman" w:hAnsi="Times New Roman" w:cs="Times New Roman"/>
          <w:b/>
          <w:bCs/>
          <w:color w:val="1F497D"/>
          <w:sz w:val="24"/>
          <w:szCs w:val="24"/>
          <w:u w:color="1F497D"/>
        </w:rPr>
        <w:t>Session 4: Strengthening the Credibility of Humanitarian Planning and Appeals</w:t>
      </w:r>
    </w:p>
    <w:p w14:paraId="445B9AF0" w14:textId="29BBA3D3" w:rsidR="00D15F83" w:rsidRDefault="00546F41" w:rsidP="002539B5">
      <w:pPr>
        <w:pStyle w:val="BodyA"/>
        <w:tabs>
          <w:tab w:val="left" w:pos="567"/>
          <w:tab w:val="left" w:pos="992"/>
        </w:tabs>
        <w:spacing w:after="240"/>
        <w:jc w:val="both"/>
        <w:rPr>
          <w:rFonts w:ascii="Times New Roman" w:hAnsi="Times New Roman" w:cs="Times New Roman"/>
          <w:color w:val="000000" w:themeColor="text1"/>
          <w:sz w:val="24"/>
          <w:szCs w:val="24"/>
          <w:u w:color="1F497D"/>
        </w:rPr>
      </w:pPr>
      <w:r>
        <w:rPr>
          <w:rFonts w:ascii="Times New Roman" w:hAnsi="Times New Roman" w:cs="Times New Roman"/>
          <w:color w:val="000000" w:themeColor="text1"/>
          <w:sz w:val="24"/>
          <w:szCs w:val="24"/>
          <w:u w:color="1F497D"/>
        </w:rPr>
        <w:t xml:space="preserve">On 5 December, the </w:t>
      </w:r>
      <w:r w:rsidR="00F216B0">
        <w:rPr>
          <w:rFonts w:ascii="Times New Roman" w:hAnsi="Times New Roman" w:cs="Times New Roman"/>
          <w:color w:val="000000" w:themeColor="text1"/>
          <w:sz w:val="24"/>
          <w:szCs w:val="24"/>
          <w:u w:color="1F497D"/>
        </w:rPr>
        <w:t>launch of the Global Humanitarian Appeal</w:t>
      </w:r>
      <w:r>
        <w:rPr>
          <w:rFonts w:ascii="Times New Roman" w:hAnsi="Times New Roman" w:cs="Times New Roman"/>
          <w:color w:val="000000" w:themeColor="text1"/>
          <w:sz w:val="24"/>
          <w:szCs w:val="24"/>
          <w:u w:color="1F497D"/>
        </w:rPr>
        <w:t xml:space="preserve"> sought</w:t>
      </w:r>
      <w:r w:rsidR="00F216B0">
        <w:rPr>
          <w:rFonts w:ascii="Times New Roman" w:hAnsi="Times New Roman" w:cs="Times New Roman"/>
          <w:color w:val="000000" w:themeColor="text1"/>
          <w:sz w:val="24"/>
          <w:szCs w:val="24"/>
          <w:u w:color="1F497D"/>
        </w:rPr>
        <w:t xml:space="preserve"> over US$22.</w:t>
      </w:r>
      <w:r w:rsidR="00D96ADC">
        <w:rPr>
          <w:rFonts w:ascii="Times New Roman" w:hAnsi="Times New Roman" w:cs="Times New Roman"/>
          <w:color w:val="000000" w:themeColor="text1"/>
          <w:sz w:val="24"/>
          <w:szCs w:val="24"/>
          <w:u w:color="1F497D"/>
        </w:rPr>
        <w:t>2</w:t>
      </w:r>
      <w:r w:rsidR="00F216B0">
        <w:rPr>
          <w:rFonts w:ascii="Times New Roman" w:hAnsi="Times New Roman" w:cs="Times New Roman"/>
          <w:color w:val="000000" w:themeColor="text1"/>
          <w:sz w:val="24"/>
          <w:szCs w:val="24"/>
          <w:u w:color="1F497D"/>
        </w:rPr>
        <w:t xml:space="preserve"> billion to meet the needs of the most</w:t>
      </w:r>
      <w:r>
        <w:rPr>
          <w:rFonts w:ascii="Times New Roman" w:hAnsi="Times New Roman" w:cs="Times New Roman"/>
          <w:color w:val="000000" w:themeColor="text1"/>
          <w:sz w:val="24"/>
          <w:szCs w:val="24"/>
          <w:u w:color="1F497D"/>
        </w:rPr>
        <w:t xml:space="preserve"> vulnerable 92.8 million. In light of donor scrutiny on the credibility of humanitarian planning and appeals</w:t>
      </w:r>
      <w:r w:rsidR="00F216B0">
        <w:rPr>
          <w:rFonts w:ascii="Times New Roman" w:hAnsi="Times New Roman" w:cs="Times New Roman"/>
          <w:color w:val="000000" w:themeColor="text1"/>
          <w:sz w:val="24"/>
          <w:szCs w:val="24"/>
          <w:u w:color="1F497D"/>
        </w:rPr>
        <w:t xml:space="preserve">, resource constraints and Grand Bargain commitments, Mr. Dominque Burgeon, Director, Emergency and Rehabilitation Division, FAO, </w:t>
      </w:r>
      <w:r>
        <w:rPr>
          <w:rFonts w:ascii="Times New Roman" w:hAnsi="Times New Roman" w:cs="Times New Roman"/>
          <w:color w:val="000000" w:themeColor="text1"/>
          <w:sz w:val="24"/>
          <w:szCs w:val="24"/>
          <w:u w:color="1F497D"/>
        </w:rPr>
        <w:t>presented on the on-going efforts to ensure that HCTs present evidence-based, consiste</w:t>
      </w:r>
      <w:r w:rsidR="00D15F83">
        <w:rPr>
          <w:rFonts w:ascii="Times New Roman" w:hAnsi="Times New Roman" w:cs="Times New Roman"/>
          <w:color w:val="000000" w:themeColor="text1"/>
          <w:sz w:val="24"/>
          <w:szCs w:val="24"/>
          <w:u w:color="1F497D"/>
        </w:rPr>
        <w:t xml:space="preserve">nt and credible response plans. </w:t>
      </w:r>
      <w:r w:rsidR="002539B5">
        <w:rPr>
          <w:rFonts w:ascii="Times New Roman" w:hAnsi="Times New Roman" w:cs="Times New Roman"/>
          <w:color w:val="000000" w:themeColor="text1"/>
          <w:sz w:val="24"/>
          <w:szCs w:val="24"/>
          <w:u w:color="1F497D"/>
        </w:rPr>
        <w:t xml:space="preserve">He shared </w:t>
      </w:r>
      <w:r>
        <w:rPr>
          <w:rFonts w:ascii="Times New Roman" w:hAnsi="Times New Roman" w:cs="Times New Roman"/>
          <w:color w:val="000000" w:themeColor="text1"/>
          <w:sz w:val="24"/>
          <w:szCs w:val="24"/>
          <w:u w:color="1F497D"/>
        </w:rPr>
        <w:t>findings and recommendations from the IASC Costing Sub-Group, tasked</w:t>
      </w:r>
      <w:r w:rsidR="00D15F83">
        <w:rPr>
          <w:rFonts w:ascii="Times New Roman" w:hAnsi="Times New Roman" w:cs="Times New Roman"/>
          <w:color w:val="000000" w:themeColor="text1"/>
          <w:sz w:val="24"/>
          <w:szCs w:val="24"/>
          <w:u w:color="1F497D"/>
        </w:rPr>
        <w:t xml:space="preserve"> by Principals in December 2015</w:t>
      </w:r>
      <w:r>
        <w:rPr>
          <w:rFonts w:ascii="Times New Roman" w:hAnsi="Times New Roman" w:cs="Times New Roman"/>
          <w:color w:val="000000" w:themeColor="text1"/>
          <w:sz w:val="24"/>
          <w:szCs w:val="24"/>
          <w:u w:color="1F497D"/>
        </w:rPr>
        <w:t xml:space="preserve"> to develop proposals to improve costing methodologies. </w:t>
      </w:r>
    </w:p>
    <w:p w14:paraId="0D91C13C" w14:textId="219C8044" w:rsidR="00F216B0" w:rsidRDefault="00D15F83" w:rsidP="00B8141A">
      <w:pPr>
        <w:pStyle w:val="BodyA"/>
        <w:tabs>
          <w:tab w:val="left" w:pos="567"/>
          <w:tab w:val="left" w:pos="992"/>
        </w:tabs>
        <w:spacing w:after="240"/>
        <w:jc w:val="both"/>
        <w:rPr>
          <w:rFonts w:ascii="Times New Roman" w:hAnsi="Times New Roman" w:cs="Times New Roman"/>
          <w:color w:val="000000" w:themeColor="text1"/>
          <w:sz w:val="24"/>
          <w:szCs w:val="24"/>
          <w:u w:color="1F497D"/>
        </w:rPr>
      </w:pPr>
      <w:r>
        <w:rPr>
          <w:rFonts w:ascii="Times New Roman" w:hAnsi="Times New Roman" w:cs="Times New Roman"/>
          <w:color w:val="000000" w:themeColor="text1"/>
          <w:sz w:val="24"/>
          <w:szCs w:val="24"/>
          <w:u w:color="1F497D"/>
        </w:rPr>
        <w:t xml:space="preserve">Noting long-standing issues of how humanitarian actors measure and understand humanitarian needs, use this to inform planning, budgeting and financing, and reflect what has been achieved with donor funding, Mr. Burgeon </w:t>
      </w:r>
      <w:r w:rsidR="002539B5">
        <w:rPr>
          <w:rFonts w:ascii="Times New Roman" w:hAnsi="Times New Roman" w:cs="Times New Roman"/>
          <w:color w:val="000000" w:themeColor="text1"/>
          <w:sz w:val="24"/>
          <w:szCs w:val="24"/>
          <w:u w:color="1F497D"/>
        </w:rPr>
        <w:t>recalled improvements</w:t>
      </w:r>
      <w:r>
        <w:rPr>
          <w:rFonts w:ascii="Times New Roman" w:hAnsi="Times New Roman" w:cs="Times New Roman"/>
          <w:color w:val="000000" w:themeColor="text1"/>
          <w:sz w:val="24"/>
          <w:szCs w:val="24"/>
          <w:u w:color="1F497D"/>
        </w:rPr>
        <w:t xml:space="preserve"> brought by new humanitarian programme cycle methods and tools. </w:t>
      </w:r>
      <w:r w:rsidR="00B8141A">
        <w:rPr>
          <w:rFonts w:ascii="Times New Roman" w:hAnsi="Times New Roman" w:cs="Times New Roman"/>
          <w:color w:val="000000" w:themeColor="text1"/>
          <w:sz w:val="24"/>
          <w:szCs w:val="24"/>
          <w:u w:color="1F497D"/>
        </w:rPr>
        <w:t xml:space="preserve">There are </w:t>
      </w:r>
      <w:r>
        <w:rPr>
          <w:rFonts w:ascii="Times New Roman" w:hAnsi="Times New Roman" w:cs="Times New Roman"/>
          <w:color w:val="000000" w:themeColor="text1"/>
          <w:sz w:val="24"/>
          <w:szCs w:val="24"/>
          <w:u w:color="1F497D"/>
        </w:rPr>
        <w:t>remaining issues</w:t>
      </w:r>
      <w:r w:rsidR="00B8141A">
        <w:rPr>
          <w:rFonts w:ascii="Times New Roman" w:hAnsi="Times New Roman" w:cs="Times New Roman"/>
          <w:color w:val="000000" w:themeColor="text1"/>
          <w:sz w:val="24"/>
          <w:szCs w:val="24"/>
          <w:u w:color="1F497D"/>
        </w:rPr>
        <w:t>, however,</w:t>
      </w:r>
      <w:r>
        <w:rPr>
          <w:rFonts w:ascii="Times New Roman" w:hAnsi="Times New Roman" w:cs="Times New Roman"/>
          <w:color w:val="000000" w:themeColor="text1"/>
          <w:sz w:val="24"/>
          <w:szCs w:val="24"/>
          <w:u w:color="1F497D"/>
        </w:rPr>
        <w:t xml:space="preserve"> on defining and comparing severity of needs, reaching agreed ‘big numbers’ of affected</w:t>
      </w:r>
      <w:r w:rsidR="00B8141A">
        <w:rPr>
          <w:rFonts w:ascii="Times New Roman" w:hAnsi="Times New Roman" w:cs="Times New Roman"/>
          <w:color w:val="000000" w:themeColor="text1"/>
          <w:sz w:val="24"/>
          <w:szCs w:val="24"/>
          <w:u w:color="1F497D"/>
        </w:rPr>
        <w:t xml:space="preserve"> people</w:t>
      </w:r>
      <w:r>
        <w:rPr>
          <w:rFonts w:ascii="Times New Roman" w:hAnsi="Times New Roman" w:cs="Times New Roman"/>
          <w:color w:val="000000" w:themeColor="text1"/>
          <w:sz w:val="24"/>
          <w:szCs w:val="24"/>
          <w:u w:color="1F497D"/>
        </w:rPr>
        <w:t xml:space="preserve">, </w:t>
      </w:r>
      <w:r w:rsidR="00B8141A">
        <w:rPr>
          <w:rFonts w:ascii="Times New Roman" w:hAnsi="Times New Roman" w:cs="Times New Roman"/>
          <w:color w:val="000000" w:themeColor="text1"/>
          <w:sz w:val="24"/>
          <w:szCs w:val="24"/>
          <w:u w:color="1F497D"/>
        </w:rPr>
        <w:t xml:space="preserve">and </w:t>
      </w:r>
      <w:r w:rsidR="002539B5">
        <w:rPr>
          <w:rFonts w:ascii="Times New Roman" w:hAnsi="Times New Roman" w:cs="Times New Roman"/>
          <w:color w:val="000000" w:themeColor="text1"/>
          <w:sz w:val="24"/>
          <w:szCs w:val="24"/>
          <w:u w:color="1F497D"/>
        </w:rPr>
        <w:t>as</w:t>
      </w:r>
      <w:r>
        <w:rPr>
          <w:rFonts w:ascii="Times New Roman" w:hAnsi="Times New Roman" w:cs="Times New Roman"/>
          <w:color w:val="000000" w:themeColor="text1"/>
          <w:sz w:val="24"/>
          <w:szCs w:val="24"/>
          <w:u w:color="1F497D"/>
        </w:rPr>
        <w:t xml:space="preserve"> </w:t>
      </w:r>
      <w:r w:rsidR="002539B5">
        <w:rPr>
          <w:rFonts w:ascii="Times New Roman" w:hAnsi="Times New Roman" w:cs="Times New Roman"/>
          <w:color w:val="000000" w:themeColor="text1"/>
          <w:sz w:val="24"/>
          <w:szCs w:val="24"/>
          <w:u w:color="1F497D"/>
        </w:rPr>
        <w:t xml:space="preserve">different drivers and incentives </w:t>
      </w:r>
      <w:r w:rsidR="00B8141A">
        <w:rPr>
          <w:rFonts w:ascii="Times New Roman" w:hAnsi="Times New Roman" w:cs="Times New Roman"/>
          <w:color w:val="000000" w:themeColor="text1"/>
          <w:sz w:val="24"/>
          <w:szCs w:val="24"/>
          <w:u w:color="1F497D"/>
        </w:rPr>
        <w:t>affect</w:t>
      </w:r>
      <w:r w:rsidR="002539B5">
        <w:rPr>
          <w:rFonts w:ascii="Times New Roman" w:hAnsi="Times New Roman" w:cs="Times New Roman"/>
          <w:color w:val="000000" w:themeColor="text1"/>
          <w:sz w:val="24"/>
          <w:szCs w:val="24"/>
          <w:u w:color="1F497D"/>
        </w:rPr>
        <w:t xml:space="preserve"> needs analysis and related costing</w:t>
      </w:r>
      <w:r w:rsidR="00B8141A">
        <w:rPr>
          <w:rFonts w:ascii="Times New Roman" w:hAnsi="Times New Roman" w:cs="Times New Roman"/>
          <w:color w:val="000000" w:themeColor="text1"/>
          <w:sz w:val="24"/>
          <w:szCs w:val="24"/>
          <w:u w:color="1F497D"/>
        </w:rPr>
        <w:t>. He</w:t>
      </w:r>
      <w:r w:rsidR="002539B5">
        <w:rPr>
          <w:rFonts w:ascii="Times New Roman" w:hAnsi="Times New Roman" w:cs="Times New Roman"/>
          <w:color w:val="000000" w:themeColor="text1"/>
          <w:sz w:val="24"/>
          <w:szCs w:val="24"/>
          <w:u w:color="1F497D"/>
        </w:rPr>
        <w:t xml:space="preserve"> sought feedback on the proposed ‘roadmap’ to increase credible and transparent ways of costing as one means </w:t>
      </w:r>
      <w:r w:rsidR="00B8141A">
        <w:rPr>
          <w:rFonts w:ascii="Times New Roman" w:hAnsi="Times New Roman" w:cs="Times New Roman"/>
          <w:color w:val="000000" w:themeColor="text1"/>
          <w:sz w:val="24"/>
          <w:szCs w:val="24"/>
          <w:u w:color="1F497D"/>
        </w:rPr>
        <w:t>to bring</w:t>
      </w:r>
      <w:r w:rsidR="002539B5">
        <w:rPr>
          <w:rFonts w:ascii="Times New Roman" w:hAnsi="Times New Roman" w:cs="Times New Roman"/>
          <w:color w:val="000000" w:themeColor="text1"/>
          <w:sz w:val="24"/>
          <w:szCs w:val="24"/>
          <w:u w:color="1F497D"/>
        </w:rPr>
        <w:t xml:space="preserve"> greater transparency</w:t>
      </w:r>
      <w:r w:rsidR="00101821">
        <w:rPr>
          <w:rFonts w:ascii="Times New Roman" w:hAnsi="Times New Roman" w:cs="Times New Roman"/>
          <w:color w:val="000000" w:themeColor="text1"/>
          <w:sz w:val="24"/>
          <w:szCs w:val="24"/>
          <w:u w:color="1F497D"/>
        </w:rPr>
        <w:t xml:space="preserve"> and accountability</w:t>
      </w:r>
      <w:r w:rsidR="002539B5">
        <w:rPr>
          <w:rFonts w:ascii="Times New Roman" w:hAnsi="Times New Roman" w:cs="Times New Roman"/>
          <w:color w:val="000000" w:themeColor="text1"/>
          <w:sz w:val="24"/>
          <w:szCs w:val="24"/>
          <w:u w:color="1F497D"/>
        </w:rPr>
        <w:t>.</w:t>
      </w:r>
    </w:p>
    <w:p w14:paraId="1D2D31DB" w14:textId="23D6F861" w:rsidR="002539B5" w:rsidRDefault="002539B5" w:rsidP="00C514EE">
      <w:pPr>
        <w:pStyle w:val="BodyA"/>
        <w:tabs>
          <w:tab w:val="left" w:pos="567"/>
          <w:tab w:val="left" w:pos="992"/>
        </w:tabs>
        <w:spacing w:after="240"/>
        <w:jc w:val="both"/>
        <w:rPr>
          <w:rFonts w:ascii="Times New Roman" w:hAnsi="Times New Roman" w:cs="Times New Roman"/>
          <w:color w:val="000000" w:themeColor="text1"/>
          <w:sz w:val="24"/>
          <w:szCs w:val="24"/>
          <w:u w:color="1F497D"/>
        </w:rPr>
      </w:pPr>
      <w:r>
        <w:rPr>
          <w:rFonts w:ascii="Times New Roman" w:hAnsi="Times New Roman" w:cs="Times New Roman"/>
          <w:color w:val="000000" w:themeColor="text1"/>
          <w:sz w:val="24"/>
          <w:szCs w:val="24"/>
          <w:u w:color="1F497D"/>
        </w:rPr>
        <w:lastRenderedPageBreak/>
        <w:t xml:space="preserve">Principals appreciated the work of the </w:t>
      </w:r>
      <w:r w:rsidR="00F03FD8">
        <w:rPr>
          <w:rFonts w:ascii="Times New Roman" w:hAnsi="Times New Roman" w:cs="Times New Roman"/>
          <w:color w:val="000000" w:themeColor="text1"/>
          <w:sz w:val="24"/>
          <w:szCs w:val="24"/>
          <w:u w:color="1F497D"/>
        </w:rPr>
        <w:t>-Sub-Group</w:t>
      </w:r>
      <w:r>
        <w:rPr>
          <w:rFonts w:ascii="Times New Roman" w:hAnsi="Times New Roman" w:cs="Times New Roman"/>
          <w:color w:val="000000" w:themeColor="text1"/>
          <w:sz w:val="24"/>
          <w:szCs w:val="24"/>
          <w:u w:color="1F497D"/>
        </w:rPr>
        <w:t xml:space="preserve">, </w:t>
      </w:r>
      <w:r w:rsidR="00101821">
        <w:rPr>
          <w:rFonts w:ascii="Times New Roman" w:hAnsi="Times New Roman" w:cs="Times New Roman"/>
          <w:color w:val="000000" w:themeColor="text1"/>
          <w:sz w:val="24"/>
          <w:szCs w:val="24"/>
          <w:u w:color="1F497D"/>
        </w:rPr>
        <w:t xml:space="preserve">commended the consultants on their review, </w:t>
      </w:r>
      <w:r w:rsidR="00414D1A">
        <w:rPr>
          <w:rFonts w:ascii="Times New Roman" w:hAnsi="Times New Roman" w:cs="Times New Roman"/>
          <w:color w:val="000000" w:themeColor="text1"/>
          <w:sz w:val="24"/>
          <w:szCs w:val="24"/>
          <w:u w:color="1F497D"/>
        </w:rPr>
        <w:t>agreed the need to improve costing</w:t>
      </w:r>
      <w:r w:rsidR="00312073">
        <w:rPr>
          <w:rFonts w:ascii="Times New Roman" w:hAnsi="Times New Roman" w:cs="Times New Roman"/>
          <w:color w:val="000000" w:themeColor="text1"/>
          <w:sz w:val="24"/>
          <w:szCs w:val="24"/>
          <w:u w:color="1F497D"/>
        </w:rPr>
        <w:t xml:space="preserve"> methodologies</w:t>
      </w:r>
      <w:r w:rsidR="00414D1A">
        <w:rPr>
          <w:rFonts w:ascii="Times New Roman" w:hAnsi="Times New Roman" w:cs="Times New Roman"/>
          <w:color w:val="000000" w:themeColor="text1"/>
          <w:sz w:val="24"/>
          <w:szCs w:val="24"/>
          <w:u w:color="1F497D"/>
        </w:rPr>
        <w:t xml:space="preserve">, </w:t>
      </w:r>
      <w:r>
        <w:rPr>
          <w:rFonts w:ascii="Times New Roman" w:hAnsi="Times New Roman" w:cs="Times New Roman"/>
          <w:color w:val="000000" w:themeColor="text1"/>
          <w:sz w:val="24"/>
          <w:szCs w:val="24"/>
          <w:u w:color="1F497D"/>
        </w:rPr>
        <w:t>and welcomed the analysis a</w:t>
      </w:r>
      <w:r w:rsidR="00414D1A">
        <w:rPr>
          <w:rFonts w:ascii="Times New Roman" w:hAnsi="Times New Roman" w:cs="Times New Roman"/>
          <w:color w:val="000000" w:themeColor="text1"/>
          <w:sz w:val="24"/>
          <w:szCs w:val="24"/>
          <w:u w:color="1F497D"/>
        </w:rPr>
        <w:t xml:space="preserve">nd next steps outlined </w:t>
      </w:r>
      <w:r>
        <w:rPr>
          <w:rFonts w:ascii="Times New Roman" w:hAnsi="Times New Roman" w:cs="Times New Roman"/>
          <w:color w:val="000000" w:themeColor="text1"/>
          <w:sz w:val="24"/>
          <w:szCs w:val="24"/>
          <w:u w:color="1F497D"/>
        </w:rPr>
        <w:t>in the consultants’ report.</w:t>
      </w:r>
      <w:r w:rsidR="00414D1A">
        <w:rPr>
          <w:rFonts w:ascii="Times New Roman" w:hAnsi="Times New Roman" w:cs="Times New Roman"/>
          <w:color w:val="000000" w:themeColor="text1"/>
          <w:sz w:val="24"/>
          <w:szCs w:val="24"/>
          <w:u w:color="1F497D"/>
        </w:rPr>
        <w:t xml:space="preserve"> </w:t>
      </w:r>
      <w:r w:rsidR="00C514EE">
        <w:rPr>
          <w:rFonts w:ascii="Times New Roman" w:hAnsi="Times New Roman" w:cs="Times New Roman"/>
          <w:color w:val="000000" w:themeColor="text1"/>
          <w:sz w:val="24"/>
          <w:szCs w:val="24"/>
          <w:u w:color="1F497D"/>
        </w:rPr>
        <w:t>C</w:t>
      </w:r>
      <w:r w:rsidR="00414D1A">
        <w:rPr>
          <w:rFonts w:ascii="Times New Roman" w:hAnsi="Times New Roman" w:cs="Times New Roman"/>
          <w:color w:val="000000" w:themeColor="text1"/>
          <w:sz w:val="24"/>
          <w:szCs w:val="24"/>
          <w:u w:color="1F497D"/>
        </w:rPr>
        <w:t xml:space="preserve">oncern was expressed, however, that the ‘roadmap’ presented to Principals was overly heavy, that the </w:t>
      </w:r>
      <w:r w:rsidR="008E1603">
        <w:rPr>
          <w:rFonts w:ascii="Times New Roman" w:hAnsi="Times New Roman" w:cs="Times New Roman"/>
          <w:color w:val="000000" w:themeColor="text1"/>
          <w:sz w:val="24"/>
          <w:szCs w:val="24"/>
          <w:u w:color="1F497D"/>
        </w:rPr>
        <w:t>proposed</w:t>
      </w:r>
      <w:r w:rsidR="00101821">
        <w:rPr>
          <w:rFonts w:ascii="Times New Roman" w:hAnsi="Times New Roman" w:cs="Times New Roman"/>
          <w:color w:val="000000" w:themeColor="text1"/>
          <w:sz w:val="24"/>
          <w:szCs w:val="24"/>
          <w:u w:color="1F497D"/>
        </w:rPr>
        <w:t xml:space="preserve"> ‘piloting’ might</w:t>
      </w:r>
      <w:r w:rsidR="00414D1A">
        <w:rPr>
          <w:rFonts w:ascii="Times New Roman" w:hAnsi="Times New Roman" w:cs="Times New Roman"/>
          <w:color w:val="000000" w:themeColor="text1"/>
          <w:sz w:val="24"/>
          <w:szCs w:val="24"/>
          <w:u w:color="1F497D"/>
        </w:rPr>
        <w:t xml:space="preserve"> burden the field</w:t>
      </w:r>
      <w:r w:rsidR="00D16730">
        <w:rPr>
          <w:rFonts w:ascii="Times New Roman" w:hAnsi="Times New Roman" w:cs="Times New Roman"/>
          <w:color w:val="000000" w:themeColor="text1"/>
          <w:sz w:val="24"/>
          <w:szCs w:val="24"/>
          <w:u w:color="1F497D"/>
        </w:rPr>
        <w:t xml:space="preserve">, and suggested </w:t>
      </w:r>
      <w:r w:rsidR="00101821">
        <w:rPr>
          <w:rFonts w:ascii="Times New Roman" w:hAnsi="Times New Roman" w:cs="Times New Roman"/>
          <w:color w:val="000000" w:themeColor="text1"/>
          <w:sz w:val="24"/>
          <w:szCs w:val="24"/>
          <w:u w:color="1F497D"/>
        </w:rPr>
        <w:t>starting with</w:t>
      </w:r>
      <w:r w:rsidR="00D16730">
        <w:rPr>
          <w:rFonts w:ascii="Times New Roman" w:hAnsi="Times New Roman" w:cs="Times New Roman"/>
          <w:color w:val="000000" w:themeColor="text1"/>
          <w:sz w:val="24"/>
          <w:szCs w:val="24"/>
          <w:u w:color="1F497D"/>
        </w:rPr>
        <w:t xml:space="preserve"> a ‘table-top’ simulation exercise to test options.</w:t>
      </w:r>
      <w:r w:rsidR="00414D1A">
        <w:rPr>
          <w:rFonts w:ascii="Times New Roman" w:hAnsi="Times New Roman" w:cs="Times New Roman"/>
          <w:color w:val="000000" w:themeColor="text1"/>
          <w:sz w:val="24"/>
          <w:szCs w:val="24"/>
          <w:u w:color="1F497D"/>
        </w:rPr>
        <w:t xml:space="preserve"> </w:t>
      </w:r>
      <w:r w:rsidR="00D16730">
        <w:rPr>
          <w:rFonts w:ascii="Times New Roman" w:hAnsi="Times New Roman" w:cs="Times New Roman"/>
          <w:color w:val="000000" w:themeColor="text1"/>
          <w:sz w:val="24"/>
          <w:szCs w:val="24"/>
          <w:u w:color="1F497D"/>
        </w:rPr>
        <w:t>Principals</w:t>
      </w:r>
      <w:r w:rsidR="00414D1A">
        <w:rPr>
          <w:rFonts w:ascii="Times New Roman" w:hAnsi="Times New Roman" w:cs="Times New Roman"/>
          <w:color w:val="000000" w:themeColor="text1"/>
          <w:sz w:val="24"/>
          <w:szCs w:val="24"/>
          <w:u w:color="1F497D"/>
        </w:rPr>
        <w:t xml:space="preserve"> cautioned on over-centralisation or over-standardisation</w:t>
      </w:r>
      <w:r w:rsidR="00D16730">
        <w:rPr>
          <w:rFonts w:ascii="Times New Roman" w:hAnsi="Times New Roman" w:cs="Times New Roman"/>
          <w:color w:val="000000" w:themeColor="text1"/>
          <w:sz w:val="24"/>
          <w:szCs w:val="24"/>
          <w:u w:color="1F497D"/>
        </w:rPr>
        <w:t xml:space="preserve">, and </w:t>
      </w:r>
      <w:r w:rsidR="00414D1A">
        <w:rPr>
          <w:rFonts w:ascii="Times New Roman" w:hAnsi="Times New Roman" w:cs="Times New Roman"/>
          <w:color w:val="000000" w:themeColor="text1"/>
          <w:sz w:val="24"/>
          <w:szCs w:val="24"/>
          <w:u w:color="1F497D"/>
        </w:rPr>
        <w:t>stressed that costing methodologies should be able to deliver the results needed</w:t>
      </w:r>
      <w:r w:rsidR="00E3291B">
        <w:rPr>
          <w:rFonts w:ascii="Times New Roman" w:hAnsi="Times New Roman" w:cs="Times New Roman"/>
          <w:color w:val="000000" w:themeColor="text1"/>
          <w:sz w:val="24"/>
          <w:szCs w:val="24"/>
          <w:u w:color="1F497D"/>
        </w:rPr>
        <w:t xml:space="preserve">, take into account intangible </w:t>
      </w:r>
      <w:r w:rsidR="00D16730">
        <w:rPr>
          <w:rFonts w:ascii="Times New Roman" w:hAnsi="Times New Roman" w:cs="Times New Roman"/>
          <w:color w:val="000000" w:themeColor="text1"/>
          <w:sz w:val="24"/>
          <w:szCs w:val="24"/>
          <w:u w:color="1F497D"/>
        </w:rPr>
        <w:t>work in areas such as protection</w:t>
      </w:r>
      <w:r w:rsidR="00101821">
        <w:rPr>
          <w:rFonts w:ascii="Times New Roman" w:hAnsi="Times New Roman" w:cs="Times New Roman"/>
          <w:color w:val="000000" w:themeColor="text1"/>
          <w:sz w:val="24"/>
          <w:szCs w:val="24"/>
          <w:u w:color="1F497D"/>
        </w:rPr>
        <w:t xml:space="preserve"> and early recovery</w:t>
      </w:r>
      <w:r w:rsidR="00414D1A">
        <w:rPr>
          <w:rFonts w:ascii="Times New Roman" w:hAnsi="Times New Roman" w:cs="Times New Roman"/>
          <w:color w:val="000000" w:themeColor="text1"/>
          <w:sz w:val="24"/>
          <w:szCs w:val="24"/>
          <w:u w:color="1F497D"/>
        </w:rPr>
        <w:t xml:space="preserve">, with flexible approaches </w:t>
      </w:r>
      <w:r w:rsidR="009B4DB8">
        <w:rPr>
          <w:rFonts w:ascii="Times New Roman" w:hAnsi="Times New Roman" w:cs="Times New Roman"/>
          <w:color w:val="000000" w:themeColor="text1"/>
          <w:sz w:val="24"/>
          <w:szCs w:val="24"/>
          <w:u w:color="1F497D"/>
        </w:rPr>
        <w:t xml:space="preserve">also </w:t>
      </w:r>
      <w:r w:rsidR="00414D1A">
        <w:rPr>
          <w:rFonts w:ascii="Times New Roman" w:hAnsi="Times New Roman" w:cs="Times New Roman"/>
          <w:color w:val="000000" w:themeColor="text1"/>
          <w:sz w:val="24"/>
          <w:szCs w:val="24"/>
          <w:u w:color="1F497D"/>
        </w:rPr>
        <w:t xml:space="preserve">being key to </w:t>
      </w:r>
      <w:r w:rsidR="00D16730">
        <w:rPr>
          <w:rFonts w:ascii="Times New Roman" w:hAnsi="Times New Roman" w:cs="Times New Roman"/>
          <w:color w:val="000000" w:themeColor="text1"/>
          <w:sz w:val="24"/>
          <w:szCs w:val="24"/>
          <w:u w:color="1F497D"/>
        </w:rPr>
        <w:t xml:space="preserve">both </w:t>
      </w:r>
      <w:r w:rsidR="00414D1A">
        <w:rPr>
          <w:rFonts w:ascii="Times New Roman" w:hAnsi="Times New Roman" w:cs="Times New Roman"/>
          <w:color w:val="000000" w:themeColor="text1"/>
          <w:sz w:val="24"/>
          <w:szCs w:val="24"/>
          <w:u w:color="1F497D"/>
        </w:rPr>
        <w:t>contextualize and promote the localization agenda</w:t>
      </w:r>
      <w:r w:rsidR="009B4DB8">
        <w:rPr>
          <w:rFonts w:ascii="Times New Roman" w:hAnsi="Times New Roman" w:cs="Times New Roman"/>
          <w:color w:val="000000" w:themeColor="text1"/>
          <w:sz w:val="24"/>
          <w:szCs w:val="24"/>
          <w:u w:color="1F497D"/>
        </w:rPr>
        <w:t>. A</w:t>
      </w:r>
      <w:r w:rsidR="00D16730">
        <w:rPr>
          <w:rFonts w:ascii="Times New Roman" w:hAnsi="Times New Roman" w:cs="Times New Roman"/>
          <w:color w:val="000000" w:themeColor="text1"/>
          <w:sz w:val="24"/>
          <w:szCs w:val="24"/>
          <w:u w:color="1F497D"/>
        </w:rPr>
        <w:t xml:space="preserve">n emphasis </w:t>
      </w:r>
      <w:r w:rsidR="009B4DB8">
        <w:rPr>
          <w:rFonts w:ascii="Times New Roman" w:hAnsi="Times New Roman" w:cs="Times New Roman"/>
          <w:color w:val="000000" w:themeColor="text1"/>
          <w:sz w:val="24"/>
          <w:szCs w:val="24"/>
          <w:u w:color="1F497D"/>
        </w:rPr>
        <w:t xml:space="preserve">was placed </w:t>
      </w:r>
      <w:r w:rsidR="00D16730">
        <w:rPr>
          <w:rFonts w:ascii="Times New Roman" w:hAnsi="Times New Roman" w:cs="Times New Roman"/>
          <w:color w:val="000000" w:themeColor="text1"/>
          <w:sz w:val="24"/>
          <w:szCs w:val="24"/>
          <w:u w:color="1F497D"/>
        </w:rPr>
        <w:t xml:space="preserve">on ‘outcome’ over ‘activity’ costing, and </w:t>
      </w:r>
      <w:r w:rsidR="00E3291B">
        <w:rPr>
          <w:rFonts w:ascii="Times New Roman" w:hAnsi="Times New Roman" w:cs="Times New Roman"/>
          <w:color w:val="000000" w:themeColor="text1"/>
          <w:sz w:val="24"/>
          <w:szCs w:val="24"/>
          <w:u w:color="1F497D"/>
        </w:rPr>
        <w:t xml:space="preserve">a </w:t>
      </w:r>
      <w:r w:rsidR="00D16730">
        <w:rPr>
          <w:rFonts w:ascii="Times New Roman" w:hAnsi="Times New Roman" w:cs="Times New Roman"/>
          <w:color w:val="000000" w:themeColor="text1"/>
          <w:sz w:val="24"/>
          <w:szCs w:val="24"/>
          <w:u w:color="1F497D"/>
        </w:rPr>
        <w:t>request</w:t>
      </w:r>
      <w:r w:rsidR="00E3291B">
        <w:rPr>
          <w:rFonts w:ascii="Times New Roman" w:hAnsi="Times New Roman" w:cs="Times New Roman"/>
          <w:color w:val="000000" w:themeColor="text1"/>
          <w:sz w:val="24"/>
          <w:szCs w:val="24"/>
          <w:u w:color="1F497D"/>
        </w:rPr>
        <w:t xml:space="preserve"> was made</w:t>
      </w:r>
      <w:r w:rsidR="00D16730">
        <w:rPr>
          <w:rFonts w:ascii="Times New Roman" w:hAnsi="Times New Roman" w:cs="Times New Roman"/>
          <w:color w:val="000000" w:themeColor="text1"/>
          <w:sz w:val="24"/>
          <w:szCs w:val="24"/>
          <w:u w:color="1F497D"/>
        </w:rPr>
        <w:t xml:space="preserve"> to ensure a light, incremental approach, reflecting further field analysis, in moving forward. </w:t>
      </w:r>
    </w:p>
    <w:p w14:paraId="6123B383" w14:textId="09442419" w:rsidR="00D16730" w:rsidRDefault="00D16730" w:rsidP="009B4DB8">
      <w:pPr>
        <w:pStyle w:val="BodyA"/>
        <w:tabs>
          <w:tab w:val="left" w:pos="567"/>
          <w:tab w:val="left" w:pos="992"/>
        </w:tabs>
        <w:spacing w:after="240"/>
        <w:jc w:val="both"/>
        <w:rPr>
          <w:rFonts w:ascii="Times New Roman" w:hAnsi="Times New Roman" w:cs="Times New Roman"/>
          <w:color w:val="000000" w:themeColor="text1"/>
          <w:sz w:val="24"/>
          <w:szCs w:val="24"/>
          <w:u w:color="1F497D"/>
        </w:rPr>
      </w:pPr>
      <w:r>
        <w:rPr>
          <w:rFonts w:ascii="Times New Roman" w:hAnsi="Times New Roman" w:cs="Times New Roman"/>
          <w:color w:val="000000" w:themeColor="text1"/>
          <w:sz w:val="24"/>
          <w:szCs w:val="24"/>
          <w:u w:color="1F497D"/>
        </w:rPr>
        <w:t>At the same time, Principals underscored the importance of tackling the broader issues of the strategic</w:t>
      </w:r>
      <w:r w:rsidR="00101821">
        <w:rPr>
          <w:rFonts w:ascii="Times New Roman" w:hAnsi="Times New Roman" w:cs="Times New Roman"/>
          <w:color w:val="000000" w:themeColor="text1"/>
          <w:sz w:val="24"/>
          <w:szCs w:val="24"/>
          <w:u w:color="1F497D"/>
        </w:rPr>
        <w:t xml:space="preserve"> and human</w:t>
      </w:r>
      <w:r>
        <w:rPr>
          <w:rFonts w:ascii="Times New Roman" w:hAnsi="Times New Roman" w:cs="Times New Roman"/>
          <w:color w:val="000000" w:themeColor="text1"/>
          <w:sz w:val="24"/>
          <w:szCs w:val="24"/>
          <w:u w:color="1F497D"/>
        </w:rPr>
        <w:t xml:space="preserve"> cost</w:t>
      </w:r>
      <w:r w:rsidR="00101821">
        <w:rPr>
          <w:rFonts w:ascii="Times New Roman" w:hAnsi="Times New Roman" w:cs="Times New Roman"/>
          <w:color w:val="000000" w:themeColor="text1"/>
          <w:sz w:val="24"/>
          <w:szCs w:val="24"/>
          <w:u w:color="1F497D"/>
        </w:rPr>
        <w:t>s</w:t>
      </w:r>
      <w:r>
        <w:rPr>
          <w:rFonts w:ascii="Times New Roman" w:hAnsi="Times New Roman" w:cs="Times New Roman"/>
          <w:color w:val="000000" w:themeColor="text1"/>
          <w:sz w:val="24"/>
          <w:szCs w:val="24"/>
          <w:u w:color="1F497D"/>
        </w:rPr>
        <w:t xml:space="preserve"> of underfunding, lack of don</w:t>
      </w:r>
      <w:r w:rsidR="009B4DB8">
        <w:rPr>
          <w:rFonts w:ascii="Times New Roman" w:hAnsi="Times New Roman" w:cs="Times New Roman"/>
          <w:color w:val="000000" w:themeColor="text1"/>
          <w:sz w:val="24"/>
          <w:szCs w:val="24"/>
          <w:u w:color="1F497D"/>
        </w:rPr>
        <w:t xml:space="preserve">or trust, and </w:t>
      </w:r>
      <w:r w:rsidR="00E3291B">
        <w:rPr>
          <w:rFonts w:ascii="Times New Roman" w:hAnsi="Times New Roman" w:cs="Times New Roman"/>
          <w:color w:val="000000" w:themeColor="text1"/>
          <w:sz w:val="24"/>
          <w:szCs w:val="24"/>
          <w:u w:color="1F497D"/>
        </w:rPr>
        <w:t xml:space="preserve">the need to </w:t>
      </w:r>
      <w:r w:rsidR="009B4DB8">
        <w:rPr>
          <w:rFonts w:ascii="Times New Roman" w:hAnsi="Times New Roman" w:cs="Times New Roman"/>
          <w:color w:val="000000" w:themeColor="text1"/>
          <w:sz w:val="24"/>
          <w:szCs w:val="24"/>
          <w:u w:color="1F497D"/>
        </w:rPr>
        <w:t>continue exploration of alternative costing methods, and maintain momentum in all efforts to reinforce transparency and accountability for the system itself</w:t>
      </w:r>
      <w:r w:rsidR="00F03FD8">
        <w:rPr>
          <w:rFonts w:ascii="Times New Roman" w:hAnsi="Times New Roman" w:cs="Times New Roman"/>
          <w:color w:val="000000" w:themeColor="text1"/>
          <w:sz w:val="24"/>
          <w:szCs w:val="24"/>
          <w:u w:color="1F497D"/>
        </w:rPr>
        <w:t xml:space="preserve"> in line with the Grand Bargain commitments</w:t>
      </w:r>
      <w:r w:rsidR="009B4DB8">
        <w:rPr>
          <w:rFonts w:ascii="Times New Roman" w:hAnsi="Times New Roman" w:cs="Times New Roman"/>
          <w:color w:val="000000" w:themeColor="text1"/>
          <w:sz w:val="24"/>
          <w:szCs w:val="24"/>
          <w:u w:color="1F497D"/>
        </w:rPr>
        <w:t xml:space="preserve">, </w:t>
      </w:r>
      <w:r w:rsidR="00E3291B">
        <w:rPr>
          <w:rFonts w:ascii="Times New Roman" w:hAnsi="Times New Roman" w:cs="Times New Roman"/>
          <w:color w:val="000000" w:themeColor="text1"/>
          <w:sz w:val="24"/>
          <w:szCs w:val="24"/>
          <w:u w:color="1F497D"/>
        </w:rPr>
        <w:t xml:space="preserve">and </w:t>
      </w:r>
      <w:r w:rsidR="009B4DB8">
        <w:rPr>
          <w:rFonts w:ascii="Times New Roman" w:hAnsi="Times New Roman" w:cs="Times New Roman"/>
          <w:color w:val="000000" w:themeColor="text1"/>
          <w:sz w:val="24"/>
          <w:szCs w:val="24"/>
          <w:u w:color="1F497D"/>
        </w:rPr>
        <w:t>not only in response to donor demands.</w:t>
      </w:r>
    </w:p>
    <w:p w14:paraId="72ECE836" w14:textId="51DC1211" w:rsidR="00AA4DD3" w:rsidRPr="00AA4DD3" w:rsidRDefault="00333A29" w:rsidP="009B4DB8">
      <w:pPr>
        <w:pStyle w:val="BodyA"/>
        <w:tabs>
          <w:tab w:val="left" w:pos="567"/>
          <w:tab w:val="left" w:pos="992"/>
        </w:tabs>
        <w:spacing w:after="240"/>
        <w:jc w:val="both"/>
        <w:rPr>
          <w:rFonts w:ascii="Times New Roman" w:hAnsi="Times New Roman" w:cs="Times New Roman"/>
          <w:b/>
          <w:bCs/>
          <w:color w:val="000000" w:themeColor="text1"/>
          <w:sz w:val="24"/>
          <w:szCs w:val="24"/>
          <w:u w:color="1F497D"/>
        </w:rPr>
      </w:pPr>
      <w:r>
        <w:rPr>
          <w:rFonts w:ascii="Times New Roman" w:hAnsi="Times New Roman" w:cs="Times New Roman"/>
          <w:b/>
          <w:bCs/>
          <w:color w:val="000000" w:themeColor="text1"/>
          <w:sz w:val="24"/>
          <w:szCs w:val="24"/>
          <w:u w:color="1F497D"/>
        </w:rPr>
        <w:t xml:space="preserve">The IASC </w:t>
      </w:r>
      <w:r w:rsidR="00AA4DD3" w:rsidRPr="00AA4DD3">
        <w:rPr>
          <w:rFonts w:ascii="Times New Roman" w:hAnsi="Times New Roman" w:cs="Times New Roman"/>
          <w:b/>
          <w:bCs/>
          <w:color w:val="000000" w:themeColor="text1"/>
          <w:sz w:val="24"/>
          <w:szCs w:val="24"/>
          <w:u w:color="1F497D"/>
        </w:rPr>
        <w:t>Principals agreed:</w:t>
      </w:r>
    </w:p>
    <w:p w14:paraId="367AA133" w14:textId="2975847A" w:rsidR="00C0569E" w:rsidRPr="00AC61AB" w:rsidRDefault="00E3291B" w:rsidP="00AC61AB">
      <w:pPr>
        <w:pStyle w:val="BodyA"/>
        <w:numPr>
          <w:ilvl w:val="0"/>
          <w:numId w:val="6"/>
        </w:numPr>
        <w:tabs>
          <w:tab w:val="left" w:pos="567"/>
          <w:tab w:val="left" w:pos="992"/>
        </w:tabs>
        <w:spacing w:after="240"/>
        <w:jc w:val="both"/>
        <w:rPr>
          <w:rFonts w:ascii="Times New Roman" w:hAnsi="Times New Roman" w:cs="Times New Roman"/>
          <w:b/>
          <w:bCs/>
          <w:i/>
          <w:iCs/>
          <w:color w:val="auto"/>
          <w:sz w:val="24"/>
          <w:szCs w:val="24"/>
          <w:u w:color="1F497D"/>
        </w:rPr>
      </w:pPr>
      <w:r w:rsidRPr="00AC61AB">
        <w:rPr>
          <w:rFonts w:ascii="Times New Roman" w:hAnsi="Times New Roman" w:cs="Times New Roman"/>
          <w:i/>
          <w:iCs/>
          <w:color w:val="auto"/>
          <w:sz w:val="24"/>
          <w:szCs w:val="24"/>
          <w:u w:color="1F497D"/>
        </w:rPr>
        <w:t>That the</w:t>
      </w:r>
      <w:r w:rsidR="00AA4DD3" w:rsidRPr="00AC61AB">
        <w:rPr>
          <w:rFonts w:ascii="Times New Roman" w:hAnsi="Times New Roman" w:cs="Times New Roman"/>
          <w:i/>
          <w:iCs/>
          <w:color w:val="auto"/>
          <w:sz w:val="24"/>
          <w:szCs w:val="24"/>
          <w:u w:color="1F497D"/>
        </w:rPr>
        <w:t xml:space="preserve"> </w:t>
      </w:r>
      <w:r w:rsidR="00C0569E" w:rsidRPr="00AC61AB">
        <w:rPr>
          <w:rFonts w:ascii="Times New Roman" w:hAnsi="Times New Roman" w:cs="Times New Roman"/>
          <w:i/>
          <w:iCs/>
          <w:color w:val="auto"/>
          <w:sz w:val="24"/>
          <w:szCs w:val="24"/>
          <w:u w:color="1F497D"/>
        </w:rPr>
        <w:t xml:space="preserve">IASC </w:t>
      </w:r>
      <w:r w:rsidRPr="00AC61AB">
        <w:rPr>
          <w:rFonts w:ascii="Times New Roman" w:hAnsi="Times New Roman" w:cs="Times New Roman"/>
          <w:i/>
          <w:iCs/>
          <w:color w:val="auto"/>
          <w:sz w:val="24"/>
          <w:szCs w:val="24"/>
          <w:u w:color="1F497D"/>
        </w:rPr>
        <w:t>Costing Sub-Group should</w:t>
      </w:r>
      <w:r w:rsidR="00AA4DD3" w:rsidRPr="00AC61AB">
        <w:rPr>
          <w:rFonts w:ascii="Times New Roman" w:hAnsi="Times New Roman" w:cs="Times New Roman"/>
          <w:i/>
          <w:iCs/>
          <w:color w:val="auto"/>
          <w:sz w:val="24"/>
          <w:szCs w:val="24"/>
          <w:u w:color="1F497D"/>
        </w:rPr>
        <w:t xml:space="preserve"> continue its work, under the direction of the Principals, but with expanded </w:t>
      </w:r>
      <w:r w:rsidR="00312073">
        <w:rPr>
          <w:rFonts w:ascii="Times New Roman" w:hAnsi="Times New Roman" w:cs="Times New Roman"/>
          <w:i/>
          <w:iCs/>
          <w:color w:val="auto"/>
          <w:sz w:val="24"/>
          <w:szCs w:val="24"/>
          <w:u w:color="1F497D"/>
        </w:rPr>
        <w:t xml:space="preserve">expert </w:t>
      </w:r>
      <w:r w:rsidR="00AA4DD3" w:rsidRPr="00AC61AB">
        <w:rPr>
          <w:rFonts w:ascii="Times New Roman" w:hAnsi="Times New Roman" w:cs="Times New Roman"/>
          <w:i/>
          <w:iCs/>
          <w:color w:val="auto"/>
          <w:sz w:val="24"/>
          <w:szCs w:val="24"/>
          <w:u w:color="1F497D"/>
        </w:rPr>
        <w:t>participati</w:t>
      </w:r>
      <w:r w:rsidR="00C0569E" w:rsidRPr="00AC61AB">
        <w:rPr>
          <w:rFonts w:ascii="Times New Roman" w:hAnsi="Times New Roman" w:cs="Times New Roman"/>
          <w:i/>
          <w:iCs/>
          <w:color w:val="auto"/>
          <w:sz w:val="24"/>
          <w:szCs w:val="24"/>
          <w:u w:color="1F497D"/>
        </w:rPr>
        <w:t>on</w:t>
      </w:r>
      <w:r w:rsidR="00F03FD8">
        <w:rPr>
          <w:rFonts w:ascii="Times New Roman" w:hAnsi="Times New Roman" w:cs="Times New Roman"/>
          <w:i/>
          <w:iCs/>
          <w:color w:val="auto"/>
          <w:sz w:val="24"/>
          <w:szCs w:val="24"/>
          <w:u w:color="1F497D"/>
        </w:rPr>
        <w:t xml:space="preserve"> (as noted in the Roadmap)</w:t>
      </w:r>
      <w:r w:rsidR="007B303C">
        <w:rPr>
          <w:rFonts w:ascii="Times New Roman" w:hAnsi="Times New Roman" w:cs="Times New Roman"/>
          <w:i/>
          <w:iCs/>
          <w:color w:val="auto"/>
          <w:sz w:val="24"/>
          <w:szCs w:val="24"/>
          <w:u w:color="1F497D"/>
        </w:rPr>
        <w:t xml:space="preserve"> to include budget/finance experts as well as staff with hands-on experience of developing response plans at the country level</w:t>
      </w:r>
      <w:r w:rsidR="005C5734" w:rsidRPr="00AC61AB">
        <w:rPr>
          <w:rFonts w:ascii="Times New Roman" w:hAnsi="Times New Roman" w:cs="Times New Roman"/>
          <w:i/>
          <w:iCs/>
          <w:color w:val="auto"/>
          <w:sz w:val="24"/>
          <w:szCs w:val="24"/>
          <w:u w:color="1F497D"/>
        </w:rPr>
        <w:t>.</w:t>
      </w:r>
      <w:r w:rsidR="00C0569E" w:rsidRPr="00AC61AB">
        <w:rPr>
          <w:rFonts w:ascii="Times New Roman" w:hAnsi="Times New Roman" w:cs="Times New Roman"/>
          <w:i/>
          <w:iCs/>
          <w:color w:val="auto"/>
          <w:sz w:val="24"/>
          <w:szCs w:val="24"/>
          <w:u w:color="1F497D"/>
        </w:rPr>
        <w:t xml:space="preserve"> </w:t>
      </w:r>
      <w:r w:rsidR="00C0569E" w:rsidRPr="00AC61AB">
        <w:rPr>
          <w:rFonts w:ascii="Times New Roman" w:hAnsi="Times New Roman" w:cs="Times New Roman"/>
          <w:b/>
          <w:bCs/>
          <w:i/>
          <w:iCs/>
          <w:color w:val="auto"/>
          <w:sz w:val="24"/>
          <w:szCs w:val="24"/>
          <w:u w:color="1F497D"/>
        </w:rPr>
        <w:t>Action by:</w:t>
      </w:r>
      <w:r w:rsidR="00C0569E" w:rsidRPr="00AC61AB">
        <w:rPr>
          <w:rFonts w:ascii="Times New Roman" w:hAnsi="Times New Roman" w:cs="Times New Roman"/>
          <w:i/>
          <w:iCs/>
          <w:color w:val="auto"/>
          <w:sz w:val="24"/>
          <w:szCs w:val="24"/>
          <w:u w:color="1F497D"/>
        </w:rPr>
        <w:t xml:space="preserve"> </w:t>
      </w:r>
      <w:r w:rsidR="00C0569E" w:rsidRPr="00AC61AB">
        <w:rPr>
          <w:rFonts w:ascii="Times New Roman" w:hAnsi="Times New Roman" w:cs="Times New Roman"/>
          <w:b/>
          <w:bCs/>
          <w:i/>
          <w:iCs/>
          <w:color w:val="auto"/>
          <w:sz w:val="24"/>
          <w:szCs w:val="24"/>
          <w:u w:color="1F497D"/>
        </w:rPr>
        <w:t>the IASC Costing Sub-Group</w:t>
      </w:r>
      <w:r w:rsidR="005C5734" w:rsidRPr="00AC61AB">
        <w:rPr>
          <w:rFonts w:ascii="Times New Roman" w:hAnsi="Times New Roman" w:cs="Times New Roman"/>
          <w:b/>
          <w:bCs/>
          <w:i/>
          <w:iCs/>
          <w:color w:val="auto"/>
          <w:sz w:val="24"/>
          <w:szCs w:val="24"/>
          <w:u w:color="1F497D"/>
        </w:rPr>
        <w:t>, until end June 2017.</w:t>
      </w:r>
    </w:p>
    <w:p w14:paraId="3730783B" w14:textId="64D4E89A" w:rsidR="00C0569E" w:rsidRPr="00AC61AB" w:rsidRDefault="00E3291B" w:rsidP="00BD362A">
      <w:pPr>
        <w:pStyle w:val="BodyA"/>
        <w:numPr>
          <w:ilvl w:val="0"/>
          <w:numId w:val="6"/>
        </w:numPr>
        <w:tabs>
          <w:tab w:val="left" w:pos="567"/>
          <w:tab w:val="left" w:pos="992"/>
        </w:tabs>
        <w:spacing w:after="240"/>
        <w:jc w:val="both"/>
        <w:rPr>
          <w:rFonts w:ascii="Times New Roman" w:hAnsi="Times New Roman" w:cs="Times New Roman"/>
          <w:b/>
          <w:bCs/>
          <w:i/>
          <w:iCs/>
          <w:color w:val="auto"/>
          <w:sz w:val="24"/>
          <w:szCs w:val="24"/>
          <w:u w:color="1F497D"/>
        </w:rPr>
      </w:pPr>
      <w:r w:rsidRPr="00AC61AB">
        <w:rPr>
          <w:rFonts w:ascii="Times New Roman" w:hAnsi="Times New Roman" w:cs="Times New Roman"/>
          <w:i/>
          <w:iCs/>
          <w:color w:val="auto"/>
          <w:sz w:val="24"/>
          <w:szCs w:val="24"/>
          <w:u w:color="1F497D"/>
        </w:rPr>
        <w:t>That the IASC Costing Sub-Group</w:t>
      </w:r>
      <w:r w:rsidR="00BD362A">
        <w:rPr>
          <w:rFonts w:ascii="Times New Roman" w:hAnsi="Times New Roman" w:cs="Times New Roman"/>
          <w:i/>
          <w:iCs/>
          <w:color w:val="auto"/>
          <w:sz w:val="24"/>
          <w:szCs w:val="24"/>
          <w:u w:color="1F497D"/>
        </w:rPr>
        <w:t xml:space="preserve"> explores future options for</w:t>
      </w:r>
      <w:r w:rsidR="00C0569E" w:rsidRPr="00AC61AB">
        <w:rPr>
          <w:rFonts w:ascii="Times New Roman" w:hAnsi="Times New Roman" w:cs="Times New Roman"/>
          <w:i/>
          <w:iCs/>
          <w:color w:val="auto"/>
          <w:sz w:val="24"/>
          <w:szCs w:val="24"/>
          <w:u w:color="1F497D"/>
        </w:rPr>
        <w:t xml:space="preserve"> a light, incremental approach, building on field analysis and lessons learned from current and previous costing approaches, and testing </w:t>
      </w:r>
      <w:r w:rsidR="00BD362A">
        <w:rPr>
          <w:rFonts w:ascii="Times New Roman" w:hAnsi="Times New Roman" w:cs="Times New Roman"/>
          <w:i/>
          <w:iCs/>
          <w:color w:val="auto"/>
          <w:sz w:val="24"/>
          <w:szCs w:val="24"/>
          <w:u w:color="1F497D"/>
        </w:rPr>
        <w:t xml:space="preserve">of different </w:t>
      </w:r>
      <w:r w:rsidR="00C0569E" w:rsidRPr="00AC61AB">
        <w:rPr>
          <w:rFonts w:ascii="Times New Roman" w:hAnsi="Times New Roman" w:cs="Times New Roman"/>
          <w:i/>
          <w:iCs/>
          <w:color w:val="auto"/>
          <w:sz w:val="24"/>
          <w:szCs w:val="24"/>
          <w:u w:color="1F497D"/>
        </w:rPr>
        <w:t>methodologies</w:t>
      </w:r>
      <w:r w:rsidR="00101821">
        <w:rPr>
          <w:rFonts w:ascii="Times New Roman" w:hAnsi="Times New Roman" w:cs="Times New Roman"/>
          <w:i/>
          <w:iCs/>
          <w:color w:val="auto"/>
          <w:sz w:val="24"/>
          <w:szCs w:val="24"/>
          <w:u w:color="1F497D"/>
        </w:rPr>
        <w:t xml:space="preserve"> initially</w:t>
      </w:r>
      <w:r w:rsidR="00C0569E" w:rsidRPr="00AC61AB">
        <w:rPr>
          <w:rFonts w:ascii="Times New Roman" w:hAnsi="Times New Roman" w:cs="Times New Roman"/>
          <w:i/>
          <w:iCs/>
          <w:color w:val="auto"/>
          <w:sz w:val="24"/>
          <w:szCs w:val="24"/>
          <w:u w:color="1F497D"/>
        </w:rPr>
        <w:t xml:space="preserve"> through a table-top simulation exercise. </w:t>
      </w:r>
      <w:r w:rsidR="00C0569E" w:rsidRPr="00AC61AB">
        <w:rPr>
          <w:rFonts w:ascii="Times New Roman" w:hAnsi="Times New Roman" w:cs="Times New Roman"/>
          <w:b/>
          <w:bCs/>
          <w:i/>
          <w:iCs/>
          <w:color w:val="auto"/>
          <w:sz w:val="24"/>
          <w:szCs w:val="24"/>
          <w:u w:color="1F497D"/>
        </w:rPr>
        <w:t>Action by:</w:t>
      </w:r>
      <w:r w:rsidR="00C0569E" w:rsidRPr="00AC61AB">
        <w:rPr>
          <w:rFonts w:ascii="Times New Roman" w:hAnsi="Times New Roman" w:cs="Times New Roman"/>
          <w:i/>
          <w:iCs/>
          <w:color w:val="auto"/>
          <w:sz w:val="24"/>
          <w:szCs w:val="24"/>
          <w:u w:color="1F497D"/>
        </w:rPr>
        <w:t xml:space="preserve"> </w:t>
      </w:r>
      <w:r w:rsidR="00C0569E" w:rsidRPr="00AC61AB">
        <w:rPr>
          <w:rFonts w:ascii="Times New Roman" w:hAnsi="Times New Roman" w:cs="Times New Roman"/>
          <w:b/>
          <w:bCs/>
          <w:i/>
          <w:iCs/>
          <w:color w:val="auto"/>
          <w:sz w:val="24"/>
          <w:szCs w:val="24"/>
          <w:u w:color="1F497D"/>
        </w:rPr>
        <w:t xml:space="preserve">the IASC Costing Sub-Group by end June 2017. </w:t>
      </w:r>
    </w:p>
    <w:p w14:paraId="66A8E1E2" w14:textId="5E2DB771" w:rsidR="00C0569E" w:rsidRPr="00AC61AB" w:rsidRDefault="00C0569E" w:rsidP="00AC61AB">
      <w:pPr>
        <w:pStyle w:val="BodyA"/>
        <w:numPr>
          <w:ilvl w:val="0"/>
          <w:numId w:val="6"/>
        </w:numPr>
        <w:tabs>
          <w:tab w:val="left" w:pos="567"/>
          <w:tab w:val="left" w:pos="992"/>
        </w:tabs>
        <w:spacing w:after="240"/>
        <w:jc w:val="both"/>
        <w:rPr>
          <w:rFonts w:ascii="Times New Roman" w:hAnsi="Times New Roman" w:cs="Times New Roman"/>
          <w:i/>
          <w:iCs/>
          <w:color w:val="auto"/>
          <w:sz w:val="24"/>
          <w:szCs w:val="24"/>
          <w:u w:color="1F497D"/>
        </w:rPr>
      </w:pPr>
      <w:r w:rsidRPr="00AC61AB">
        <w:rPr>
          <w:rFonts w:ascii="Times New Roman" w:hAnsi="Times New Roman" w:cs="Times New Roman"/>
          <w:i/>
          <w:iCs/>
          <w:color w:val="auto"/>
          <w:sz w:val="24"/>
          <w:szCs w:val="24"/>
          <w:u w:color="1F497D"/>
        </w:rPr>
        <w:t xml:space="preserve">To explore opportunities for further strategic conversation with donors on enhancing credibility and accountability, and increasing funding. </w:t>
      </w:r>
      <w:r w:rsidRPr="00AC61AB">
        <w:rPr>
          <w:rFonts w:ascii="Times New Roman" w:hAnsi="Times New Roman" w:cs="Times New Roman"/>
          <w:i/>
          <w:iCs/>
          <w:color w:val="auto"/>
          <w:sz w:val="24"/>
          <w:szCs w:val="24"/>
        </w:rPr>
        <w:t xml:space="preserve">Discussion on building credibility will be included as an agenda item in the proposed Principals retreat to inform </w:t>
      </w:r>
      <w:r w:rsidR="00D46D64">
        <w:rPr>
          <w:rFonts w:ascii="Times New Roman" w:hAnsi="Times New Roman" w:cs="Times New Roman"/>
          <w:i/>
          <w:iCs/>
          <w:color w:val="auto"/>
          <w:sz w:val="24"/>
          <w:szCs w:val="24"/>
        </w:rPr>
        <w:t xml:space="preserve">this </w:t>
      </w:r>
      <w:r w:rsidRPr="00AC61AB">
        <w:rPr>
          <w:rFonts w:ascii="Times New Roman" w:hAnsi="Times New Roman" w:cs="Times New Roman"/>
          <w:i/>
          <w:iCs/>
          <w:color w:val="auto"/>
          <w:sz w:val="24"/>
          <w:szCs w:val="24"/>
        </w:rPr>
        <w:t xml:space="preserve">engagement with donors. </w:t>
      </w:r>
      <w:r w:rsidRPr="00AC61AB">
        <w:rPr>
          <w:rFonts w:ascii="Times New Roman" w:hAnsi="Times New Roman" w:cs="Times New Roman"/>
          <w:b/>
          <w:bCs/>
          <w:i/>
          <w:iCs/>
          <w:color w:val="auto"/>
          <w:sz w:val="24"/>
          <w:szCs w:val="24"/>
          <w:u w:color="1F497D"/>
        </w:rPr>
        <w:t>Action by: the Emergency Relief Coordinator by end May 2017.</w:t>
      </w:r>
    </w:p>
    <w:p w14:paraId="3DA81400" w14:textId="77777777" w:rsidR="00DC5F45" w:rsidRPr="00377609" w:rsidRDefault="008D089C" w:rsidP="00377609">
      <w:pPr>
        <w:pStyle w:val="BodyA"/>
        <w:tabs>
          <w:tab w:val="left" w:pos="567"/>
          <w:tab w:val="left" w:pos="992"/>
        </w:tabs>
        <w:spacing w:after="240" w:line="280" w:lineRule="exact"/>
        <w:jc w:val="both"/>
        <w:rPr>
          <w:rFonts w:ascii="Times New Roman" w:eastAsia="Times New Roman" w:hAnsi="Times New Roman" w:cs="Times New Roman"/>
          <w:sz w:val="24"/>
          <w:szCs w:val="24"/>
          <w:u w:color="365F91"/>
        </w:rPr>
      </w:pPr>
      <w:r w:rsidRPr="00377609">
        <w:rPr>
          <w:rFonts w:ascii="Times New Roman" w:hAnsi="Times New Roman" w:cs="Times New Roman"/>
          <w:b/>
          <w:bCs/>
          <w:color w:val="1F497D"/>
          <w:sz w:val="24"/>
          <w:szCs w:val="24"/>
          <w:u w:color="1F497D"/>
        </w:rPr>
        <w:t>Session 5: Humanitarian System-wide Activation for Infectious Hazards</w:t>
      </w:r>
    </w:p>
    <w:p w14:paraId="74142C13" w14:textId="623A9D59" w:rsidR="00DC5F45" w:rsidRPr="002A420E" w:rsidRDefault="00E3291B" w:rsidP="002A420E">
      <w:pPr>
        <w:pStyle w:val="BodyA"/>
        <w:tabs>
          <w:tab w:val="left" w:pos="567"/>
          <w:tab w:val="left" w:pos="992"/>
        </w:tabs>
        <w:spacing w:after="240"/>
        <w:jc w:val="both"/>
        <w:rPr>
          <w:rFonts w:ascii="Times New Roman" w:hAnsi="Times New Roman" w:cs="Times New Roman"/>
          <w:sz w:val="24"/>
          <w:szCs w:val="24"/>
          <w:u w:color="365F91"/>
        </w:rPr>
      </w:pPr>
      <w:r>
        <w:rPr>
          <w:rFonts w:ascii="Times New Roman" w:hAnsi="Times New Roman" w:cs="Times New Roman"/>
          <w:sz w:val="24"/>
          <w:szCs w:val="24"/>
          <w:u w:color="365F91"/>
        </w:rPr>
        <w:t xml:space="preserve">Dr. Margaret Chan, Director General of the World Health Organization, reminded </w:t>
      </w:r>
      <w:r w:rsidR="002A420E">
        <w:rPr>
          <w:rFonts w:ascii="Times New Roman" w:hAnsi="Times New Roman" w:cs="Times New Roman"/>
          <w:sz w:val="24"/>
          <w:szCs w:val="24"/>
          <w:u w:color="365F91"/>
        </w:rPr>
        <w:t>participants</w:t>
      </w:r>
      <w:r>
        <w:rPr>
          <w:rFonts w:ascii="Times New Roman" w:hAnsi="Times New Roman" w:cs="Times New Roman"/>
          <w:sz w:val="24"/>
          <w:szCs w:val="24"/>
          <w:u w:color="365F91"/>
        </w:rPr>
        <w:t xml:space="preserve"> of the context and lessons from the Ebola response</w:t>
      </w:r>
      <w:r w:rsidR="002A420E">
        <w:rPr>
          <w:rFonts w:ascii="Times New Roman" w:hAnsi="Times New Roman" w:cs="Times New Roman"/>
          <w:sz w:val="24"/>
          <w:szCs w:val="24"/>
          <w:u w:color="365F91"/>
        </w:rPr>
        <w:t xml:space="preserve"> in 2016</w:t>
      </w:r>
      <w:r>
        <w:rPr>
          <w:rFonts w:ascii="Times New Roman" w:hAnsi="Times New Roman" w:cs="Times New Roman"/>
          <w:sz w:val="24"/>
          <w:szCs w:val="24"/>
          <w:u w:color="365F91"/>
        </w:rPr>
        <w:t xml:space="preserve"> </w:t>
      </w:r>
      <w:r w:rsidR="002A420E" w:rsidRPr="00377609">
        <w:rPr>
          <w:rFonts w:ascii="Times New Roman" w:hAnsi="Times New Roman" w:cs="Times New Roman"/>
          <w:sz w:val="24"/>
          <w:szCs w:val="24"/>
          <w:u w:color="365F91"/>
        </w:rPr>
        <w:t>and the High Level Panel on the Global Response to Health Crisis</w:t>
      </w:r>
      <w:r w:rsidR="002A420E">
        <w:rPr>
          <w:rFonts w:ascii="Times New Roman" w:hAnsi="Times New Roman" w:cs="Times New Roman"/>
          <w:sz w:val="24"/>
          <w:szCs w:val="24"/>
          <w:u w:color="365F91"/>
        </w:rPr>
        <w:t xml:space="preserve"> </w:t>
      </w:r>
      <w:r>
        <w:rPr>
          <w:rFonts w:ascii="Times New Roman" w:hAnsi="Times New Roman" w:cs="Times New Roman"/>
          <w:sz w:val="24"/>
          <w:szCs w:val="24"/>
          <w:u w:color="365F91"/>
        </w:rPr>
        <w:t>t</w:t>
      </w:r>
      <w:r w:rsidR="002A420E">
        <w:rPr>
          <w:rFonts w:ascii="Times New Roman" w:hAnsi="Times New Roman" w:cs="Times New Roman"/>
          <w:sz w:val="24"/>
          <w:szCs w:val="24"/>
          <w:u w:color="365F91"/>
        </w:rPr>
        <w:t xml:space="preserve">hat had prompted the decision </w:t>
      </w:r>
      <w:r w:rsidR="00A64D9B" w:rsidRPr="00377609">
        <w:rPr>
          <w:rFonts w:ascii="Times New Roman" w:hAnsi="Times New Roman" w:cs="Times New Roman"/>
          <w:sz w:val="24"/>
          <w:szCs w:val="24"/>
          <w:u w:color="365F91"/>
        </w:rPr>
        <w:t xml:space="preserve">at the </w:t>
      </w:r>
      <w:r w:rsidR="008D089C" w:rsidRPr="00377609">
        <w:rPr>
          <w:rFonts w:ascii="Times New Roman" w:hAnsi="Times New Roman" w:cs="Times New Roman"/>
          <w:sz w:val="24"/>
          <w:szCs w:val="24"/>
          <w:u w:color="365F91"/>
        </w:rPr>
        <w:t>Principals</w:t>
      </w:r>
      <w:r w:rsidR="00A64D9B" w:rsidRPr="00377609">
        <w:rPr>
          <w:rFonts w:ascii="Times New Roman" w:hAnsi="Times New Roman" w:cs="Times New Roman"/>
          <w:sz w:val="24"/>
          <w:szCs w:val="24"/>
          <w:u w:color="365F91"/>
        </w:rPr>
        <w:t xml:space="preserve"> Meeting held </w:t>
      </w:r>
      <w:r w:rsidR="008D089C" w:rsidRPr="00377609">
        <w:rPr>
          <w:rFonts w:ascii="Times New Roman" w:hAnsi="Times New Roman" w:cs="Times New Roman"/>
          <w:sz w:val="24"/>
          <w:szCs w:val="24"/>
          <w:u w:color="365F91"/>
        </w:rPr>
        <w:t xml:space="preserve">in June </w:t>
      </w:r>
      <w:r w:rsidR="002A420E">
        <w:rPr>
          <w:rFonts w:ascii="Times New Roman" w:hAnsi="Times New Roman" w:cs="Times New Roman"/>
          <w:sz w:val="24"/>
          <w:szCs w:val="24"/>
          <w:u w:color="365F91"/>
        </w:rPr>
        <w:t>to develop</w:t>
      </w:r>
      <w:r w:rsidR="00A64D9B" w:rsidRPr="00377609">
        <w:rPr>
          <w:rFonts w:ascii="Times New Roman" w:hAnsi="Times New Roman" w:cs="Times New Roman"/>
          <w:sz w:val="24"/>
          <w:szCs w:val="24"/>
          <w:u w:color="365F91"/>
        </w:rPr>
        <w:t xml:space="preserve"> Standard Operating Procedures for infectious hazards</w:t>
      </w:r>
      <w:r w:rsidR="002A420E">
        <w:rPr>
          <w:rFonts w:ascii="Times New Roman" w:hAnsi="Times New Roman" w:cs="Times New Roman"/>
          <w:sz w:val="24"/>
          <w:szCs w:val="24"/>
          <w:u w:color="365F91"/>
        </w:rPr>
        <w:t>.</w:t>
      </w:r>
      <w:r w:rsidR="00A64D9B" w:rsidRPr="00377609">
        <w:rPr>
          <w:rFonts w:ascii="Times New Roman" w:hAnsi="Times New Roman" w:cs="Times New Roman"/>
          <w:sz w:val="24"/>
          <w:szCs w:val="24"/>
          <w:u w:color="365F91"/>
        </w:rPr>
        <w:t xml:space="preserve"> </w:t>
      </w:r>
      <w:r w:rsidR="008D089C" w:rsidRPr="00377609">
        <w:rPr>
          <w:rFonts w:ascii="Times New Roman" w:hAnsi="Times New Roman" w:cs="Times New Roman"/>
          <w:sz w:val="24"/>
          <w:szCs w:val="24"/>
          <w:u w:color="1F497D"/>
        </w:rPr>
        <w:t>The SOPs</w:t>
      </w:r>
      <w:r w:rsidR="002A420E">
        <w:rPr>
          <w:rFonts w:ascii="Times New Roman" w:hAnsi="Times New Roman" w:cs="Times New Roman"/>
          <w:sz w:val="24"/>
          <w:szCs w:val="24"/>
          <w:u w:color="1F497D"/>
        </w:rPr>
        <w:t>, now endorsed,</w:t>
      </w:r>
      <w:r w:rsidR="008D089C" w:rsidRPr="00377609">
        <w:rPr>
          <w:rFonts w:ascii="Times New Roman" w:hAnsi="Times New Roman" w:cs="Times New Roman"/>
          <w:sz w:val="24"/>
          <w:szCs w:val="24"/>
          <w:u w:color="1F497D"/>
        </w:rPr>
        <w:t xml:space="preserve"> </w:t>
      </w:r>
      <w:r w:rsidR="00A64D9B" w:rsidRPr="00377609">
        <w:rPr>
          <w:rFonts w:ascii="Times New Roman" w:hAnsi="Times New Roman" w:cs="Times New Roman"/>
          <w:sz w:val="24"/>
          <w:szCs w:val="24"/>
          <w:u w:color="1F497D"/>
        </w:rPr>
        <w:t xml:space="preserve">provide guidance with respect to an </w:t>
      </w:r>
      <w:r w:rsidR="008D089C" w:rsidRPr="00377609">
        <w:rPr>
          <w:rFonts w:ascii="Times New Roman" w:hAnsi="Times New Roman" w:cs="Times New Roman"/>
          <w:sz w:val="24"/>
          <w:szCs w:val="24"/>
          <w:u w:color="1F497D"/>
        </w:rPr>
        <w:t xml:space="preserve">effective collective response </w:t>
      </w:r>
      <w:r w:rsidR="00A64D9B" w:rsidRPr="00377609">
        <w:rPr>
          <w:rFonts w:ascii="Times New Roman" w:hAnsi="Times New Roman" w:cs="Times New Roman"/>
          <w:sz w:val="24"/>
          <w:szCs w:val="24"/>
          <w:u w:color="1F497D"/>
        </w:rPr>
        <w:t>in the even</w:t>
      </w:r>
      <w:r w:rsidR="00B413D9" w:rsidRPr="00377609">
        <w:rPr>
          <w:rFonts w:ascii="Times New Roman" w:hAnsi="Times New Roman" w:cs="Times New Roman"/>
          <w:sz w:val="24"/>
          <w:szCs w:val="24"/>
          <w:u w:color="1F497D"/>
        </w:rPr>
        <w:t>t</w:t>
      </w:r>
      <w:r w:rsidR="00A64D9B" w:rsidRPr="00377609">
        <w:rPr>
          <w:rFonts w:ascii="Times New Roman" w:hAnsi="Times New Roman" w:cs="Times New Roman"/>
          <w:sz w:val="24"/>
          <w:szCs w:val="24"/>
          <w:u w:color="1F497D"/>
        </w:rPr>
        <w:t xml:space="preserve"> of future </w:t>
      </w:r>
      <w:r w:rsidR="008D089C" w:rsidRPr="00377609">
        <w:rPr>
          <w:rFonts w:ascii="Times New Roman" w:hAnsi="Times New Roman" w:cs="Times New Roman"/>
          <w:sz w:val="24"/>
          <w:szCs w:val="24"/>
          <w:u w:color="1F497D"/>
        </w:rPr>
        <w:t>outbreaks.</w:t>
      </w:r>
      <w:r w:rsidR="002A420E" w:rsidRPr="002A420E">
        <w:rPr>
          <w:rFonts w:ascii="Times New Roman" w:hAnsi="Times New Roman" w:cs="Times New Roman"/>
          <w:sz w:val="24"/>
          <w:szCs w:val="24"/>
          <w:u w:color="365F91"/>
        </w:rPr>
        <w:t xml:space="preserve"> </w:t>
      </w:r>
    </w:p>
    <w:p w14:paraId="55C0A637" w14:textId="56EC3CE7" w:rsidR="002A420E" w:rsidRPr="00377609" w:rsidRDefault="002A420E" w:rsidP="00312073">
      <w:pPr>
        <w:pStyle w:val="BodyA"/>
        <w:tabs>
          <w:tab w:val="left" w:pos="567"/>
          <w:tab w:val="left" w:pos="992"/>
        </w:tabs>
        <w:spacing w:after="240"/>
        <w:jc w:val="both"/>
        <w:rPr>
          <w:rFonts w:ascii="Times New Roman" w:hAnsi="Times New Roman" w:cs="Times New Roman"/>
          <w:sz w:val="24"/>
          <w:szCs w:val="24"/>
          <w:u w:color="365F91"/>
        </w:rPr>
      </w:pPr>
      <w:r w:rsidRPr="00377609">
        <w:rPr>
          <w:rFonts w:ascii="Times New Roman" w:hAnsi="Times New Roman" w:cs="Times New Roman"/>
          <w:sz w:val="24"/>
          <w:szCs w:val="24"/>
          <w:u w:color="1F497D"/>
        </w:rPr>
        <w:t>The SoPs ensure appropriate procedures are in place and reflect the critical link between the IASC mechanisms and WHO responsibilities under International Health Regulations.  Dr. Chan graphically highlighted the factors impacting on responses</w:t>
      </w:r>
      <w:r>
        <w:rPr>
          <w:rFonts w:ascii="Times New Roman" w:hAnsi="Times New Roman" w:cs="Times New Roman"/>
          <w:sz w:val="24"/>
          <w:szCs w:val="24"/>
          <w:u w:color="1F497D"/>
        </w:rPr>
        <w:t>,</w:t>
      </w:r>
      <w:r w:rsidRPr="00377609">
        <w:rPr>
          <w:rFonts w:ascii="Times New Roman" w:hAnsi="Times New Roman" w:cs="Times New Roman"/>
          <w:sz w:val="24"/>
          <w:szCs w:val="24"/>
          <w:u w:color="1F497D"/>
        </w:rPr>
        <w:t xml:space="preserve"> emphasizing the importance of </w:t>
      </w:r>
      <w:r>
        <w:rPr>
          <w:rFonts w:ascii="Times New Roman" w:hAnsi="Times New Roman" w:cs="Times New Roman"/>
          <w:sz w:val="24"/>
          <w:szCs w:val="24"/>
          <w:u w:color="1F497D"/>
        </w:rPr>
        <w:t xml:space="preserve">timely communication, </w:t>
      </w:r>
      <w:r w:rsidR="00064807">
        <w:rPr>
          <w:rFonts w:ascii="Times New Roman" w:hAnsi="Times New Roman" w:cs="Times New Roman"/>
          <w:sz w:val="24"/>
          <w:szCs w:val="24"/>
          <w:u w:color="1F497D"/>
        </w:rPr>
        <w:t xml:space="preserve">of </w:t>
      </w:r>
      <w:r>
        <w:rPr>
          <w:rFonts w:ascii="Times New Roman" w:hAnsi="Times New Roman" w:cs="Times New Roman"/>
          <w:sz w:val="24"/>
          <w:szCs w:val="24"/>
          <w:u w:color="1F497D"/>
        </w:rPr>
        <w:t xml:space="preserve">work to contain an outbreak at an early stage, and in </w:t>
      </w:r>
      <w:r w:rsidRPr="00377609">
        <w:rPr>
          <w:rFonts w:ascii="Times New Roman" w:hAnsi="Times New Roman" w:cs="Times New Roman"/>
          <w:sz w:val="24"/>
          <w:szCs w:val="24"/>
          <w:u w:color="1F497D"/>
        </w:rPr>
        <w:t xml:space="preserve">ensuring resilient health </w:t>
      </w:r>
      <w:r w:rsidRPr="00377609">
        <w:rPr>
          <w:rFonts w:ascii="Times New Roman" w:hAnsi="Times New Roman" w:cs="Times New Roman"/>
          <w:sz w:val="24"/>
          <w:szCs w:val="24"/>
          <w:u w:color="1F497D"/>
        </w:rPr>
        <w:lastRenderedPageBreak/>
        <w:t>mechanism, systems, and structures are in place in close coordination with national actors</w:t>
      </w:r>
      <w:r>
        <w:rPr>
          <w:rFonts w:ascii="Times New Roman" w:hAnsi="Times New Roman" w:cs="Times New Roman"/>
          <w:sz w:val="24"/>
          <w:szCs w:val="24"/>
          <w:u w:color="1F497D"/>
        </w:rPr>
        <w:t xml:space="preserve">. </w:t>
      </w:r>
      <w:r w:rsidR="003C4709">
        <w:rPr>
          <w:rFonts w:ascii="Times New Roman" w:hAnsi="Times New Roman" w:cs="Times New Roman"/>
          <w:sz w:val="24"/>
          <w:szCs w:val="24"/>
          <w:u w:color="1F497D"/>
        </w:rPr>
        <w:t>The discussion highlighted the need to ensure health preparedness, logistic capacity, possible stockpiling, and appropriate disbursement of funding, including from CERF, to actors on the ground. A</w:t>
      </w:r>
      <w:r>
        <w:rPr>
          <w:rFonts w:ascii="Times New Roman" w:hAnsi="Times New Roman" w:cs="Times New Roman"/>
          <w:sz w:val="24"/>
          <w:szCs w:val="24"/>
          <w:u w:color="1F497D"/>
        </w:rPr>
        <w:t xml:space="preserve">cknowledgement of the potential severity of an outbreak </w:t>
      </w:r>
      <w:r w:rsidR="00064807">
        <w:rPr>
          <w:rFonts w:ascii="Times New Roman" w:hAnsi="Times New Roman" w:cs="Times New Roman"/>
          <w:sz w:val="24"/>
          <w:szCs w:val="24"/>
          <w:u w:color="1F497D"/>
        </w:rPr>
        <w:t>is essential, a</w:t>
      </w:r>
      <w:r w:rsidR="00D46D64">
        <w:rPr>
          <w:rFonts w:ascii="Times New Roman" w:hAnsi="Times New Roman" w:cs="Times New Roman"/>
          <w:sz w:val="24"/>
          <w:szCs w:val="24"/>
          <w:u w:color="1F497D"/>
        </w:rPr>
        <w:t>s well as</w:t>
      </w:r>
      <w:r w:rsidR="00064807">
        <w:rPr>
          <w:rFonts w:ascii="Times New Roman" w:hAnsi="Times New Roman" w:cs="Times New Roman"/>
          <w:sz w:val="24"/>
          <w:szCs w:val="24"/>
          <w:u w:color="1F497D"/>
        </w:rPr>
        <w:t xml:space="preserve"> engagement with </w:t>
      </w:r>
      <w:r w:rsidR="003C4709">
        <w:rPr>
          <w:rFonts w:ascii="Times New Roman" w:hAnsi="Times New Roman" w:cs="Times New Roman"/>
          <w:sz w:val="24"/>
          <w:szCs w:val="24"/>
          <w:u w:color="1F497D"/>
        </w:rPr>
        <w:t xml:space="preserve">national and local actors, including female leaders, </w:t>
      </w:r>
      <w:r w:rsidR="00064807">
        <w:rPr>
          <w:rFonts w:ascii="Times New Roman" w:hAnsi="Times New Roman" w:cs="Times New Roman"/>
          <w:sz w:val="24"/>
          <w:szCs w:val="24"/>
          <w:u w:color="1F497D"/>
        </w:rPr>
        <w:t>who can support response.</w:t>
      </w:r>
      <w:r>
        <w:rPr>
          <w:rFonts w:ascii="Times New Roman" w:hAnsi="Times New Roman" w:cs="Times New Roman"/>
          <w:sz w:val="24"/>
          <w:szCs w:val="24"/>
          <w:u w:color="1F497D"/>
        </w:rPr>
        <w:t xml:space="preserve"> </w:t>
      </w:r>
      <w:r w:rsidR="00064807">
        <w:rPr>
          <w:rFonts w:ascii="Times New Roman" w:hAnsi="Times New Roman" w:cs="Times New Roman"/>
          <w:sz w:val="24"/>
          <w:szCs w:val="24"/>
          <w:u w:color="1F497D"/>
        </w:rPr>
        <w:t xml:space="preserve">The high probability of outbreaks in fragile contexts, </w:t>
      </w:r>
      <w:r w:rsidR="007D5EF8">
        <w:rPr>
          <w:rFonts w:ascii="Times New Roman" w:hAnsi="Times New Roman" w:cs="Times New Roman"/>
          <w:sz w:val="24"/>
          <w:szCs w:val="24"/>
          <w:u w:color="1F497D"/>
        </w:rPr>
        <w:t>alongside</w:t>
      </w:r>
      <w:r w:rsidR="00064807">
        <w:rPr>
          <w:rFonts w:ascii="Times New Roman" w:hAnsi="Times New Roman" w:cs="Times New Roman"/>
          <w:sz w:val="24"/>
          <w:szCs w:val="24"/>
          <w:u w:color="1F497D"/>
        </w:rPr>
        <w:t xml:space="preserve"> a natural disaster, or within a</w:t>
      </w:r>
      <w:r w:rsidR="007D5EF8">
        <w:rPr>
          <w:rFonts w:ascii="Times New Roman" w:hAnsi="Times New Roman" w:cs="Times New Roman"/>
          <w:sz w:val="24"/>
          <w:szCs w:val="24"/>
          <w:u w:color="1F497D"/>
        </w:rPr>
        <w:t xml:space="preserve">n </w:t>
      </w:r>
      <w:r w:rsidR="00064807">
        <w:rPr>
          <w:rFonts w:ascii="Times New Roman" w:hAnsi="Times New Roman" w:cs="Times New Roman"/>
          <w:sz w:val="24"/>
          <w:szCs w:val="24"/>
          <w:u w:color="1F497D"/>
        </w:rPr>
        <w:t xml:space="preserve">emergency, was highlighted. </w:t>
      </w:r>
    </w:p>
    <w:p w14:paraId="44EBBA35" w14:textId="01EEC5DC" w:rsidR="005A4E94" w:rsidRPr="00377609" w:rsidRDefault="002A420E" w:rsidP="007D5EF8">
      <w:pPr>
        <w:pStyle w:val="BodyA"/>
        <w:tabs>
          <w:tab w:val="left" w:pos="567"/>
          <w:tab w:val="left" w:pos="992"/>
        </w:tabs>
        <w:spacing w:after="240"/>
        <w:jc w:val="both"/>
        <w:rPr>
          <w:rFonts w:ascii="Times New Roman" w:hAnsi="Times New Roman" w:cs="Times New Roman"/>
          <w:sz w:val="24"/>
          <w:szCs w:val="24"/>
          <w:u w:color="365F91"/>
        </w:rPr>
      </w:pPr>
      <w:r>
        <w:rPr>
          <w:rFonts w:ascii="Times New Roman" w:hAnsi="Times New Roman" w:cs="Times New Roman"/>
          <w:sz w:val="24"/>
          <w:szCs w:val="24"/>
          <w:u w:color="365F91"/>
        </w:rPr>
        <w:t xml:space="preserve">While noting the successful response to multiple, varied outbreaks </w:t>
      </w:r>
      <w:r w:rsidR="007D5EF8">
        <w:rPr>
          <w:rFonts w:ascii="Times New Roman" w:hAnsi="Times New Roman" w:cs="Times New Roman"/>
          <w:sz w:val="24"/>
          <w:szCs w:val="24"/>
          <w:u w:color="365F91"/>
        </w:rPr>
        <w:t>every</w:t>
      </w:r>
      <w:r>
        <w:rPr>
          <w:rFonts w:ascii="Times New Roman" w:hAnsi="Times New Roman" w:cs="Times New Roman"/>
          <w:sz w:val="24"/>
          <w:szCs w:val="24"/>
          <w:u w:color="365F91"/>
        </w:rPr>
        <w:t xml:space="preserve"> year in different contexts, </w:t>
      </w:r>
      <w:r w:rsidR="006B4CF6" w:rsidRPr="00377609">
        <w:rPr>
          <w:rFonts w:ascii="Times New Roman" w:hAnsi="Times New Roman" w:cs="Times New Roman"/>
          <w:sz w:val="24"/>
          <w:szCs w:val="24"/>
          <w:u w:color="365F91"/>
        </w:rPr>
        <w:t>Dr. Chan</w:t>
      </w:r>
      <w:r w:rsidR="00B413D9" w:rsidRPr="00377609">
        <w:rPr>
          <w:rFonts w:ascii="Times New Roman" w:hAnsi="Times New Roman" w:cs="Times New Roman"/>
          <w:sz w:val="24"/>
          <w:szCs w:val="24"/>
          <w:u w:color="365F91"/>
        </w:rPr>
        <w:t xml:space="preserve"> </w:t>
      </w:r>
      <w:r w:rsidR="002F25E4" w:rsidRPr="00377609">
        <w:rPr>
          <w:rFonts w:ascii="Times New Roman" w:hAnsi="Times New Roman" w:cs="Times New Roman"/>
          <w:sz w:val="24"/>
          <w:szCs w:val="24"/>
          <w:u w:color="365F91"/>
        </w:rPr>
        <w:t>informed</w:t>
      </w:r>
      <w:r w:rsidR="006B4CF6" w:rsidRPr="00377609">
        <w:rPr>
          <w:rFonts w:ascii="Times New Roman" w:hAnsi="Times New Roman" w:cs="Times New Roman"/>
          <w:sz w:val="24"/>
          <w:szCs w:val="24"/>
          <w:u w:color="365F91"/>
        </w:rPr>
        <w:t xml:space="preserve"> the participants of ongoing WHO </w:t>
      </w:r>
      <w:r w:rsidR="008D089C" w:rsidRPr="00377609">
        <w:rPr>
          <w:rFonts w:ascii="Times New Roman" w:hAnsi="Times New Roman" w:cs="Times New Roman"/>
          <w:sz w:val="24"/>
          <w:szCs w:val="24"/>
          <w:u w:color="365F91"/>
        </w:rPr>
        <w:t>initiatives</w:t>
      </w:r>
      <w:r>
        <w:rPr>
          <w:rFonts w:ascii="Times New Roman" w:hAnsi="Times New Roman" w:cs="Times New Roman"/>
          <w:sz w:val="24"/>
          <w:szCs w:val="24"/>
          <w:u w:color="365F91"/>
        </w:rPr>
        <w:t xml:space="preserve"> to enhance its own ability to respond quickly and effectively to major, complex outbreaks. These include </w:t>
      </w:r>
      <w:r w:rsidR="008D089C" w:rsidRPr="00377609">
        <w:rPr>
          <w:rFonts w:ascii="Times New Roman" w:hAnsi="Times New Roman" w:cs="Times New Roman"/>
          <w:sz w:val="24"/>
          <w:szCs w:val="24"/>
          <w:u w:color="365F91"/>
        </w:rPr>
        <w:t>strengthening</w:t>
      </w:r>
      <w:r>
        <w:rPr>
          <w:rFonts w:ascii="Times New Roman" w:hAnsi="Times New Roman" w:cs="Times New Roman"/>
          <w:sz w:val="24"/>
          <w:szCs w:val="24"/>
          <w:u w:color="365F91"/>
        </w:rPr>
        <w:t xml:space="preserve"> its own</w:t>
      </w:r>
      <w:r w:rsidR="008D089C" w:rsidRPr="00377609">
        <w:rPr>
          <w:rFonts w:ascii="Times New Roman" w:hAnsi="Times New Roman" w:cs="Times New Roman"/>
          <w:sz w:val="24"/>
          <w:szCs w:val="24"/>
          <w:u w:color="365F91"/>
        </w:rPr>
        <w:t xml:space="preserve"> </w:t>
      </w:r>
      <w:r>
        <w:rPr>
          <w:rFonts w:ascii="Times New Roman" w:hAnsi="Times New Roman" w:cs="Times New Roman"/>
          <w:sz w:val="24"/>
          <w:szCs w:val="24"/>
          <w:u w:color="365F91"/>
        </w:rPr>
        <w:t xml:space="preserve">logistical capacity, </w:t>
      </w:r>
      <w:r w:rsidR="00064807">
        <w:rPr>
          <w:rFonts w:ascii="Times New Roman" w:hAnsi="Times New Roman" w:cs="Times New Roman"/>
          <w:sz w:val="24"/>
          <w:szCs w:val="24"/>
          <w:u w:color="365F91"/>
        </w:rPr>
        <w:t>setting up a contingency fund to ensure immediate availability of resources, as well as on-going work with other actors, such as UNICEF on polio</w:t>
      </w:r>
      <w:r w:rsidR="00415544" w:rsidRPr="00377609">
        <w:rPr>
          <w:rFonts w:ascii="Times New Roman" w:hAnsi="Times New Roman" w:cs="Times New Roman"/>
          <w:sz w:val="24"/>
          <w:szCs w:val="24"/>
          <w:u w:color="365F91"/>
        </w:rPr>
        <w:t xml:space="preserve">.  </w:t>
      </w:r>
      <w:r w:rsidR="00064807">
        <w:rPr>
          <w:rFonts w:ascii="Times New Roman" w:hAnsi="Times New Roman" w:cs="Times New Roman"/>
          <w:sz w:val="24"/>
          <w:szCs w:val="24"/>
          <w:u w:color="365F91"/>
        </w:rPr>
        <w:t xml:space="preserve">A simulation exercise was proposed to test this new ‘IASC plus’ response, as outlined </w:t>
      </w:r>
      <w:r w:rsidR="003C4709">
        <w:rPr>
          <w:rFonts w:ascii="Times New Roman" w:hAnsi="Times New Roman" w:cs="Times New Roman"/>
          <w:sz w:val="24"/>
          <w:szCs w:val="24"/>
          <w:u w:color="365F91"/>
        </w:rPr>
        <w:t xml:space="preserve">in </w:t>
      </w:r>
      <w:r w:rsidR="00064807">
        <w:rPr>
          <w:rFonts w:ascii="Times New Roman" w:hAnsi="Times New Roman" w:cs="Times New Roman"/>
          <w:sz w:val="24"/>
          <w:szCs w:val="24"/>
          <w:u w:color="365F91"/>
        </w:rPr>
        <w:t xml:space="preserve">the new procedures. </w:t>
      </w:r>
    </w:p>
    <w:p w14:paraId="22534CE9" w14:textId="02ADE6A7" w:rsidR="00DC5F45" w:rsidRPr="00377609" w:rsidRDefault="00333A29" w:rsidP="00377609">
      <w:pPr>
        <w:pStyle w:val="BodyAA"/>
        <w:tabs>
          <w:tab w:val="left" w:pos="567"/>
          <w:tab w:val="left" w:pos="992"/>
        </w:tabs>
        <w:spacing w:after="240" w:line="280" w:lineRule="exact"/>
        <w:jc w:val="both"/>
        <w:rPr>
          <w:rFonts w:ascii="Times New Roman" w:eastAsia="Times New Roman" w:hAnsi="Times New Roman" w:cs="Times New Roman"/>
          <w:b/>
          <w:bCs/>
          <w:sz w:val="24"/>
          <w:szCs w:val="24"/>
          <w:u w:color="365F91"/>
        </w:rPr>
      </w:pPr>
      <w:r>
        <w:rPr>
          <w:rFonts w:ascii="Times New Roman" w:hAnsi="Times New Roman" w:cs="Times New Roman"/>
          <w:b/>
          <w:bCs/>
          <w:sz w:val="24"/>
          <w:szCs w:val="24"/>
          <w:u w:color="365F91"/>
        </w:rPr>
        <w:t xml:space="preserve">The IASC </w:t>
      </w:r>
      <w:r w:rsidR="00064807">
        <w:rPr>
          <w:rFonts w:ascii="Times New Roman" w:hAnsi="Times New Roman" w:cs="Times New Roman"/>
          <w:b/>
          <w:bCs/>
          <w:sz w:val="24"/>
          <w:szCs w:val="24"/>
          <w:u w:color="365F91"/>
        </w:rPr>
        <w:t>Principals agreed:</w:t>
      </w:r>
    </w:p>
    <w:p w14:paraId="70BA4F53" w14:textId="1E2A2BFF" w:rsidR="00DC5F45" w:rsidRPr="00AC61AB" w:rsidRDefault="003C4709" w:rsidP="00AC61AB">
      <w:pPr>
        <w:pStyle w:val="BodyAA"/>
        <w:numPr>
          <w:ilvl w:val="0"/>
          <w:numId w:val="7"/>
        </w:numPr>
        <w:tabs>
          <w:tab w:val="left" w:pos="567"/>
          <w:tab w:val="left" w:pos="992"/>
        </w:tabs>
        <w:spacing w:after="240" w:line="280" w:lineRule="exact"/>
        <w:jc w:val="both"/>
        <w:rPr>
          <w:rFonts w:ascii="Times New Roman" w:eastAsia="Times New Roman" w:hAnsi="Times New Roman" w:cs="Times New Roman"/>
          <w:i/>
          <w:iCs/>
          <w:color w:val="auto"/>
          <w:sz w:val="24"/>
          <w:szCs w:val="24"/>
        </w:rPr>
      </w:pPr>
      <w:r w:rsidRPr="00AC61AB">
        <w:rPr>
          <w:rFonts w:ascii="Times New Roman" w:hAnsi="Times New Roman" w:cs="Times New Roman"/>
          <w:i/>
          <w:iCs/>
          <w:color w:val="auto"/>
          <w:sz w:val="24"/>
          <w:szCs w:val="24"/>
          <w:u w:color="365F91"/>
        </w:rPr>
        <w:t>To reconfirm</w:t>
      </w:r>
      <w:r w:rsidR="008D089C" w:rsidRPr="00AC61AB">
        <w:rPr>
          <w:rFonts w:ascii="Times New Roman" w:hAnsi="Times New Roman" w:cs="Times New Roman"/>
          <w:i/>
          <w:iCs/>
          <w:color w:val="auto"/>
          <w:sz w:val="24"/>
          <w:szCs w:val="24"/>
        </w:rPr>
        <w:t xml:space="preserve"> endorsement of the L3 protocol on “Activation Procedures for Infectious Disease Events”.</w:t>
      </w:r>
    </w:p>
    <w:p w14:paraId="36820456" w14:textId="7318784D" w:rsidR="00DC5F45" w:rsidRPr="00AC61AB" w:rsidRDefault="003C4709" w:rsidP="00312073">
      <w:pPr>
        <w:pStyle w:val="BodyAA"/>
        <w:numPr>
          <w:ilvl w:val="0"/>
          <w:numId w:val="7"/>
        </w:numPr>
        <w:tabs>
          <w:tab w:val="left" w:pos="567"/>
          <w:tab w:val="left" w:pos="992"/>
        </w:tabs>
        <w:spacing w:after="240" w:line="280" w:lineRule="exact"/>
        <w:jc w:val="both"/>
        <w:rPr>
          <w:rFonts w:ascii="Times New Roman" w:eastAsia="Times New Roman" w:hAnsi="Times New Roman" w:cs="Times New Roman"/>
          <w:i/>
          <w:iCs/>
          <w:color w:val="auto"/>
          <w:sz w:val="24"/>
          <w:szCs w:val="24"/>
          <w:u w:color="365F91"/>
        </w:rPr>
      </w:pPr>
      <w:r w:rsidRPr="00AC61AB">
        <w:rPr>
          <w:rFonts w:ascii="Times New Roman" w:hAnsi="Times New Roman" w:cs="Times New Roman"/>
          <w:i/>
          <w:iCs/>
          <w:color w:val="auto"/>
          <w:sz w:val="24"/>
          <w:szCs w:val="24"/>
        </w:rPr>
        <w:t xml:space="preserve">To engage in a simulation exercise, based on the protocol, in the first half of 2017. </w:t>
      </w:r>
      <w:r w:rsidRPr="00AC61AB">
        <w:rPr>
          <w:rFonts w:ascii="Times New Roman" w:hAnsi="Times New Roman" w:cs="Times New Roman"/>
          <w:b/>
          <w:bCs/>
          <w:i/>
          <w:iCs/>
          <w:color w:val="auto"/>
          <w:sz w:val="24"/>
          <w:szCs w:val="24"/>
        </w:rPr>
        <w:t>Action by:</w:t>
      </w:r>
      <w:r w:rsidRPr="00AC61AB">
        <w:rPr>
          <w:rFonts w:ascii="Times New Roman" w:hAnsi="Times New Roman" w:cs="Times New Roman"/>
          <w:i/>
          <w:iCs/>
          <w:color w:val="auto"/>
          <w:sz w:val="24"/>
          <w:szCs w:val="24"/>
        </w:rPr>
        <w:t xml:space="preserve"> </w:t>
      </w:r>
      <w:r w:rsidRPr="00D46D64">
        <w:rPr>
          <w:rFonts w:ascii="Times New Roman" w:hAnsi="Times New Roman" w:cs="Times New Roman"/>
          <w:b/>
          <w:bCs/>
          <w:i/>
          <w:iCs/>
          <w:color w:val="auto"/>
          <w:sz w:val="24"/>
          <w:szCs w:val="24"/>
        </w:rPr>
        <w:t xml:space="preserve">WHO, in liaison with the </w:t>
      </w:r>
      <w:r w:rsidR="004F7BED" w:rsidRPr="00D46D64">
        <w:rPr>
          <w:rFonts w:ascii="Times New Roman" w:hAnsi="Times New Roman" w:cs="Times New Roman"/>
          <w:b/>
          <w:bCs/>
          <w:i/>
          <w:iCs/>
          <w:color w:val="auto"/>
          <w:sz w:val="24"/>
          <w:szCs w:val="24"/>
        </w:rPr>
        <w:t>IASC secretariat</w:t>
      </w:r>
      <w:r w:rsidRPr="00D46D64">
        <w:rPr>
          <w:rFonts w:ascii="Times New Roman" w:hAnsi="Times New Roman" w:cs="Times New Roman"/>
          <w:b/>
          <w:bCs/>
          <w:i/>
          <w:iCs/>
          <w:color w:val="auto"/>
          <w:sz w:val="24"/>
          <w:szCs w:val="24"/>
        </w:rPr>
        <w:t>, to convene a small inter-agency task team to plan and implement a simulation exercise by end July 2017</w:t>
      </w:r>
      <w:r w:rsidRPr="00AC61AB">
        <w:rPr>
          <w:rFonts w:ascii="Times New Roman" w:hAnsi="Times New Roman" w:cs="Times New Roman"/>
          <w:i/>
          <w:iCs/>
          <w:color w:val="auto"/>
          <w:sz w:val="24"/>
          <w:szCs w:val="24"/>
        </w:rPr>
        <w:t xml:space="preserve">. </w:t>
      </w:r>
    </w:p>
    <w:p w14:paraId="34ED2159" w14:textId="75C5F9EA" w:rsidR="00DC5F45" w:rsidRPr="00377609" w:rsidRDefault="008D089C" w:rsidP="00377609">
      <w:pPr>
        <w:pStyle w:val="BodyA"/>
        <w:tabs>
          <w:tab w:val="left" w:pos="567"/>
          <w:tab w:val="left" w:pos="992"/>
        </w:tabs>
        <w:spacing w:after="240" w:line="280" w:lineRule="exact"/>
        <w:jc w:val="both"/>
        <w:rPr>
          <w:rFonts w:ascii="Times New Roman" w:eastAsia="Times New Roman" w:hAnsi="Times New Roman" w:cs="Times New Roman"/>
          <w:sz w:val="24"/>
          <w:szCs w:val="24"/>
          <w:u w:color="365F91"/>
        </w:rPr>
      </w:pPr>
      <w:r w:rsidRPr="00377609">
        <w:rPr>
          <w:rFonts w:ascii="Times New Roman" w:hAnsi="Times New Roman" w:cs="Times New Roman"/>
          <w:b/>
          <w:bCs/>
          <w:color w:val="1F497D"/>
          <w:sz w:val="24"/>
          <w:szCs w:val="24"/>
          <w:u w:color="1F497D"/>
        </w:rPr>
        <w:t>Session 6: Discrimination an</w:t>
      </w:r>
      <w:r w:rsidR="007D5EF8">
        <w:rPr>
          <w:rFonts w:ascii="Times New Roman" w:hAnsi="Times New Roman" w:cs="Times New Roman"/>
          <w:b/>
          <w:bCs/>
          <w:color w:val="1F497D"/>
          <w:sz w:val="24"/>
          <w:szCs w:val="24"/>
          <w:u w:color="1F497D"/>
        </w:rPr>
        <w:t>d abuse of female aid workers in</w:t>
      </w:r>
      <w:r w:rsidRPr="00377609">
        <w:rPr>
          <w:rFonts w:ascii="Times New Roman" w:hAnsi="Times New Roman" w:cs="Times New Roman"/>
          <w:b/>
          <w:bCs/>
          <w:color w:val="1F497D"/>
          <w:sz w:val="24"/>
          <w:szCs w:val="24"/>
          <w:u w:color="1F497D"/>
        </w:rPr>
        <w:t xml:space="preserve"> the workplace</w:t>
      </w:r>
      <w:r w:rsidRPr="00377609">
        <w:rPr>
          <w:rFonts w:ascii="Times New Roman" w:eastAsia="Times New Roman" w:hAnsi="Times New Roman" w:cs="Times New Roman"/>
          <w:b/>
          <w:bCs/>
          <w:i/>
          <w:iCs/>
          <w:color w:val="1F497D"/>
          <w:sz w:val="24"/>
          <w:szCs w:val="24"/>
          <w:u w:color="1F497D"/>
        </w:rPr>
        <w:tab/>
      </w:r>
    </w:p>
    <w:p w14:paraId="08251F77" w14:textId="0B6302E3" w:rsidR="00B413D9" w:rsidRPr="00377609" w:rsidRDefault="008D089C" w:rsidP="004F7BED">
      <w:pPr>
        <w:pStyle w:val="Body"/>
        <w:spacing w:after="160"/>
        <w:jc w:val="both"/>
        <w:rPr>
          <w:rFonts w:cs="Times New Roman"/>
        </w:rPr>
      </w:pPr>
      <w:r w:rsidRPr="00377609">
        <w:rPr>
          <w:rFonts w:cs="Times New Roman"/>
        </w:rPr>
        <w:t xml:space="preserve">Mr. Philippe Lazzarini, Deputy Special Coordinator for Lebanon, Humanitarian and Resident Coordinator, presented </w:t>
      </w:r>
      <w:r w:rsidR="004F7BED">
        <w:rPr>
          <w:rFonts w:cs="Times New Roman"/>
        </w:rPr>
        <w:t>results and recommendations arising from</w:t>
      </w:r>
      <w:r w:rsidRPr="00377609">
        <w:rPr>
          <w:rFonts w:cs="Times New Roman"/>
        </w:rPr>
        <w:t xml:space="preserve"> </w:t>
      </w:r>
      <w:r w:rsidR="00B413D9" w:rsidRPr="00377609">
        <w:rPr>
          <w:rFonts w:cs="Times New Roman"/>
        </w:rPr>
        <w:t>the Humanitarian Women’s Network Survey (HWN)</w:t>
      </w:r>
      <w:r w:rsidR="004F7BED">
        <w:rPr>
          <w:rFonts w:cs="Times New Roman"/>
        </w:rPr>
        <w:t xml:space="preserve"> of some </w:t>
      </w:r>
      <w:r w:rsidR="00B413D9" w:rsidRPr="00377609">
        <w:rPr>
          <w:rFonts w:cs="Times New Roman"/>
        </w:rPr>
        <w:t>1,000 UN and NGO fi</w:t>
      </w:r>
      <w:r w:rsidR="002F25E4" w:rsidRPr="00377609">
        <w:rPr>
          <w:rFonts w:cs="Times New Roman"/>
        </w:rPr>
        <w:t xml:space="preserve">eld </w:t>
      </w:r>
      <w:r w:rsidR="00B413D9" w:rsidRPr="00377609">
        <w:rPr>
          <w:rFonts w:cs="Times New Roman"/>
        </w:rPr>
        <w:t>workers from across 70 Organizations on their experience with sexual</w:t>
      </w:r>
      <w:r w:rsidR="004F7BED">
        <w:rPr>
          <w:rFonts w:cs="Times New Roman"/>
        </w:rPr>
        <w:t xml:space="preserve"> abuse and harassment in</w:t>
      </w:r>
      <w:r w:rsidR="00B413D9" w:rsidRPr="00377609">
        <w:rPr>
          <w:rFonts w:cs="Times New Roman"/>
        </w:rPr>
        <w:t xml:space="preserve"> the workplace.</w:t>
      </w:r>
    </w:p>
    <w:p w14:paraId="1334BA53" w14:textId="0C2002EE" w:rsidR="00FB47F2" w:rsidRPr="00377609" w:rsidRDefault="003E4836" w:rsidP="00312073">
      <w:pPr>
        <w:pStyle w:val="Body"/>
        <w:spacing w:after="160"/>
        <w:jc w:val="both"/>
        <w:rPr>
          <w:rFonts w:cs="Times New Roman"/>
        </w:rPr>
      </w:pPr>
      <w:r>
        <w:rPr>
          <w:rFonts w:cs="Times New Roman"/>
        </w:rPr>
        <w:t>T</w:t>
      </w:r>
      <w:r w:rsidR="00B413D9" w:rsidRPr="00377609">
        <w:rPr>
          <w:rFonts w:cs="Times New Roman"/>
        </w:rPr>
        <w:t>he</w:t>
      </w:r>
      <w:r w:rsidR="00FB47F2" w:rsidRPr="00377609">
        <w:rPr>
          <w:rFonts w:cs="Times New Roman"/>
        </w:rPr>
        <w:t xml:space="preserve"> survey </w:t>
      </w:r>
      <w:r>
        <w:rPr>
          <w:rFonts w:cs="Times New Roman"/>
        </w:rPr>
        <w:t xml:space="preserve">revealed widespread </w:t>
      </w:r>
      <w:r w:rsidR="00312073">
        <w:rPr>
          <w:rFonts w:cs="Times New Roman"/>
        </w:rPr>
        <w:t xml:space="preserve">sexual </w:t>
      </w:r>
      <w:r>
        <w:rPr>
          <w:rFonts w:cs="Times New Roman"/>
        </w:rPr>
        <w:t xml:space="preserve">harassment, </w:t>
      </w:r>
      <w:r w:rsidR="00312073">
        <w:rPr>
          <w:rFonts w:cs="Times New Roman"/>
        </w:rPr>
        <w:t xml:space="preserve">spanning </w:t>
      </w:r>
      <w:r>
        <w:rPr>
          <w:rFonts w:cs="Times New Roman"/>
        </w:rPr>
        <w:t xml:space="preserve">from explicit sexual comments, to sexual assault and rape. Over </w:t>
      </w:r>
      <w:r w:rsidR="00C41BA0">
        <w:rPr>
          <w:rFonts w:cs="Times New Roman"/>
        </w:rPr>
        <w:t xml:space="preserve">half of all </w:t>
      </w:r>
      <w:r w:rsidR="00312073">
        <w:rPr>
          <w:rFonts w:cs="Times New Roman"/>
        </w:rPr>
        <w:t xml:space="preserve">harassment or </w:t>
      </w:r>
      <w:r w:rsidR="00C41BA0">
        <w:rPr>
          <w:rFonts w:cs="Times New Roman"/>
        </w:rPr>
        <w:t>physical aggressions were committed by a supervisor</w:t>
      </w:r>
      <w:r>
        <w:rPr>
          <w:rFonts w:cs="Times New Roman"/>
        </w:rPr>
        <w:t>, and the</w:t>
      </w:r>
      <w:r w:rsidR="00FB47F2" w:rsidRPr="00377609">
        <w:rPr>
          <w:rFonts w:cs="Times New Roman"/>
        </w:rPr>
        <w:t xml:space="preserve"> majority of the </w:t>
      </w:r>
      <w:r w:rsidR="008D089C" w:rsidRPr="00377609">
        <w:rPr>
          <w:rFonts w:cs="Times New Roman"/>
        </w:rPr>
        <w:t>respondents</w:t>
      </w:r>
      <w:r w:rsidR="00FB47F2" w:rsidRPr="00377609">
        <w:rPr>
          <w:rFonts w:cs="Times New Roman"/>
        </w:rPr>
        <w:t xml:space="preserve"> </w:t>
      </w:r>
      <w:r>
        <w:rPr>
          <w:rFonts w:cs="Times New Roman"/>
        </w:rPr>
        <w:t>reported</w:t>
      </w:r>
      <w:r w:rsidR="00FB47F2" w:rsidRPr="00377609">
        <w:rPr>
          <w:rFonts w:cs="Times New Roman"/>
        </w:rPr>
        <w:t xml:space="preserve"> limited</w:t>
      </w:r>
      <w:r w:rsidR="00C41BA0">
        <w:rPr>
          <w:rFonts w:cs="Times New Roman"/>
        </w:rPr>
        <w:t xml:space="preserve"> </w:t>
      </w:r>
      <w:r w:rsidR="00FB47F2" w:rsidRPr="00377609">
        <w:rPr>
          <w:rFonts w:cs="Times New Roman"/>
        </w:rPr>
        <w:t>support from their respective Organization</w:t>
      </w:r>
      <w:r w:rsidR="00C41BA0">
        <w:rPr>
          <w:rFonts w:cs="Times New Roman"/>
        </w:rPr>
        <w:t xml:space="preserve"> or efforts to make them feel safe</w:t>
      </w:r>
      <w:r>
        <w:rPr>
          <w:rFonts w:cs="Times New Roman"/>
        </w:rPr>
        <w:t>.</w:t>
      </w:r>
      <w:r w:rsidR="00FB47F2" w:rsidRPr="00377609">
        <w:rPr>
          <w:rFonts w:cs="Times New Roman"/>
        </w:rPr>
        <w:t xml:space="preserve"> 69% of </w:t>
      </w:r>
      <w:r w:rsidR="00312073">
        <w:rPr>
          <w:rFonts w:cs="Times New Roman"/>
        </w:rPr>
        <w:t xml:space="preserve">the affected </w:t>
      </w:r>
      <w:r w:rsidR="00FB47F2" w:rsidRPr="00377609">
        <w:rPr>
          <w:rFonts w:cs="Times New Roman"/>
        </w:rPr>
        <w:t xml:space="preserve">women did not report </w:t>
      </w:r>
      <w:r w:rsidR="00312073">
        <w:rPr>
          <w:rFonts w:cs="Times New Roman"/>
        </w:rPr>
        <w:t xml:space="preserve">incidents </w:t>
      </w:r>
      <w:r>
        <w:rPr>
          <w:rFonts w:cs="Times New Roman"/>
        </w:rPr>
        <w:t>because of a fear of professional consequences, lack of trust in the system or an absence of a mechanism to report.</w:t>
      </w:r>
      <w:r w:rsidR="00FB47F2" w:rsidRPr="00377609">
        <w:rPr>
          <w:rFonts w:cs="Times New Roman"/>
        </w:rPr>
        <w:t xml:space="preserve">  </w:t>
      </w:r>
    </w:p>
    <w:p w14:paraId="21D30C8F" w14:textId="4CFE5170" w:rsidR="009611E7" w:rsidRDefault="00C41BA0" w:rsidP="00312073">
      <w:pPr>
        <w:pStyle w:val="Body"/>
        <w:spacing w:after="160"/>
        <w:jc w:val="both"/>
        <w:rPr>
          <w:rFonts w:cs="Times New Roman"/>
        </w:rPr>
      </w:pPr>
      <w:r>
        <w:rPr>
          <w:rFonts w:cs="Times New Roman"/>
        </w:rPr>
        <w:t xml:space="preserve">Principals expressed their </w:t>
      </w:r>
      <w:r w:rsidR="009611E7">
        <w:rPr>
          <w:rFonts w:cs="Times New Roman"/>
        </w:rPr>
        <w:t xml:space="preserve">shock and </w:t>
      </w:r>
      <w:r>
        <w:rPr>
          <w:rFonts w:cs="Times New Roman"/>
        </w:rPr>
        <w:t>serious concern at these findings, and agreed the need for immediate action to reinforce the duty of care to all staff, change workplace culture, and to create an environment that holds perpetrators to account, and supports staff affected.</w:t>
      </w:r>
      <w:r w:rsidR="009611E7">
        <w:rPr>
          <w:rFonts w:cs="Times New Roman"/>
        </w:rPr>
        <w:t xml:space="preserve"> Such abuse impacts upon the essential well-being of staff, as well as the reputation and credibility of the humanitarian community itself</w:t>
      </w:r>
      <w:r w:rsidR="00B8141A">
        <w:rPr>
          <w:rFonts w:cs="Times New Roman"/>
        </w:rPr>
        <w:t>. It</w:t>
      </w:r>
      <w:r w:rsidR="00333A29">
        <w:rPr>
          <w:rFonts w:cs="Times New Roman"/>
        </w:rPr>
        <w:t xml:space="preserve"> reflects broader issues on gender discrimination and empowerment.</w:t>
      </w:r>
      <w:r w:rsidR="009611E7">
        <w:rPr>
          <w:rFonts w:cs="Times New Roman"/>
        </w:rPr>
        <w:t xml:space="preserve"> </w:t>
      </w:r>
      <w:r w:rsidR="0059435C" w:rsidRPr="00377609">
        <w:rPr>
          <w:rFonts w:cs="Times New Roman"/>
        </w:rPr>
        <w:t>Principals</w:t>
      </w:r>
      <w:r w:rsidR="00C443AE" w:rsidRPr="00377609">
        <w:rPr>
          <w:rFonts w:cs="Times New Roman"/>
        </w:rPr>
        <w:t xml:space="preserve"> stressed the need for </w:t>
      </w:r>
      <w:r w:rsidR="00312073">
        <w:rPr>
          <w:rFonts w:cs="Times New Roman"/>
        </w:rPr>
        <w:t xml:space="preserve">action </w:t>
      </w:r>
      <w:r w:rsidR="00D46D64">
        <w:rPr>
          <w:rFonts w:cs="Times New Roman"/>
        </w:rPr>
        <w:t xml:space="preserve">and a clear collective statement on this to help drive the necessary culture change. </w:t>
      </w:r>
      <w:r w:rsidR="00333A29">
        <w:rPr>
          <w:rFonts w:cs="Times New Roman"/>
        </w:rPr>
        <w:t xml:space="preserve">It was agreed that </w:t>
      </w:r>
      <w:r w:rsidR="00D46D64">
        <w:rPr>
          <w:rFonts w:cs="Times New Roman"/>
        </w:rPr>
        <w:t xml:space="preserve">HC and HCT support would reinforce this messaging within the system at field level. Principals </w:t>
      </w:r>
      <w:r w:rsidR="009611E7">
        <w:rPr>
          <w:rFonts w:cs="Times New Roman"/>
        </w:rPr>
        <w:t>endorsed propo</w:t>
      </w:r>
      <w:r w:rsidR="00D46D64">
        <w:rPr>
          <w:rFonts w:cs="Times New Roman"/>
        </w:rPr>
        <w:t xml:space="preserve">sals to ensure full attention and momentum </w:t>
      </w:r>
      <w:r w:rsidR="009611E7">
        <w:rPr>
          <w:rFonts w:cs="Times New Roman"/>
        </w:rPr>
        <w:t>by appointing a ‘champion’</w:t>
      </w:r>
      <w:r w:rsidR="00D46D64">
        <w:rPr>
          <w:rFonts w:cs="Times New Roman"/>
        </w:rPr>
        <w:t xml:space="preserve"> to take this issue forward, </w:t>
      </w:r>
      <w:r w:rsidR="00333A29">
        <w:rPr>
          <w:rFonts w:cs="Times New Roman"/>
        </w:rPr>
        <w:t xml:space="preserve">to </w:t>
      </w:r>
      <w:r w:rsidR="009611E7">
        <w:rPr>
          <w:rFonts w:cs="Times New Roman"/>
        </w:rPr>
        <w:t xml:space="preserve">convene a senior-level task team </w:t>
      </w:r>
      <w:r w:rsidR="00C443AE" w:rsidRPr="00377609">
        <w:rPr>
          <w:rFonts w:cs="Times New Roman"/>
        </w:rPr>
        <w:t xml:space="preserve">to </w:t>
      </w:r>
      <w:r w:rsidR="00333A29">
        <w:rPr>
          <w:rFonts w:cs="Times New Roman"/>
        </w:rPr>
        <w:t>conduct</w:t>
      </w:r>
      <w:r w:rsidR="00C443AE" w:rsidRPr="00377609">
        <w:rPr>
          <w:rFonts w:cs="Times New Roman"/>
        </w:rPr>
        <w:t xml:space="preserve"> a more extensive survey to systematically </w:t>
      </w:r>
      <w:r w:rsidR="00415544" w:rsidRPr="00377609">
        <w:rPr>
          <w:rFonts w:cs="Times New Roman"/>
        </w:rPr>
        <w:t>analyze</w:t>
      </w:r>
      <w:r w:rsidR="00C443AE" w:rsidRPr="00377609">
        <w:rPr>
          <w:rFonts w:cs="Times New Roman"/>
        </w:rPr>
        <w:t xml:space="preserve"> who is affected</w:t>
      </w:r>
      <w:r w:rsidR="00333A29">
        <w:rPr>
          <w:rFonts w:cs="Times New Roman"/>
        </w:rPr>
        <w:t xml:space="preserve"> and how</w:t>
      </w:r>
      <w:r w:rsidR="00BD362A">
        <w:rPr>
          <w:rFonts w:cs="Times New Roman"/>
        </w:rPr>
        <w:t xml:space="preserve"> and the effectiveness </w:t>
      </w:r>
      <w:r w:rsidR="00BD362A">
        <w:rPr>
          <w:rFonts w:cs="Times New Roman"/>
        </w:rPr>
        <w:lastRenderedPageBreak/>
        <w:t>of reporting mechanisms</w:t>
      </w:r>
      <w:r w:rsidR="00D46D64">
        <w:rPr>
          <w:rFonts w:cs="Times New Roman"/>
        </w:rPr>
        <w:t>,</w:t>
      </w:r>
      <w:r w:rsidR="00C443AE" w:rsidRPr="00377609">
        <w:rPr>
          <w:rFonts w:cs="Times New Roman"/>
        </w:rPr>
        <w:t xml:space="preserve"> and reinforce agency governance and support. </w:t>
      </w:r>
      <w:r w:rsidR="009611E7">
        <w:rPr>
          <w:rFonts w:cs="Times New Roman"/>
        </w:rPr>
        <w:t>Pr</w:t>
      </w:r>
      <w:r w:rsidR="00D46D64">
        <w:rPr>
          <w:rFonts w:cs="Times New Roman"/>
        </w:rPr>
        <w:t>incipals highlighted opportunities</w:t>
      </w:r>
      <w:r w:rsidR="009611E7">
        <w:rPr>
          <w:rFonts w:cs="Times New Roman"/>
        </w:rPr>
        <w:t xml:space="preserve"> to learn from </w:t>
      </w:r>
      <w:r w:rsidR="00C23684">
        <w:rPr>
          <w:rFonts w:cs="Times New Roman"/>
        </w:rPr>
        <w:t xml:space="preserve">individual agency and collective </w:t>
      </w:r>
      <w:r w:rsidR="009611E7">
        <w:rPr>
          <w:rFonts w:cs="Times New Roman"/>
        </w:rPr>
        <w:t>work to date on</w:t>
      </w:r>
      <w:r w:rsidR="00D46D64">
        <w:rPr>
          <w:rFonts w:cs="Times New Roman"/>
        </w:rPr>
        <w:t xml:space="preserve"> </w:t>
      </w:r>
      <w:r w:rsidR="009611E7">
        <w:rPr>
          <w:rFonts w:cs="Times New Roman"/>
        </w:rPr>
        <w:t>Sexual Exploitation and Abuse (SEA)</w:t>
      </w:r>
      <w:r w:rsidR="00C23684">
        <w:rPr>
          <w:rFonts w:cs="Times New Roman"/>
        </w:rPr>
        <w:t xml:space="preserve"> and internal </w:t>
      </w:r>
      <w:r w:rsidR="00333A29">
        <w:rPr>
          <w:rFonts w:cs="Times New Roman"/>
        </w:rPr>
        <w:t xml:space="preserve">governance </w:t>
      </w:r>
      <w:r w:rsidR="00C23684">
        <w:rPr>
          <w:rFonts w:cs="Times New Roman"/>
        </w:rPr>
        <w:t>mechanisms</w:t>
      </w:r>
      <w:r w:rsidR="009611E7">
        <w:rPr>
          <w:rFonts w:cs="Times New Roman"/>
        </w:rPr>
        <w:t xml:space="preserve">, and </w:t>
      </w:r>
      <w:r w:rsidR="00D46D64">
        <w:rPr>
          <w:rFonts w:cs="Times New Roman"/>
        </w:rPr>
        <w:t>to maintain vital linkages with on-going PSEA initiatives, including in preventing the rehire of perpetrators.</w:t>
      </w:r>
    </w:p>
    <w:p w14:paraId="5A60EF18" w14:textId="64764B4A" w:rsidR="00DC5F45" w:rsidRPr="00377609" w:rsidRDefault="00333A29" w:rsidP="00377609">
      <w:pPr>
        <w:pStyle w:val="Body"/>
        <w:spacing w:after="160"/>
        <w:jc w:val="both"/>
        <w:rPr>
          <w:rFonts w:cs="Times New Roman"/>
          <w:b/>
          <w:bCs/>
        </w:rPr>
      </w:pPr>
      <w:r>
        <w:rPr>
          <w:rFonts w:cs="Times New Roman"/>
          <w:b/>
          <w:bCs/>
        </w:rPr>
        <w:t xml:space="preserve">The IASC </w:t>
      </w:r>
      <w:r w:rsidR="00C23684">
        <w:rPr>
          <w:rFonts w:cs="Times New Roman"/>
          <w:b/>
          <w:bCs/>
        </w:rPr>
        <w:t xml:space="preserve">Principals agreed: </w:t>
      </w:r>
    </w:p>
    <w:p w14:paraId="53C142DC" w14:textId="160152E6" w:rsidR="00DC5F45" w:rsidRPr="00F76A8D" w:rsidRDefault="00C23684" w:rsidP="00F76A8D">
      <w:pPr>
        <w:pStyle w:val="Body"/>
        <w:numPr>
          <w:ilvl w:val="0"/>
          <w:numId w:val="8"/>
        </w:numPr>
        <w:spacing w:after="160"/>
        <w:jc w:val="both"/>
        <w:rPr>
          <w:rFonts w:cs="Times New Roman"/>
          <w:i/>
          <w:iCs/>
          <w:color w:val="auto"/>
        </w:rPr>
      </w:pPr>
      <w:r w:rsidRPr="00F76A8D">
        <w:rPr>
          <w:rFonts w:cs="Times New Roman"/>
          <w:i/>
          <w:iCs/>
          <w:color w:val="auto"/>
        </w:rPr>
        <w:t xml:space="preserve">To </w:t>
      </w:r>
      <w:r w:rsidR="00F03FD8">
        <w:rPr>
          <w:rFonts w:cs="Times New Roman"/>
          <w:i/>
          <w:iCs/>
          <w:color w:val="auto"/>
        </w:rPr>
        <w:t xml:space="preserve">confirm the </w:t>
      </w:r>
      <w:r w:rsidRPr="00F76A8D">
        <w:rPr>
          <w:rFonts w:cs="Times New Roman"/>
          <w:i/>
          <w:iCs/>
          <w:color w:val="auto"/>
        </w:rPr>
        <w:t>appoint</w:t>
      </w:r>
      <w:r w:rsidR="00F03FD8">
        <w:rPr>
          <w:rFonts w:cs="Times New Roman"/>
          <w:i/>
          <w:iCs/>
          <w:color w:val="auto"/>
        </w:rPr>
        <w:t>ment of</w:t>
      </w:r>
      <w:r w:rsidRPr="00F76A8D">
        <w:rPr>
          <w:rFonts w:cs="Times New Roman"/>
          <w:i/>
          <w:iCs/>
          <w:color w:val="auto"/>
        </w:rPr>
        <w:t xml:space="preserve"> Ms. K</w:t>
      </w:r>
      <w:r w:rsidR="008D089C" w:rsidRPr="00F76A8D">
        <w:rPr>
          <w:rFonts w:cs="Times New Roman"/>
          <w:i/>
          <w:iCs/>
          <w:color w:val="auto"/>
        </w:rPr>
        <w:t>ate Gilmore</w:t>
      </w:r>
      <w:r w:rsidRPr="00F76A8D">
        <w:rPr>
          <w:rFonts w:cs="Times New Roman"/>
          <w:i/>
          <w:iCs/>
          <w:color w:val="auto"/>
        </w:rPr>
        <w:t>, OHCHR,</w:t>
      </w:r>
      <w:r w:rsidR="008D089C" w:rsidRPr="00F76A8D">
        <w:rPr>
          <w:rFonts w:cs="Times New Roman"/>
          <w:i/>
          <w:iCs/>
          <w:color w:val="auto"/>
        </w:rPr>
        <w:t xml:space="preserve"> and </w:t>
      </w:r>
      <w:r w:rsidRPr="00F76A8D">
        <w:rPr>
          <w:rFonts w:cs="Times New Roman"/>
          <w:i/>
          <w:iCs/>
          <w:color w:val="auto"/>
        </w:rPr>
        <w:t xml:space="preserve">Lindsey Coates, </w:t>
      </w:r>
      <w:r w:rsidR="008D089C" w:rsidRPr="00F76A8D">
        <w:rPr>
          <w:rFonts w:cs="Times New Roman"/>
          <w:i/>
          <w:iCs/>
          <w:color w:val="auto"/>
        </w:rPr>
        <w:t>InterAction</w:t>
      </w:r>
      <w:r w:rsidR="00F76A8D" w:rsidRPr="00F76A8D">
        <w:rPr>
          <w:rFonts w:cs="Times New Roman"/>
          <w:i/>
          <w:iCs/>
          <w:color w:val="auto"/>
        </w:rPr>
        <w:t>, as C</w:t>
      </w:r>
      <w:r w:rsidRPr="00F76A8D">
        <w:rPr>
          <w:rFonts w:cs="Times New Roman"/>
          <w:i/>
          <w:iCs/>
          <w:color w:val="auto"/>
        </w:rPr>
        <w:t xml:space="preserve">o-Champions, and request Mr. Philippe Lazzarini, to remain engaged on the issue.  </w:t>
      </w:r>
    </w:p>
    <w:p w14:paraId="69C57A4D" w14:textId="538719CA" w:rsidR="00C23684" w:rsidRPr="00F76A8D" w:rsidRDefault="00C23684" w:rsidP="00FD10AA">
      <w:pPr>
        <w:pStyle w:val="Body"/>
        <w:numPr>
          <w:ilvl w:val="0"/>
          <w:numId w:val="8"/>
        </w:numPr>
        <w:spacing w:after="160"/>
        <w:jc w:val="both"/>
        <w:rPr>
          <w:rFonts w:cs="Times New Roman"/>
          <w:i/>
          <w:iCs/>
          <w:color w:val="auto"/>
        </w:rPr>
      </w:pPr>
      <w:r w:rsidRPr="00F76A8D">
        <w:rPr>
          <w:rFonts w:cs="Times New Roman"/>
          <w:i/>
          <w:iCs/>
          <w:color w:val="auto"/>
        </w:rPr>
        <w:t>To ensure senior-level participation</w:t>
      </w:r>
      <w:r w:rsidR="00FD10AA">
        <w:rPr>
          <w:rFonts w:cs="Times New Roman"/>
          <w:i/>
          <w:iCs/>
          <w:color w:val="auto"/>
        </w:rPr>
        <w:t xml:space="preserve"> through the appointment of agency-specific senior focal points</w:t>
      </w:r>
      <w:r w:rsidRPr="00F76A8D">
        <w:rPr>
          <w:rFonts w:cs="Times New Roman"/>
          <w:i/>
          <w:iCs/>
          <w:color w:val="auto"/>
        </w:rPr>
        <w:t xml:space="preserve">, to be convened </w:t>
      </w:r>
      <w:r w:rsidR="00F76A8D" w:rsidRPr="00F76A8D">
        <w:rPr>
          <w:rFonts w:cs="Times New Roman"/>
          <w:i/>
          <w:iCs/>
          <w:color w:val="auto"/>
        </w:rPr>
        <w:t>by the C</w:t>
      </w:r>
      <w:r w:rsidRPr="00F76A8D">
        <w:rPr>
          <w:rFonts w:cs="Times New Roman"/>
          <w:i/>
          <w:iCs/>
          <w:color w:val="auto"/>
        </w:rPr>
        <w:t>o-Champions, to take forward a system-wide survey, providing more systematic and d</w:t>
      </w:r>
      <w:r w:rsidR="00F76A8D" w:rsidRPr="00F76A8D">
        <w:rPr>
          <w:rFonts w:cs="Times New Roman"/>
          <w:i/>
          <w:iCs/>
          <w:color w:val="auto"/>
        </w:rPr>
        <w:t xml:space="preserve">eeper analysis, to inform an appropriate ‘road-map’ of action. </w:t>
      </w:r>
      <w:r w:rsidRPr="00F76A8D">
        <w:rPr>
          <w:rFonts w:cs="Times New Roman"/>
          <w:i/>
          <w:iCs/>
          <w:color w:val="auto"/>
        </w:rPr>
        <w:t xml:space="preserve"> </w:t>
      </w:r>
      <w:r w:rsidRPr="00F76A8D">
        <w:rPr>
          <w:rFonts w:cs="Times New Roman"/>
          <w:b/>
          <w:bCs/>
          <w:i/>
          <w:iCs/>
          <w:color w:val="auto"/>
        </w:rPr>
        <w:t xml:space="preserve">Action by: </w:t>
      </w:r>
      <w:r w:rsidR="00F76A8D" w:rsidRPr="00F76A8D">
        <w:rPr>
          <w:rFonts w:cs="Times New Roman"/>
          <w:b/>
          <w:bCs/>
          <w:i/>
          <w:iCs/>
          <w:color w:val="auto"/>
        </w:rPr>
        <w:t>IASC Principals and Co-Champions</w:t>
      </w:r>
      <w:r w:rsidR="00D9622B">
        <w:rPr>
          <w:rFonts w:cs="Times New Roman"/>
          <w:b/>
          <w:bCs/>
          <w:i/>
          <w:iCs/>
          <w:color w:val="auto"/>
        </w:rPr>
        <w:t xml:space="preserve"> by end June 2017</w:t>
      </w:r>
      <w:r w:rsidR="00F76A8D" w:rsidRPr="00F76A8D">
        <w:rPr>
          <w:rFonts w:cs="Times New Roman"/>
          <w:b/>
          <w:bCs/>
          <w:i/>
          <w:iCs/>
          <w:color w:val="auto"/>
        </w:rPr>
        <w:t>.</w:t>
      </w:r>
    </w:p>
    <w:p w14:paraId="382ED547" w14:textId="4945809C" w:rsidR="00DC5F45" w:rsidRPr="00F76A8D" w:rsidRDefault="00C23684" w:rsidP="00333A29">
      <w:pPr>
        <w:pStyle w:val="Body"/>
        <w:numPr>
          <w:ilvl w:val="0"/>
          <w:numId w:val="8"/>
        </w:numPr>
        <w:spacing w:after="160"/>
        <w:jc w:val="both"/>
        <w:rPr>
          <w:rFonts w:cs="Times New Roman"/>
          <w:i/>
          <w:iCs/>
          <w:color w:val="auto"/>
        </w:rPr>
      </w:pPr>
      <w:r w:rsidRPr="00F76A8D">
        <w:rPr>
          <w:rFonts w:cs="Times New Roman"/>
          <w:i/>
          <w:iCs/>
          <w:color w:val="auto"/>
        </w:rPr>
        <w:t>To ask Humanitarian Coordinators and Humanitarian Country Teams to raise awareness and reaffirm zero tolerance on this issue</w:t>
      </w:r>
      <w:r w:rsidR="00333A29">
        <w:rPr>
          <w:rFonts w:cs="Times New Roman"/>
          <w:i/>
          <w:iCs/>
          <w:color w:val="auto"/>
        </w:rPr>
        <w:t>, inform on governance structure and support available,</w:t>
      </w:r>
      <w:r w:rsidRPr="00F76A8D">
        <w:rPr>
          <w:rFonts w:cs="Times New Roman"/>
          <w:i/>
          <w:iCs/>
          <w:color w:val="auto"/>
        </w:rPr>
        <w:t xml:space="preserve"> with all staff at country level</w:t>
      </w:r>
      <w:r w:rsidR="00333A29">
        <w:rPr>
          <w:rFonts w:cs="Times New Roman"/>
          <w:i/>
          <w:iCs/>
          <w:color w:val="auto"/>
        </w:rPr>
        <w:t xml:space="preserve">. </w:t>
      </w:r>
      <w:r w:rsidRPr="00F76A8D">
        <w:rPr>
          <w:rFonts w:cs="Times New Roman"/>
          <w:b/>
          <w:bCs/>
          <w:i/>
          <w:iCs/>
          <w:color w:val="auto"/>
        </w:rPr>
        <w:t xml:space="preserve">Action by: </w:t>
      </w:r>
      <w:r w:rsidR="00F76A8D" w:rsidRPr="00F76A8D">
        <w:rPr>
          <w:rFonts w:cs="Times New Roman"/>
          <w:b/>
          <w:bCs/>
          <w:i/>
          <w:iCs/>
          <w:color w:val="auto"/>
        </w:rPr>
        <w:t>Emergency Relief Coordinator, with IASC Co-Champions, to send a message to all HCs and HCTs</w:t>
      </w:r>
      <w:r w:rsidR="00F76A8D" w:rsidRPr="00F76A8D">
        <w:rPr>
          <w:rFonts w:cs="Times New Roman"/>
          <w:i/>
          <w:iCs/>
          <w:color w:val="auto"/>
        </w:rPr>
        <w:t>.</w:t>
      </w:r>
    </w:p>
    <w:p w14:paraId="096D0819" w14:textId="00F54E00" w:rsidR="00DC5F45" w:rsidRPr="00F76A8D" w:rsidRDefault="00F76A8D" w:rsidP="00EC3987">
      <w:pPr>
        <w:pStyle w:val="Body"/>
        <w:numPr>
          <w:ilvl w:val="0"/>
          <w:numId w:val="8"/>
        </w:numPr>
        <w:spacing w:after="160"/>
        <w:jc w:val="both"/>
        <w:rPr>
          <w:rFonts w:cs="Times New Roman"/>
          <w:i/>
          <w:iCs/>
          <w:color w:val="auto"/>
        </w:rPr>
      </w:pPr>
      <w:r w:rsidRPr="00F76A8D">
        <w:rPr>
          <w:rFonts w:eastAsia="Calibri Light" w:cs="Times New Roman"/>
          <w:i/>
          <w:iCs/>
          <w:color w:val="auto"/>
        </w:rPr>
        <w:t>Issue an IASC Principals’ statement, expressing ‘zero tolerance’ for such</w:t>
      </w:r>
      <w:r w:rsidR="00EC3987">
        <w:rPr>
          <w:rFonts w:eastAsia="Calibri Light" w:cs="Times New Roman"/>
          <w:i/>
          <w:iCs/>
          <w:color w:val="auto"/>
        </w:rPr>
        <w:t xml:space="preserve"> actions</w:t>
      </w:r>
      <w:r w:rsidRPr="00F76A8D">
        <w:rPr>
          <w:rFonts w:eastAsia="Calibri Light" w:cs="Times New Roman"/>
          <w:i/>
          <w:iCs/>
          <w:color w:val="auto"/>
        </w:rPr>
        <w:t xml:space="preserve">, and </w:t>
      </w:r>
      <w:r w:rsidR="00333A29">
        <w:rPr>
          <w:rFonts w:eastAsia="Calibri Light" w:cs="Times New Roman"/>
          <w:i/>
          <w:iCs/>
          <w:color w:val="auto"/>
        </w:rPr>
        <w:t xml:space="preserve">commitment </w:t>
      </w:r>
      <w:r w:rsidRPr="00F76A8D">
        <w:rPr>
          <w:rFonts w:eastAsia="Calibri Light" w:cs="Times New Roman"/>
          <w:i/>
          <w:iCs/>
          <w:color w:val="auto"/>
        </w:rPr>
        <w:t xml:space="preserve">to reinforce </w:t>
      </w:r>
      <w:r w:rsidR="008D089C" w:rsidRPr="00F76A8D">
        <w:rPr>
          <w:rFonts w:cs="Times New Roman"/>
          <w:i/>
          <w:iCs/>
          <w:color w:val="auto"/>
        </w:rPr>
        <w:t xml:space="preserve">governance and support for those affected. </w:t>
      </w:r>
      <w:r w:rsidRPr="00F76A8D">
        <w:rPr>
          <w:rFonts w:cs="Times New Roman"/>
          <w:b/>
          <w:bCs/>
          <w:i/>
          <w:iCs/>
          <w:color w:val="auto"/>
        </w:rPr>
        <w:t>Action by: Emergency R</w:t>
      </w:r>
      <w:r w:rsidR="00A36CF3">
        <w:rPr>
          <w:rFonts w:cs="Times New Roman"/>
          <w:b/>
          <w:bCs/>
          <w:i/>
          <w:iCs/>
          <w:color w:val="auto"/>
        </w:rPr>
        <w:t>elief Coordinator to develop a</w:t>
      </w:r>
      <w:r w:rsidRPr="00F76A8D">
        <w:rPr>
          <w:rFonts w:cs="Times New Roman"/>
          <w:b/>
          <w:bCs/>
          <w:i/>
          <w:iCs/>
          <w:color w:val="auto"/>
        </w:rPr>
        <w:t xml:space="preserve"> Statement in consultation with Co-Champions and IASC Principals</w:t>
      </w:r>
      <w:r w:rsidRPr="00F76A8D">
        <w:rPr>
          <w:rFonts w:cs="Times New Roman"/>
          <w:i/>
          <w:iCs/>
          <w:color w:val="auto"/>
        </w:rPr>
        <w:t>.</w:t>
      </w:r>
    </w:p>
    <w:p w14:paraId="3E2EF5C3" w14:textId="55227A31" w:rsidR="00DC5F45" w:rsidRPr="00377609" w:rsidRDefault="008D089C" w:rsidP="00333A29">
      <w:pPr>
        <w:pStyle w:val="BodyA"/>
        <w:tabs>
          <w:tab w:val="left" w:pos="567"/>
          <w:tab w:val="left" w:pos="992"/>
        </w:tabs>
        <w:spacing w:after="240" w:line="280" w:lineRule="exact"/>
        <w:jc w:val="both"/>
        <w:rPr>
          <w:rFonts w:ascii="Times New Roman" w:eastAsia="Times New Roman" w:hAnsi="Times New Roman" w:cs="Times New Roman"/>
          <w:b/>
          <w:bCs/>
          <w:color w:val="1F497D"/>
          <w:sz w:val="24"/>
          <w:szCs w:val="24"/>
          <w:u w:color="1F497D"/>
        </w:rPr>
      </w:pPr>
      <w:r w:rsidRPr="00377609">
        <w:rPr>
          <w:rFonts w:ascii="Times New Roman" w:hAnsi="Times New Roman" w:cs="Times New Roman"/>
          <w:b/>
          <w:bCs/>
          <w:color w:val="1F497D"/>
          <w:sz w:val="24"/>
          <w:szCs w:val="24"/>
          <w:u w:color="1F497D"/>
        </w:rPr>
        <w:t xml:space="preserve">Session 7: </w:t>
      </w:r>
      <w:r w:rsidR="00333A29">
        <w:rPr>
          <w:rFonts w:ascii="Times New Roman" w:hAnsi="Times New Roman" w:cs="Times New Roman"/>
          <w:b/>
          <w:bCs/>
          <w:color w:val="1F497D"/>
          <w:sz w:val="24"/>
          <w:szCs w:val="24"/>
          <w:u w:color="1F497D"/>
        </w:rPr>
        <w:t>Any Other Business and Chair’s Closing Remarks</w:t>
      </w:r>
    </w:p>
    <w:p w14:paraId="311AE61C" w14:textId="3BFC0F6F" w:rsidR="00A36CF3" w:rsidRDefault="002E3DC0" w:rsidP="00B8141A">
      <w:pPr>
        <w:pStyle w:val="Body"/>
        <w:spacing w:after="160"/>
        <w:jc w:val="both"/>
        <w:rPr>
          <w:rFonts w:cs="Times New Roman"/>
        </w:rPr>
      </w:pPr>
      <w:r>
        <w:rPr>
          <w:rFonts w:cs="Times New Roman"/>
        </w:rPr>
        <w:t>In closing discussions</w:t>
      </w:r>
      <w:r w:rsidR="007E4B2C">
        <w:rPr>
          <w:rFonts w:cs="Times New Roman"/>
        </w:rPr>
        <w:t xml:space="preserve"> on some country operations</w:t>
      </w:r>
      <w:r>
        <w:rPr>
          <w:rFonts w:cs="Times New Roman"/>
        </w:rPr>
        <w:t xml:space="preserve">, </w:t>
      </w:r>
      <w:r w:rsidR="007E4B2C">
        <w:rPr>
          <w:rFonts w:cs="Times New Roman"/>
        </w:rPr>
        <w:t>t</w:t>
      </w:r>
      <w:r w:rsidR="00333A29">
        <w:rPr>
          <w:rFonts w:cs="Times New Roman"/>
        </w:rPr>
        <w:t xml:space="preserve">he Chair </w:t>
      </w:r>
      <w:r w:rsidR="007E4B2C">
        <w:rPr>
          <w:rFonts w:cs="Times New Roman"/>
        </w:rPr>
        <w:t>called for further</w:t>
      </w:r>
      <w:r>
        <w:rPr>
          <w:rFonts w:cs="Times New Roman"/>
        </w:rPr>
        <w:t xml:space="preserve"> scale-up </w:t>
      </w:r>
      <w:r w:rsidR="007E4B2C">
        <w:rPr>
          <w:rFonts w:cs="Times New Roman"/>
        </w:rPr>
        <w:t xml:space="preserve">of capacity on the ground for </w:t>
      </w:r>
      <w:r>
        <w:rPr>
          <w:rFonts w:cs="Times New Roman"/>
        </w:rPr>
        <w:t xml:space="preserve">the humanitarian response in </w:t>
      </w:r>
      <w:r w:rsidRPr="007E4B2C">
        <w:rPr>
          <w:rFonts w:cs="Times New Roman"/>
          <w:b/>
          <w:bCs/>
        </w:rPr>
        <w:t>Nigeria</w:t>
      </w:r>
      <w:r>
        <w:rPr>
          <w:rFonts w:cs="Times New Roman"/>
        </w:rPr>
        <w:t>. He noted the on-going IASC Emergency Directors’ mission to the Nigeria and Central African Republic</w:t>
      </w:r>
      <w:r w:rsidR="007E4B2C">
        <w:rPr>
          <w:rFonts w:cs="Times New Roman"/>
        </w:rPr>
        <w:t xml:space="preserve">, and welcomed the upcoming mission by the High Commissioner for Refugees to the Lake Chad region. </w:t>
      </w:r>
      <w:r>
        <w:rPr>
          <w:rFonts w:cs="Times New Roman"/>
        </w:rPr>
        <w:t xml:space="preserve">Concern was raised on the escalating situation in </w:t>
      </w:r>
      <w:r w:rsidRPr="007E4B2C">
        <w:rPr>
          <w:rFonts w:cs="Times New Roman"/>
          <w:b/>
          <w:bCs/>
        </w:rPr>
        <w:t>South Sudan</w:t>
      </w:r>
      <w:r w:rsidR="007E4B2C">
        <w:rPr>
          <w:rFonts w:cs="Times New Roman"/>
        </w:rPr>
        <w:t xml:space="preserve">, and the potential for genocide there, on drought in </w:t>
      </w:r>
      <w:r w:rsidR="007E4B2C" w:rsidRPr="007E4B2C">
        <w:rPr>
          <w:rFonts w:cs="Times New Roman"/>
          <w:b/>
          <w:bCs/>
        </w:rPr>
        <w:t>Somalia</w:t>
      </w:r>
      <w:r w:rsidR="007E4B2C">
        <w:rPr>
          <w:rFonts w:cs="Times New Roman"/>
        </w:rPr>
        <w:t xml:space="preserve">, and the related situation of Somali refugees in Dadaab, Kenya. </w:t>
      </w:r>
      <w:r w:rsidR="00333A29">
        <w:rPr>
          <w:rFonts w:cs="Times New Roman"/>
        </w:rPr>
        <w:t xml:space="preserve">UNDP </w:t>
      </w:r>
      <w:r w:rsidR="007E4B2C">
        <w:rPr>
          <w:rFonts w:cs="Times New Roman"/>
        </w:rPr>
        <w:t>raised</w:t>
      </w:r>
      <w:r w:rsidR="00333A29">
        <w:rPr>
          <w:rFonts w:cs="Times New Roman"/>
        </w:rPr>
        <w:t xml:space="preserve"> the analysis of </w:t>
      </w:r>
      <w:r w:rsidR="00333A29" w:rsidRPr="00B8141A">
        <w:rPr>
          <w:rFonts w:cs="Times New Roman"/>
          <w:b/>
          <w:bCs/>
        </w:rPr>
        <w:t>Venezuela</w:t>
      </w:r>
      <w:r w:rsidR="007E4B2C" w:rsidRPr="00B8141A">
        <w:rPr>
          <w:rFonts w:cs="Times New Roman"/>
          <w:b/>
          <w:bCs/>
        </w:rPr>
        <w:t xml:space="preserve"> </w:t>
      </w:r>
      <w:r w:rsidR="007E4B2C">
        <w:rPr>
          <w:rFonts w:cs="Times New Roman"/>
        </w:rPr>
        <w:t>included</w:t>
      </w:r>
      <w:r w:rsidR="00333A29">
        <w:rPr>
          <w:rFonts w:cs="Times New Roman"/>
        </w:rPr>
        <w:t xml:space="preserve"> in the </w:t>
      </w:r>
      <w:r w:rsidR="00EC3987">
        <w:rPr>
          <w:rFonts w:cs="Times New Roman"/>
        </w:rPr>
        <w:t xml:space="preserve">internal </w:t>
      </w:r>
      <w:r w:rsidR="00333A29">
        <w:rPr>
          <w:rFonts w:cs="Times New Roman"/>
        </w:rPr>
        <w:t>Early Warning Early</w:t>
      </w:r>
      <w:r w:rsidR="007E4B2C">
        <w:rPr>
          <w:rFonts w:cs="Times New Roman"/>
        </w:rPr>
        <w:t xml:space="preserve"> Action Report, provided as background to the meeting, </w:t>
      </w:r>
      <w:r w:rsidR="00B8141A">
        <w:rPr>
          <w:rFonts w:cs="Times New Roman"/>
        </w:rPr>
        <w:t>sharing the RC’s concerns on disseminating sensitive information. At the same time, the importance of maintaining space for analysis and discussion at IASC Principals level was reaffirmed.</w:t>
      </w:r>
    </w:p>
    <w:p w14:paraId="07221E45" w14:textId="551C5DF6" w:rsidR="00333A29" w:rsidRDefault="00923E3D" w:rsidP="00923E3D">
      <w:pPr>
        <w:pStyle w:val="Body"/>
        <w:spacing w:after="160"/>
        <w:jc w:val="both"/>
        <w:rPr>
          <w:rFonts w:cs="Times New Roman"/>
        </w:rPr>
      </w:pPr>
      <w:r>
        <w:rPr>
          <w:rFonts w:cs="Times New Roman"/>
        </w:rPr>
        <w:t xml:space="preserve">The Chair, on behalf of the IASC, warmly thanked Dr. Chan for her outstanding, and always frank, contribution to the work and discussions of the IASC.  The Chair also welcomed two new Principals to their first meeting: Mr. Mahmoud Mohieldin, Senior Vice President for the 2030 Development Agenda, United Nations Relations, and Partnerships, World Bank, and Ms. Cecilia Jimenez-Damary, Special Rapporteur on the Human Rights of IDPs, while expressing appreciation for the work of their predecessors, Mr. Colin Bruce and Dr Chaloka Beyani, respectively. </w:t>
      </w:r>
    </w:p>
    <w:p w14:paraId="42EFE66D" w14:textId="13C35829" w:rsidR="00333A29" w:rsidRDefault="00923E3D" w:rsidP="00B8141A">
      <w:pPr>
        <w:pStyle w:val="Body"/>
        <w:spacing w:after="160"/>
        <w:jc w:val="both"/>
        <w:rPr>
          <w:rFonts w:cs="Times New Roman"/>
        </w:rPr>
      </w:pPr>
      <w:r>
        <w:rPr>
          <w:rFonts w:cs="Times New Roman"/>
        </w:rPr>
        <w:t>The Chair indicated that the IASC secretariat would liaise with IASC Principals</w:t>
      </w:r>
      <w:r w:rsidR="00B8141A">
        <w:rPr>
          <w:rFonts w:cs="Times New Roman"/>
        </w:rPr>
        <w:t>’</w:t>
      </w:r>
      <w:r>
        <w:rPr>
          <w:rFonts w:cs="Times New Roman"/>
        </w:rPr>
        <w:t xml:space="preserve"> offices to identify dates for the IASC Principals’ retreat/first annual meeting (before May 2017), and a forward schedule of the two meetings per year for 2017-2019.</w:t>
      </w:r>
      <w:r w:rsidR="007E4B2C">
        <w:rPr>
          <w:rFonts w:cs="Times New Roman"/>
        </w:rPr>
        <w:t xml:space="preserve"> </w:t>
      </w:r>
      <w:r w:rsidR="007E4B2C" w:rsidRPr="00B8141A">
        <w:rPr>
          <w:rFonts w:cs="Times New Roman"/>
          <w:i/>
          <w:iCs/>
        </w:rPr>
        <w:t>Ad hoc</w:t>
      </w:r>
      <w:r w:rsidR="007E4B2C">
        <w:rPr>
          <w:rFonts w:cs="Times New Roman"/>
        </w:rPr>
        <w:t xml:space="preserve"> Principals meetings </w:t>
      </w:r>
      <w:r w:rsidR="00B8141A">
        <w:rPr>
          <w:rFonts w:cs="Times New Roman"/>
        </w:rPr>
        <w:t>will</w:t>
      </w:r>
      <w:r w:rsidR="007E4B2C">
        <w:rPr>
          <w:rFonts w:cs="Times New Roman"/>
        </w:rPr>
        <w:t xml:space="preserve"> be scheduled </w:t>
      </w:r>
      <w:r w:rsidR="00B8141A">
        <w:rPr>
          <w:rFonts w:cs="Times New Roman"/>
        </w:rPr>
        <w:t>when needed</w:t>
      </w:r>
      <w:r w:rsidR="007E4B2C">
        <w:rPr>
          <w:rFonts w:cs="Times New Roman"/>
        </w:rPr>
        <w:t xml:space="preserve"> on operations, including a p</w:t>
      </w:r>
      <w:r w:rsidR="00B8141A">
        <w:rPr>
          <w:rFonts w:cs="Times New Roman"/>
        </w:rPr>
        <w:t>ossible</w:t>
      </w:r>
      <w:r w:rsidR="007E4B2C">
        <w:rPr>
          <w:rFonts w:cs="Times New Roman"/>
        </w:rPr>
        <w:t xml:space="preserve"> </w:t>
      </w:r>
      <w:r w:rsidR="007E4B2C" w:rsidRPr="007E4B2C">
        <w:rPr>
          <w:rFonts w:cs="Times New Roman"/>
          <w:i/>
          <w:iCs/>
        </w:rPr>
        <w:t>ad hoc</w:t>
      </w:r>
      <w:r w:rsidR="007E4B2C">
        <w:rPr>
          <w:rFonts w:cs="Times New Roman"/>
        </w:rPr>
        <w:t xml:space="preserve"> meeting on fundraising and advocacy. </w:t>
      </w:r>
    </w:p>
    <w:sectPr w:rsidR="00333A29">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2C879" w14:textId="77777777" w:rsidR="008B7464" w:rsidRDefault="008B7464">
      <w:r>
        <w:separator/>
      </w:r>
    </w:p>
  </w:endnote>
  <w:endnote w:type="continuationSeparator" w:id="0">
    <w:p w14:paraId="3A9C596F" w14:textId="77777777" w:rsidR="008B7464" w:rsidRDefault="008B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8088"/>
      <w:docPartObj>
        <w:docPartGallery w:val="Page Numbers (Bottom of Page)"/>
        <w:docPartUnique/>
      </w:docPartObj>
    </w:sdtPr>
    <w:sdtEndPr/>
    <w:sdtContent>
      <w:p w14:paraId="53342D2B" w14:textId="77777777" w:rsidR="005313BC" w:rsidRDefault="005313BC">
        <w:pPr>
          <w:pStyle w:val="Footer"/>
          <w:jc w:val="center"/>
        </w:pPr>
        <w:r>
          <w:t>[</w:t>
        </w:r>
        <w:r>
          <w:fldChar w:fldCharType="begin"/>
        </w:r>
        <w:r>
          <w:instrText xml:space="preserve"> PAGE   \* MERGEFORMAT </w:instrText>
        </w:r>
        <w:r>
          <w:fldChar w:fldCharType="separate"/>
        </w:r>
        <w:r w:rsidR="00CA59BF">
          <w:rPr>
            <w:noProof/>
          </w:rPr>
          <w:t>1</w:t>
        </w:r>
        <w:r>
          <w:rPr>
            <w:noProof/>
          </w:rPr>
          <w:fldChar w:fldCharType="end"/>
        </w:r>
        <w:r>
          <w:t>]</w:t>
        </w:r>
      </w:p>
    </w:sdtContent>
  </w:sdt>
  <w:p w14:paraId="13B5BC11" w14:textId="77777777" w:rsidR="005313BC" w:rsidRDefault="0053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ADB7" w14:textId="77777777" w:rsidR="008B7464" w:rsidRDefault="008B7464">
      <w:r>
        <w:separator/>
      </w:r>
    </w:p>
  </w:footnote>
  <w:footnote w:type="continuationSeparator" w:id="0">
    <w:p w14:paraId="2631E772" w14:textId="77777777" w:rsidR="008B7464" w:rsidRDefault="008B7464">
      <w:r>
        <w:continuationSeparator/>
      </w:r>
    </w:p>
  </w:footnote>
  <w:footnote w:id="1">
    <w:p w14:paraId="2735F46E" w14:textId="7B5E56F3" w:rsidR="00326A4F" w:rsidRDefault="00326A4F">
      <w:pPr>
        <w:pStyle w:val="FootnoteText"/>
      </w:pPr>
      <w:r>
        <w:rPr>
          <w:rStyle w:val="FootnoteReference"/>
        </w:rPr>
        <w:footnoteRef/>
      </w:r>
      <w:r>
        <w:t xml:space="preserve"> Note: The IASC/UNDG Workshop in October 2016 reviewed a proposed typology which will be helpful to adapt approaches to different types of contexts.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376FE"/>
    <w:multiLevelType w:val="hybridMultilevel"/>
    <w:tmpl w:val="63D09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6D23FB"/>
    <w:multiLevelType w:val="hybridMultilevel"/>
    <w:tmpl w:val="2C46F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C62623"/>
    <w:multiLevelType w:val="hybridMultilevel"/>
    <w:tmpl w:val="9BEC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780A54"/>
    <w:multiLevelType w:val="hybridMultilevel"/>
    <w:tmpl w:val="D0B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81239D"/>
    <w:multiLevelType w:val="hybridMultilevel"/>
    <w:tmpl w:val="FB26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A42964"/>
    <w:multiLevelType w:val="hybridMultilevel"/>
    <w:tmpl w:val="4D7E6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866C9C"/>
    <w:multiLevelType w:val="hybridMultilevel"/>
    <w:tmpl w:val="ECB6C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CC3C9E"/>
    <w:multiLevelType w:val="hybridMultilevel"/>
    <w:tmpl w:val="63E6C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45"/>
    <w:rsid w:val="00022445"/>
    <w:rsid w:val="000306FC"/>
    <w:rsid w:val="00032332"/>
    <w:rsid w:val="00040394"/>
    <w:rsid w:val="000631B9"/>
    <w:rsid w:val="00064807"/>
    <w:rsid w:val="000677BC"/>
    <w:rsid w:val="00093C13"/>
    <w:rsid w:val="000B6F51"/>
    <w:rsid w:val="000D203F"/>
    <w:rsid w:val="00101821"/>
    <w:rsid w:val="00103F61"/>
    <w:rsid w:val="00105FF7"/>
    <w:rsid w:val="001246B2"/>
    <w:rsid w:val="0012487A"/>
    <w:rsid w:val="0014745F"/>
    <w:rsid w:val="00181DB1"/>
    <w:rsid w:val="001869DA"/>
    <w:rsid w:val="001B6A56"/>
    <w:rsid w:val="002009E2"/>
    <w:rsid w:val="002034EC"/>
    <w:rsid w:val="0021478C"/>
    <w:rsid w:val="002362B9"/>
    <w:rsid w:val="002539B5"/>
    <w:rsid w:val="002A2B25"/>
    <w:rsid w:val="002A420E"/>
    <w:rsid w:val="002B04AE"/>
    <w:rsid w:val="002D7B01"/>
    <w:rsid w:val="002E3DC0"/>
    <w:rsid w:val="002F25E4"/>
    <w:rsid w:val="0030120C"/>
    <w:rsid w:val="00312073"/>
    <w:rsid w:val="00326A4F"/>
    <w:rsid w:val="00326BCF"/>
    <w:rsid w:val="00333A29"/>
    <w:rsid w:val="00377609"/>
    <w:rsid w:val="00380796"/>
    <w:rsid w:val="003915E7"/>
    <w:rsid w:val="003A2363"/>
    <w:rsid w:val="003A2F63"/>
    <w:rsid w:val="003B58C0"/>
    <w:rsid w:val="003C1665"/>
    <w:rsid w:val="003C4709"/>
    <w:rsid w:val="003E4836"/>
    <w:rsid w:val="003F1CDF"/>
    <w:rsid w:val="003F748F"/>
    <w:rsid w:val="00405A1F"/>
    <w:rsid w:val="00414D1A"/>
    <w:rsid w:val="00415544"/>
    <w:rsid w:val="0042468F"/>
    <w:rsid w:val="004374BB"/>
    <w:rsid w:val="00452293"/>
    <w:rsid w:val="0046375F"/>
    <w:rsid w:val="00476547"/>
    <w:rsid w:val="004771F7"/>
    <w:rsid w:val="00495979"/>
    <w:rsid w:val="004F06E1"/>
    <w:rsid w:val="004F7BED"/>
    <w:rsid w:val="00515DA3"/>
    <w:rsid w:val="005313BC"/>
    <w:rsid w:val="00542C6F"/>
    <w:rsid w:val="00546F41"/>
    <w:rsid w:val="00572964"/>
    <w:rsid w:val="0059435C"/>
    <w:rsid w:val="005A4E94"/>
    <w:rsid w:val="005C5734"/>
    <w:rsid w:val="0061224A"/>
    <w:rsid w:val="00613768"/>
    <w:rsid w:val="0061506B"/>
    <w:rsid w:val="00651B85"/>
    <w:rsid w:val="006530E5"/>
    <w:rsid w:val="006B4CF6"/>
    <w:rsid w:val="006C2AC3"/>
    <w:rsid w:val="006C4612"/>
    <w:rsid w:val="006F5993"/>
    <w:rsid w:val="007241DF"/>
    <w:rsid w:val="0074054F"/>
    <w:rsid w:val="00750727"/>
    <w:rsid w:val="00750DB1"/>
    <w:rsid w:val="0075685F"/>
    <w:rsid w:val="00757E87"/>
    <w:rsid w:val="00763D5D"/>
    <w:rsid w:val="007B303C"/>
    <w:rsid w:val="007B5178"/>
    <w:rsid w:val="007D5EF8"/>
    <w:rsid w:val="007E0784"/>
    <w:rsid w:val="007E4B2C"/>
    <w:rsid w:val="00834742"/>
    <w:rsid w:val="00836134"/>
    <w:rsid w:val="008364A4"/>
    <w:rsid w:val="00894160"/>
    <w:rsid w:val="008B7464"/>
    <w:rsid w:val="008C1E7B"/>
    <w:rsid w:val="008D089C"/>
    <w:rsid w:val="008D1AA9"/>
    <w:rsid w:val="008E1603"/>
    <w:rsid w:val="00902BD2"/>
    <w:rsid w:val="009229B7"/>
    <w:rsid w:val="00923E3D"/>
    <w:rsid w:val="009265E1"/>
    <w:rsid w:val="00935610"/>
    <w:rsid w:val="00954B8D"/>
    <w:rsid w:val="00957764"/>
    <w:rsid w:val="009611E7"/>
    <w:rsid w:val="00961DEC"/>
    <w:rsid w:val="009A1435"/>
    <w:rsid w:val="009B4DB8"/>
    <w:rsid w:val="009B5D98"/>
    <w:rsid w:val="009E40EC"/>
    <w:rsid w:val="00A36CF3"/>
    <w:rsid w:val="00A40157"/>
    <w:rsid w:val="00A53349"/>
    <w:rsid w:val="00A64D9B"/>
    <w:rsid w:val="00A9585F"/>
    <w:rsid w:val="00AA49B4"/>
    <w:rsid w:val="00AA4DD3"/>
    <w:rsid w:val="00AB75D8"/>
    <w:rsid w:val="00AC61AB"/>
    <w:rsid w:val="00B02EA5"/>
    <w:rsid w:val="00B15846"/>
    <w:rsid w:val="00B413D9"/>
    <w:rsid w:val="00B64DC8"/>
    <w:rsid w:val="00B731D4"/>
    <w:rsid w:val="00B8141A"/>
    <w:rsid w:val="00B93D0F"/>
    <w:rsid w:val="00BD362A"/>
    <w:rsid w:val="00BE3BA4"/>
    <w:rsid w:val="00BF532E"/>
    <w:rsid w:val="00C0569E"/>
    <w:rsid w:val="00C1006B"/>
    <w:rsid w:val="00C1457A"/>
    <w:rsid w:val="00C23684"/>
    <w:rsid w:val="00C24216"/>
    <w:rsid w:val="00C41BA0"/>
    <w:rsid w:val="00C443AE"/>
    <w:rsid w:val="00C50D9A"/>
    <w:rsid w:val="00C514EE"/>
    <w:rsid w:val="00C52202"/>
    <w:rsid w:val="00C85A25"/>
    <w:rsid w:val="00CA5574"/>
    <w:rsid w:val="00CA59BF"/>
    <w:rsid w:val="00CC19E6"/>
    <w:rsid w:val="00CC1E68"/>
    <w:rsid w:val="00D03924"/>
    <w:rsid w:val="00D04494"/>
    <w:rsid w:val="00D15F83"/>
    <w:rsid w:val="00D1658F"/>
    <w:rsid w:val="00D16730"/>
    <w:rsid w:val="00D3290E"/>
    <w:rsid w:val="00D46D64"/>
    <w:rsid w:val="00D746A7"/>
    <w:rsid w:val="00D9622B"/>
    <w:rsid w:val="00D96ADC"/>
    <w:rsid w:val="00DA4247"/>
    <w:rsid w:val="00DC0D9E"/>
    <w:rsid w:val="00DC5F45"/>
    <w:rsid w:val="00DF5BA6"/>
    <w:rsid w:val="00E0075F"/>
    <w:rsid w:val="00E3291B"/>
    <w:rsid w:val="00E4407F"/>
    <w:rsid w:val="00E97E0D"/>
    <w:rsid w:val="00EC1653"/>
    <w:rsid w:val="00EC3987"/>
    <w:rsid w:val="00F011BA"/>
    <w:rsid w:val="00F03FD8"/>
    <w:rsid w:val="00F216B0"/>
    <w:rsid w:val="00F248C4"/>
    <w:rsid w:val="00F24F4D"/>
    <w:rsid w:val="00F3412A"/>
    <w:rsid w:val="00F3684D"/>
    <w:rsid w:val="00F37C14"/>
    <w:rsid w:val="00F40096"/>
    <w:rsid w:val="00F60AF5"/>
    <w:rsid w:val="00F76A8D"/>
    <w:rsid w:val="00FA7736"/>
    <w:rsid w:val="00FB3ABC"/>
    <w:rsid w:val="00FB47F2"/>
    <w:rsid w:val="00FC269C"/>
    <w:rsid w:val="00FD10AA"/>
    <w:rsid w:val="00FE35BF"/>
    <w:rsid w:val="00FF1E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40E44"/>
  <w15:docId w15:val="{B63D7166-BBBE-4FEB-8CF1-D0E13F41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D04494"/>
    <w:pPr>
      <w:tabs>
        <w:tab w:val="center" w:pos="4513"/>
        <w:tab w:val="right" w:pos="9026"/>
      </w:tabs>
    </w:pPr>
  </w:style>
  <w:style w:type="character" w:customStyle="1" w:styleId="HeaderChar">
    <w:name w:val="Header Char"/>
    <w:basedOn w:val="DefaultParagraphFont"/>
    <w:link w:val="Header"/>
    <w:uiPriority w:val="99"/>
    <w:rsid w:val="00D04494"/>
    <w:rPr>
      <w:sz w:val="24"/>
      <w:szCs w:val="24"/>
      <w:lang w:val="en-US" w:eastAsia="en-US"/>
    </w:rPr>
  </w:style>
  <w:style w:type="paragraph" w:styleId="Footer">
    <w:name w:val="footer"/>
    <w:basedOn w:val="Normal"/>
    <w:link w:val="FooterChar"/>
    <w:uiPriority w:val="99"/>
    <w:unhideWhenUsed/>
    <w:rsid w:val="00D04494"/>
    <w:pPr>
      <w:tabs>
        <w:tab w:val="center" w:pos="4513"/>
        <w:tab w:val="right" w:pos="9026"/>
      </w:tabs>
    </w:pPr>
  </w:style>
  <w:style w:type="character" w:customStyle="1" w:styleId="FooterChar">
    <w:name w:val="Footer Char"/>
    <w:basedOn w:val="DefaultParagraphFont"/>
    <w:link w:val="Footer"/>
    <w:uiPriority w:val="99"/>
    <w:rsid w:val="00D04494"/>
    <w:rPr>
      <w:sz w:val="24"/>
      <w:szCs w:val="24"/>
      <w:lang w:val="en-US" w:eastAsia="en-US"/>
    </w:rPr>
  </w:style>
  <w:style w:type="paragraph" w:styleId="BalloonText">
    <w:name w:val="Balloon Text"/>
    <w:basedOn w:val="Normal"/>
    <w:link w:val="BalloonTextChar"/>
    <w:uiPriority w:val="99"/>
    <w:semiHidden/>
    <w:unhideWhenUsed/>
    <w:rsid w:val="00F21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6B0"/>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EC3987"/>
    <w:rPr>
      <w:sz w:val="20"/>
      <w:szCs w:val="20"/>
    </w:rPr>
  </w:style>
  <w:style w:type="character" w:customStyle="1" w:styleId="FootnoteTextChar">
    <w:name w:val="Footnote Text Char"/>
    <w:basedOn w:val="DefaultParagraphFont"/>
    <w:link w:val="FootnoteText"/>
    <w:uiPriority w:val="99"/>
    <w:semiHidden/>
    <w:rsid w:val="00EC3987"/>
    <w:rPr>
      <w:lang w:val="en-US" w:eastAsia="en-US"/>
    </w:rPr>
  </w:style>
  <w:style w:type="character" w:styleId="FootnoteReference">
    <w:name w:val="footnote reference"/>
    <w:basedOn w:val="DefaultParagraphFont"/>
    <w:uiPriority w:val="99"/>
    <w:semiHidden/>
    <w:unhideWhenUsed/>
    <w:rsid w:val="00EC3987"/>
    <w:rPr>
      <w:vertAlign w:val="superscript"/>
    </w:rPr>
  </w:style>
  <w:style w:type="character" w:styleId="CommentReference">
    <w:name w:val="annotation reference"/>
    <w:basedOn w:val="DefaultParagraphFont"/>
    <w:uiPriority w:val="99"/>
    <w:semiHidden/>
    <w:unhideWhenUsed/>
    <w:rsid w:val="00452293"/>
    <w:rPr>
      <w:sz w:val="16"/>
      <w:szCs w:val="16"/>
    </w:rPr>
  </w:style>
  <w:style w:type="paragraph" w:styleId="CommentText">
    <w:name w:val="annotation text"/>
    <w:basedOn w:val="Normal"/>
    <w:link w:val="CommentTextChar"/>
    <w:uiPriority w:val="99"/>
    <w:semiHidden/>
    <w:unhideWhenUsed/>
    <w:rsid w:val="00452293"/>
    <w:rPr>
      <w:sz w:val="20"/>
      <w:szCs w:val="20"/>
    </w:rPr>
  </w:style>
  <w:style w:type="character" w:customStyle="1" w:styleId="CommentTextChar">
    <w:name w:val="Comment Text Char"/>
    <w:basedOn w:val="DefaultParagraphFont"/>
    <w:link w:val="CommentText"/>
    <w:uiPriority w:val="99"/>
    <w:semiHidden/>
    <w:rsid w:val="00452293"/>
    <w:rPr>
      <w:lang w:val="en-US" w:eastAsia="en-US"/>
    </w:rPr>
  </w:style>
  <w:style w:type="paragraph" w:styleId="CommentSubject">
    <w:name w:val="annotation subject"/>
    <w:basedOn w:val="CommentText"/>
    <w:next w:val="CommentText"/>
    <w:link w:val="CommentSubjectChar"/>
    <w:uiPriority w:val="99"/>
    <w:semiHidden/>
    <w:unhideWhenUsed/>
    <w:rsid w:val="00452293"/>
    <w:rPr>
      <w:b/>
      <w:bCs/>
    </w:rPr>
  </w:style>
  <w:style w:type="character" w:customStyle="1" w:styleId="CommentSubjectChar">
    <w:name w:val="Comment Subject Char"/>
    <w:basedOn w:val="CommentTextChar"/>
    <w:link w:val="CommentSubject"/>
    <w:uiPriority w:val="99"/>
    <w:semiHidden/>
    <w:rsid w:val="00452293"/>
    <w:rPr>
      <w:b/>
      <w:bCs/>
      <w:lang w:val="en-US" w:eastAsia="en-US"/>
    </w:rPr>
  </w:style>
  <w:style w:type="paragraph" w:styleId="Revision">
    <w:name w:val="Revision"/>
    <w:hidden/>
    <w:uiPriority w:val="99"/>
    <w:semiHidden/>
    <w:rsid w:val="003F748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F40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0B38-A47A-498D-985A-E0A5C129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ESCODA BRUNED</dc:creator>
  <cp:lastModifiedBy>COOK</cp:lastModifiedBy>
  <cp:revision>2</cp:revision>
  <cp:lastPrinted>2017-01-20T16:11:00Z</cp:lastPrinted>
  <dcterms:created xsi:type="dcterms:W3CDTF">2017-03-09T16:01:00Z</dcterms:created>
  <dcterms:modified xsi:type="dcterms:W3CDTF">2017-03-09T16:01:00Z</dcterms:modified>
</cp:coreProperties>
</file>