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A0FCC" w14:textId="77777777" w:rsidR="001F7C4A" w:rsidRDefault="001F7C4A" w:rsidP="005B0A6D">
      <w:pPr>
        <w:spacing w:before="0"/>
        <w:rPr>
          <w:sz w:val="20"/>
          <w:szCs w:val="20"/>
        </w:rPr>
      </w:pPr>
    </w:p>
    <w:p w14:paraId="382CC3AD" w14:textId="77777777" w:rsidR="00AD1B22" w:rsidRDefault="00AD1B22" w:rsidP="00AD1B22">
      <w:pPr>
        <w:spacing w:line="240" w:lineRule="auto"/>
        <w:ind w:left="720" w:hanging="720"/>
        <w:jc w:val="center"/>
        <w:rPr>
          <w:szCs w:val="22"/>
        </w:rPr>
      </w:pPr>
      <w:r>
        <w:rPr>
          <w:smallCaps/>
          <w:sz w:val="24"/>
        </w:rPr>
        <w:t xml:space="preserve">Inter-Agency Standing Committee </w:t>
      </w:r>
    </w:p>
    <w:p w14:paraId="285B9107" w14:textId="77777777" w:rsidR="00AD1B22" w:rsidRDefault="00AD1B22" w:rsidP="00F40685">
      <w:pPr>
        <w:spacing w:line="240" w:lineRule="auto"/>
        <w:jc w:val="center"/>
      </w:pPr>
      <w:r>
        <w:rPr>
          <w:smallCaps/>
          <w:sz w:val="24"/>
        </w:rPr>
        <w:t>9</w:t>
      </w:r>
      <w:r w:rsidR="00F40685">
        <w:rPr>
          <w:smallCaps/>
          <w:sz w:val="24"/>
        </w:rPr>
        <w:t>2</w:t>
      </w:r>
      <w:r w:rsidR="00F40685" w:rsidRPr="00F40685">
        <w:rPr>
          <w:smallCaps/>
          <w:sz w:val="24"/>
          <w:vertAlign w:val="superscript"/>
        </w:rPr>
        <w:t>nd</w:t>
      </w:r>
      <w:r w:rsidR="00F40685">
        <w:rPr>
          <w:smallCaps/>
          <w:sz w:val="24"/>
        </w:rPr>
        <w:t xml:space="preserve"> </w:t>
      </w:r>
      <w:r>
        <w:rPr>
          <w:smallCaps/>
          <w:sz w:val="24"/>
        </w:rPr>
        <w:t>IASC Working Group Meeting</w:t>
      </w:r>
    </w:p>
    <w:p w14:paraId="5BD77077" w14:textId="6453C421" w:rsidR="00AD1B22" w:rsidRDefault="008B4C1F" w:rsidP="00AA1D51">
      <w:pPr>
        <w:spacing w:before="360" w:line="240" w:lineRule="auto"/>
        <w:jc w:val="center"/>
      </w:pPr>
      <w:r>
        <w:rPr>
          <w:b/>
          <w:sz w:val="36"/>
          <w:szCs w:val="36"/>
        </w:rPr>
        <w:t>Summary Record</w:t>
      </w:r>
    </w:p>
    <w:p w14:paraId="73026489" w14:textId="77777777" w:rsidR="00AD1B22" w:rsidRDefault="00F40685" w:rsidP="00AA1D51">
      <w:pPr>
        <w:spacing w:line="240" w:lineRule="auto"/>
        <w:jc w:val="center"/>
      </w:pPr>
      <w:r>
        <w:rPr>
          <w:smallCaps/>
          <w:sz w:val="24"/>
        </w:rPr>
        <w:t>5-6 April 2017</w:t>
      </w:r>
      <w:bookmarkStart w:id="0" w:name="_GoBack"/>
      <w:bookmarkEnd w:id="0"/>
    </w:p>
    <w:p w14:paraId="3DD7DDC5" w14:textId="77777777" w:rsidR="00AD1B22" w:rsidRDefault="00AD1B22" w:rsidP="00F40685">
      <w:pPr>
        <w:spacing w:line="240" w:lineRule="auto"/>
        <w:jc w:val="center"/>
        <w:rPr>
          <w:sz w:val="24"/>
        </w:rPr>
      </w:pPr>
      <w:r>
        <w:rPr>
          <w:sz w:val="24"/>
        </w:rPr>
        <w:t xml:space="preserve">Host: </w:t>
      </w:r>
      <w:r w:rsidR="00F40685">
        <w:rPr>
          <w:sz w:val="24"/>
        </w:rPr>
        <w:t>FAO</w:t>
      </w:r>
      <w:r>
        <w:rPr>
          <w:sz w:val="24"/>
        </w:rPr>
        <w:t>,</w:t>
      </w:r>
      <w:r w:rsidR="00F40685">
        <w:rPr>
          <w:sz w:val="24"/>
        </w:rPr>
        <w:t xml:space="preserve"> Rome</w:t>
      </w:r>
    </w:p>
    <w:p w14:paraId="1D63AE1A" w14:textId="77777777" w:rsidR="00AD1B22" w:rsidRDefault="00AD1B22" w:rsidP="005B0A6D">
      <w:pPr>
        <w:spacing w:before="0"/>
        <w:rPr>
          <w:sz w:val="20"/>
          <w:szCs w:val="20"/>
        </w:rPr>
      </w:pPr>
    </w:p>
    <w:p w14:paraId="141AE5A1" w14:textId="77777777" w:rsidR="00D163C9" w:rsidRPr="00A91E6D" w:rsidRDefault="00D163C9" w:rsidP="00F01D99">
      <w:pPr>
        <w:pStyle w:val="ListParagraph"/>
        <w:spacing w:before="0"/>
        <w:rPr>
          <w:rFonts w:asciiTheme="majorBidi" w:hAnsiTheme="majorBidi" w:cstheme="majorBidi"/>
          <w:b/>
          <w:bCs/>
          <w:szCs w:val="22"/>
        </w:rPr>
      </w:pPr>
      <w:r w:rsidRPr="00A91E6D">
        <w:rPr>
          <w:rFonts w:asciiTheme="majorBidi" w:hAnsiTheme="majorBidi" w:cstheme="majorBidi"/>
          <w:b/>
          <w:bCs/>
          <w:szCs w:val="22"/>
        </w:rPr>
        <w:t>Opening remarks</w:t>
      </w:r>
    </w:p>
    <w:p w14:paraId="66E7FE38" w14:textId="18004BF3" w:rsidR="006C7A05" w:rsidRPr="00566A12" w:rsidRDefault="00BD05E5" w:rsidP="005F3B07">
      <w:pPr>
        <w:spacing w:line="240" w:lineRule="auto"/>
        <w:rPr>
          <w:rFonts w:asciiTheme="majorBidi" w:hAnsiTheme="majorBidi" w:cstheme="majorBidi"/>
          <w:b/>
        </w:rPr>
      </w:pPr>
      <w:r>
        <w:rPr>
          <w:rFonts w:asciiTheme="majorBidi" w:hAnsiTheme="majorBidi" w:cstheme="majorBidi"/>
          <w:b/>
          <w:bCs/>
          <w:i/>
          <w:iCs/>
          <w:color w:val="0070C0"/>
          <w:szCs w:val="22"/>
        </w:rPr>
        <w:t xml:space="preserve">Mr. </w:t>
      </w:r>
      <w:r w:rsidR="0024554C">
        <w:rPr>
          <w:rFonts w:asciiTheme="majorBidi" w:hAnsiTheme="majorBidi" w:cstheme="majorBidi"/>
          <w:b/>
          <w:bCs/>
          <w:i/>
          <w:iCs/>
          <w:color w:val="0070C0"/>
          <w:szCs w:val="22"/>
        </w:rPr>
        <w:t xml:space="preserve">Daniel Gustafson, Deputy Director-General, </w:t>
      </w:r>
      <w:r w:rsidR="006C7A05" w:rsidRPr="006C7A05">
        <w:rPr>
          <w:rFonts w:asciiTheme="majorBidi" w:hAnsiTheme="majorBidi" w:cstheme="majorBidi"/>
          <w:b/>
          <w:bCs/>
          <w:i/>
          <w:iCs/>
          <w:color w:val="0070C0"/>
          <w:szCs w:val="22"/>
        </w:rPr>
        <w:t>FAO</w:t>
      </w:r>
      <w:r w:rsidR="0024554C">
        <w:rPr>
          <w:rFonts w:asciiTheme="majorBidi" w:hAnsiTheme="majorBidi" w:cstheme="majorBidi"/>
          <w:b/>
          <w:bCs/>
          <w:i/>
          <w:iCs/>
          <w:color w:val="0070C0"/>
          <w:szCs w:val="22"/>
        </w:rPr>
        <w:t>,</w:t>
      </w:r>
      <w:r w:rsidR="0024554C">
        <w:t xml:space="preserve"> welcomed </w:t>
      </w:r>
      <w:r w:rsidR="006C7A05">
        <w:t>participants and</w:t>
      </w:r>
      <w:r w:rsidR="0024554C">
        <w:t>, in his opening remarks,</w:t>
      </w:r>
      <w:r w:rsidR="006C7A05">
        <w:t xml:space="preserve"> noted the exceptionally difficult time faced globally, with an unprecedented number of intractable and protracted crises.</w:t>
      </w:r>
      <w:r w:rsidR="006C7A05">
        <w:rPr>
          <w:rFonts w:asciiTheme="majorBidi" w:hAnsiTheme="majorBidi" w:cstheme="majorBidi"/>
          <w:b/>
        </w:rPr>
        <w:t xml:space="preserve"> </w:t>
      </w:r>
      <w:r w:rsidR="006C7A05" w:rsidRPr="006C7A05">
        <w:rPr>
          <w:rFonts w:asciiTheme="majorBidi" w:hAnsiTheme="majorBidi" w:cstheme="majorBidi"/>
          <w:bCs/>
        </w:rPr>
        <w:t xml:space="preserve">He </w:t>
      </w:r>
      <w:r w:rsidR="0024554C">
        <w:rPr>
          <w:rFonts w:asciiTheme="majorBidi" w:hAnsiTheme="majorBidi" w:cstheme="majorBidi"/>
          <w:bCs/>
        </w:rPr>
        <w:t>suggested</w:t>
      </w:r>
      <w:r w:rsidR="006C7A05" w:rsidRPr="006C7A05">
        <w:rPr>
          <w:rFonts w:asciiTheme="majorBidi" w:hAnsiTheme="majorBidi" w:cstheme="majorBidi"/>
          <w:bCs/>
        </w:rPr>
        <w:t xml:space="preserve"> this present</w:t>
      </w:r>
      <w:r w:rsidR="006C7A05">
        <w:rPr>
          <w:rFonts w:asciiTheme="majorBidi" w:hAnsiTheme="majorBidi" w:cstheme="majorBidi"/>
          <w:bCs/>
        </w:rPr>
        <w:t>s</w:t>
      </w:r>
      <w:r w:rsidR="006C7A05" w:rsidRPr="006C7A05">
        <w:rPr>
          <w:bCs/>
        </w:rPr>
        <w:t xml:space="preserve"> great challenges but </w:t>
      </w:r>
      <w:r w:rsidR="0024554C">
        <w:t>also great opportunities, including a Secretary-General well-</w:t>
      </w:r>
      <w:r w:rsidR="006C7A05">
        <w:t>versed in humanitarian affairs and conflict prevention</w:t>
      </w:r>
      <w:r w:rsidR="0024554C">
        <w:t xml:space="preserve">, and the opportunity to bring </w:t>
      </w:r>
      <w:r w:rsidR="006C7A05">
        <w:t>work that went into the W</w:t>
      </w:r>
      <w:r w:rsidR="0024554C">
        <w:t>orld Humanitarian Summit (WHS)</w:t>
      </w:r>
      <w:r w:rsidR="006C7A05">
        <w:t xml:space="preserve"> and G</w:t>
      </w:r>
      <w:r w:rsidR="0024554C">
        <w:t>rand Bargain (G</w:t>
      </w:r>
      <w:r w:rsidR="006C7A05">
        <w:t>B</w:t>
      </w:r>
      <w:r w:rsidR="0024554C">
        <w:t xml:space="preserve">) to fruition, </w:t>
      </w:r>
      <w:r w:rsidR="00F9221F">
        <w:t>and make</w:t>
      </w:r>
      <w:r w:rsidR="0024554C">
        <w:t xml:space="preserve"> the changes envisaged. </w:t>
      </w:r>
      <w:r w:rsidR="001A79CC">
        <w:t>The</w:t>
      </w:r>
      <w:r w:rsidR="001A79CC" w:rsidRPr="001A79CC">
        <w:rPr>
          <w:rFonts w:asciiTheme="majorBidi" w:hAnsiTheme="majorBidi" w:cstheme="majorBidi"/>
          <w:szCs w:val="22"/>
        </w:rPr>
        <w:t xml:space="preserve"> </w:t>
      </w:r>
      <w:r w:rsidR="0024554C">
        <w:rPr>
          <w:rFonts w:asciiTheme="majorBidi" w:hAnsiTheme="majorBidi" w:cstheme="majorBidi"/>
          <w:szCs w:val="22"/>
        </w:rPr>
        <w:t xml:space="preserve">IASC </w:t>
      </w:r>
      <w:r w:rsidR="001A79CC">
        <w:rPr>
          <w:rFonts w:asciiTheme="majorBidi" w:hAnsiTheme="majorBidi" w:cstheme="majorBidi"/>
          <w:szCs w:val="22"/>
        </w:rPr>
        <w:t>Working Group (WG)</w:t>
      </w:r>
      <w:r w:rsidR="001A79CC">
        <w:t xml:space="preserve"> </w:t>
      </w:r>
      <w:r w:rsidR="0024554C">
        <w:t>can be at</w:t>
      </w:r>
      <w:r w:rsidR="001A79CC">
        <w:t xml:space="preserve"> the heart of this, </w:t>
      </w:r>
      <w:r w:rsidR="0024554C">
        <w:t>deciding how to take</w:t>
      </w:r>
      <w:r w:rsidR="006C7A05">
        <w:t xml:space="preserve"> new </w:t>
      </w:r>
      <w:r w:rsidR="0024554C">
        <w:t>‘</w:t>
      </w:r>
      <w:r w:rsidR="006C7A05">
        <w:t>big ideas</w:t>
      </w:r>
      <w:r w:rsidR="0024554C">
        <w:t>’</w:t>
      </w:r>
      <w:r w:rsidR="006C7A05">
        <w:t xml:space="preserve"> forward.</w:t>
      </w:r>
    </w:p>
    <w:p w14:paraId="6D10950A" w14:textId="77777777" w:rsidR="00D163C9" w:rsidRDefault="00D163C9" w:rsidP="005F3B07">
      <w:pPr>
        <w:spacing w:before="0" w:line="240" w:lineRule="auto"/>
        <w:rPr>
          <w:rFonts w:asciiTheme="majorBidi" w:hAnsiTheme="majorBidi" w:cstheme="majorBidi"/>
          <w:b/>
          <w:bCs/>
          <w:szCs w:val="22"/>
        </w:rPr>
      </w:pPr>
    </w:p>
    <w:p w14:paraId="303293A6" w14:textId="4C6D3853" w:rsidR="008B4C1F" w:rsidRPr="00A91E6D" w:rsidRDefault="008B4C1F" w:rsidP="007879C8">
      <w:pPr>
        <w:spacing w:before="0" w:line="240" w:lineRule="auto"/>
        <w:rPr>
          <w:rFonts w:asciiTheme="majorBidi" w:hAnsiTheme="majorBidi" w:cstheme="majorBidi"/>
          <w:szCs w:val="22"/>
        </w:rPr>
      </w:pPr>
      <w:r w:rsidRPr="001A79CC">
        <w:rPr>
          <w:rFonts w:asciiTheme="majorBidi" w:hAnsiTheme="majorBidi" w:cstheme="majorBidi"/>
          <w:b/>
          <w:bCs/>
          <w:i/>
          <w:iCs/>
          <w:color w:val="0070C0"/>
          <w:szCs w:val="22"/>
        </w:rPr>
        <w:t xml:space="preserve">Ms. </w:t>
      </w:r>
      <w:r w:rsidR="00E838DD" w:rsidRPr="001A79CC">
        <w:rPr>
          <w:rFonts w:asciiTheme="majorBidi" w:hAnsiTheme="majorBidi" w:cstheme="majorBidi"/>
          <w:b/>
          <w:bCs/>
          <w:i/>
          <w:iCs/>
          <w:color w:val="0070C0"/>
          <w:szCs w:val="22"/>
        </w:rPr>
        <w:t>Ursula Mueller</w:t>
      </w:r>
      <w:r w:rsidR="004F1336" w:rsidRPr="001A79CC">
        <w:rPr>
          <w:rFonts w:asciiTheme="majorBidi" w:hAnsiTheme="majorBidi" w:cstheme="majorBidi"/>
          <w:b/>
          <w:bCs/>
          <w:i/>
          <w:iCs/>
          <w:color w:val="0070C0"/>
          <w:szCs w:val="22"/>
        </w:rPr>
        <w:t xml:space="preserve">, Chair of the IASC </w:t>
      </w:r>
      <w:r w:rsidR="001A79CC" w:rsidRPr="001A79CC">
        <w:rPr>
          <w:rFonts w:asciiTheme="majorBidi" w:hAnsiTheme="majorBidi" w:cstheme="majorBidi"/>
          <w:b/>
          <w:bCs/>
          <w:i/>
          <w:iCs/>
          <w:color w:val="0070C0"/>
          <w:szCs w:val="22"/>
        </w:rPr>
        <w:t>WG</w:t>
      </w:r>
      <w:r w:rsidR="001A79CC">
        <w:rPr>
          <w:rFonts w:asciiTheme="majorBidi" w:hAnsiTheme="majorBidi" w:cstheme="majorBidi"/>
          <w:szCs w:val="22"/>
        </w:rPr>
        <w:t xml:space="preserve">, </w:t>
      </w:r>
      <w:r w:rsidR="001A79CC">
        <w:t>thanked FAO for generously hosting the WG</w:t>
      </w:r>
      <w:r w:rsidR="0024554C">
        <w:t>, and welcomed the opportunity</w:t>
      </w:r>
      <w:r w:rsidR="008828A6">
        <w:t>,</w:t>
      </w:r>
      <w:r w:rsidR="0024554C">
        <w:t xml:space="preserve"> </w:t>
      </w:r>
      <w:r w:rsidR="00794C85">
        <w:t xml:space="preserve">as </w:t>
      </w:r>
      <w:r w:rsidR="008828A6">
        <w:t xml:space="preserve">the </w:t>
      </w:r>
      <w:r w:rsidR="00794C85">
        <w:t xml:space="preserve">new DERC, </w:t>
      </w:r>
      <w:r w:rsidR="0024554C">
        <w:rPr>
          <w:rFonts w:asciiTheme="majorBidi" w:hAnsiTheme="majorBidi" w:cstheme="majorBidi"/>
          <w:szCs w:val="22"/>
        </w:rPr>
        <w:t xml:space="preserve">to </w:t>
      </w:r>
      <w:r w:rsidR="001A79CC" w:rsidRPr="004D64F7">
        <w:rPr>
          <w:rFonts w:asciiTheme="majorBidi" w:hAnsiTheme="majorBidi" w:cstheme="majorBidi"/>
          <w:szCs w:val="22"/>
        </w:rPr>
        <w:t>listen and learn</w:t>
      </w:r>
      <w:r w:rsidR="0024554C">
        <w:rPr>
          <w:rFonts w:asciiTheme="majorBidi" w:hAnsiTheme="majorBidi" w:cstheme="majorBidi"/>
          <w:szCs w:val="22"/>
        </w:rPr>
        <w:t xml:space="preserve"> from WG representatives</w:t>
      </w:r>
      <w:r w:rsidR="001A79CC" w:rsidRPr="004D64F7">
        <w:rPr>
          <w:rFonts w:asciiTheme="majorBidi" w:hAnsiTheme="majorBidi" w:cstheme="majorBidi"/>
          <w:szCs w:val="22"/>
        </w:rPr>
        <w:t xml:space="preserve">. She noted that the IASC, as the UN in general, is in a </w:t>
      </w:r>
      <w:r w:rsidR="0024554C">
        <w:rPr>
          <w:rFonts w:asciiTheme="majorBidi" w:hAnsiTheme="majorBidi" w:cstheme="majorBidi"/>
          <w:szCs w:val="22"/>
        </w:rPr>
        <w:t>time of transition</w:t>
      </w:r>
      <w:r w:rsidR="004D64F7">
        <w:rPr>
          <w:rFonts w:asciiTheme="majorBidi" w:hAnsiTheme="majorBidi" w:cstheme="majorBidi"/>
          <w:szCs w:val="22"/>
        </w:rPr>
        <w:t xml:space="preserve">. </w:t>
      </w:r>
      <w:r w:rsidR="0024554C">
        <w:rPr>
          <w:rFonts w:asciiTheme="majorBidi" w:hAnsiTheme="majorBidi" w:cstheme="majorBidi"/>
          <w:szCs w:val="22"/>
        </w:rPr>
        <w:t>In a context of multiple</w:t>
      </w:r>
      <w:r w:rsidR="004D64F7">
        <w:rPr>
          <w:rFonts w:asciiTheme="majorBidi" w:hAnsiTheme="majorBidi" w:cstheme="majorBidi"/>
          <w:szCs w:val="22"/>
        </w:rPr>
        <w:t xml:space="preserve"> complex emergencies, </w:t>
      </w:r>
      <w:r w:rsidR="0024554C">
        <w:rPr>
          <w:rFonts w:asciiTheme="majorBidi" w:hAnsiTheme="majorBidi" w:cstheme="majorBidi"/>
          <w:szCs w:val="22"/>
        </w:rPr>
        <w:t xml:space="preserve">including the threat of four concurrent </w:t>
      </w:r>
      <w:r w:rsidR="004D64F7">
        <w:rPr>
          <w:rFonts w:asciiTheme="majorBidi" w:hAnsiTheme="majorBidi" w:cstheme="majorBidi"/>
          <w:szCs w:val="22"/>
        </w:rPr>
        <w:t xml:space="preserve">famines, </w:t>
      </w:r>
      <w:r w:rsidR="0024554C">
        <w:rPr>
          <w:rFonts w:asciiTheme="majorBidi" w:hAnsiTheme="majorBidi" w:cstheme="majorBidi"/>
          <w:szCs w:val="22"/>
        </w:rPr>
        <w:t>she stressed the importance of a</w:t>
      </w:r>
      <w:r w:rsidR="004D64F7">
        <w:rPr>
          <w:rFonts w:asciiTheme="majorBidi" w:hAnsiTheme="majorBidi" w:cstheme="majorBidi"/>
          <w:szCs w:val="22"/>
        </w:rPr>
        <w:t xml:space="preserve"> </w:t>
      </w:r>
      <w:r w:rsidR="0024554C">
        <w:rPr>
          <w:rFonts w:asciiTheme="majorBidi" w:hAnsiTheme="majorBidi" w:cstheme="majorBidi"/>
          <w:szCs w:val="22"/>
        </w:rPr>
        <w:t xml:space="preserve">humanitarian system </w:t>
      </w:r>
      <w:r w:rsidR="004D64F7" w:rsidRPr="004D64F7">
        <w:rPr>
          <w:rFonts w:asciiTheme="majorBidi" w:hAnsiTheme="majorBidi" w:cstheme="majorBidi"/>
          <w:szCs w:val="22"/>
        </w:rPr>
        <w:t>fit for purpose.</w:t>
      </w:r>
      <w:r w:rsidR="004D64F7">
        <w:rPr>
          <w:rFonts w:asciiTheme="majorBidi" w:hAnsiTheme="majorBidi" w:cstheme="majorBidi"/>
          <w:szCs w:val="22"/>
        </w:rPr>
        <w:t xml:space="preserve"> She urged the WG to</w:t>
      </w:r>
      <w:r w:rsidR="001A79CC" w:rsidRPr="004D64F7">
        <w:rPr>
          <w:rFonts w:asciiTheme="majorBidi" w:hAnsiTheme="majorBidi" w:cstheme="majorBidi"/>
          <w:szCs w:val="22"/>
        </w:rPr>
        <w:t xml:space="preserve"> focus on </w:t>
      </w:r>
      <w:r w:rsidR="0024554C">
        <w:rPr>
          <w:rFonts w:asciiTheme="majorBidi" w:hAnsiTheme="majorBidi" w:cstheme="majorBidi"/>
          <w:szCs w:val="22"/>
        </w:rPr>
        <w:t xml:space="preserve">concrete outcomes and </w:t>
      </w:r>
      <w:r w:rsidR="00C8098E" w:rsidRPr="004D64F7">
        <w:rPr>
          <w:rFonts w:asciiTheme="majorBidi" w:hAnsiTheme="majorBidi" w:cstheme="majorBidi"/>
          <w:szCs w:val="22"/>
        </w:rPr>
        <w:t xml:space="preserve">results, </w:t>
      </w:r>
      <w:r w:rsidR="0024554C">
        <w:rPr>
          <w:rFonts w:asciiTheme="majorBidi" w:hAnsiTheme="majorBidi" w:cstheme="majorBidi"/>
          <w:szCs w:val="22"/>
        </w:rPr>
        <w:t xml:space="preserve">to use the meeting to </w:t>
      </w:r>
      <w:r w:rsidR="00C8098E" w:rsidRPr="004D64F7">
        <w:rPr>
          <w:rFonts w:asciiTheme="majorBidi" w:hAnsiTheme="majorBidi" w:cstheme="majorBidi"/>
          <w:szCs w:val="22"/>
        </w:rPr>
        <w:t>t</w:t>
      </w:r>
      <w:r w:rsidR="001A79CC" w:rsidRPr="004D64F7">
        <w:rPr>
          <w:rFonts w:asciiTheme="majorBidi" w:hAnsiTheme="majorBidi" w:cstheme="majorBidi"/>
          <w:szCs w:val="22"/>
        </w:rPr>
        <w:t xml:space="preserve">ake stock </w:t>
      </w:r>
      <w:r w:rsidR="0024554C">
        <w:rPr>
          <w:rFonts w:asciiTheme="majorBidi" w:hAnsiTheme="majorBidi" w:cstheme="majorBidi"/>
          <w:szCs w:val="22"/>
        </w:rPr>
        <w:t xml:space="preserve">of its role </w:t>
      </w:r>
      <w:r w:rsidR="001A79CC" w:rsidRPr="004D64F7">
        <w:rPr>
          <w:rFonts w:asciiTheme="majorBidi" w:hAnsiTheme="majorBidi" w:cstheme="majorBidi"/>
          <w:szCs w:val="22"/>
        </w:rPr>
        <w:t xml:space="preserve">and identify </w:t>
      </w:r>
      <w:r w:rsidR="0024554C">
        <w:rPr>
          <w:rFonts w:asciiTheme="majorBidi" w:hAnsiTheme="majorBidi" w:cstheme="majorBidi"/>
          <w:szCs w:val="22"/>
        </w:rPr>
        <w:t xml:space="preserve">clear </w:t>
      </w:r>
      <w:r w:rsidR="001A79CC" w:rsidRPr="004D64F7">
        <w:rPr>
          <w:rFonts w:asciiTheme="majorBidi" w:hAnsiTheme="majorBidi" w:cstheme="majorBidi"/>
          <w:szCs w:val="22"/>
        </w:rPr>
        <w:t xml:space="preserve">actions </w:t>
      </w:r>
      <w:r w:rsidR="0024554C">
        <w:rPr>
          <w:rFonts w:asciiTheme="majorBidi" w:hAnsiTheme="majorBidi" w:cstheme="majorBidi"/>
          <w:szCs w:val="22"/>
        </w:rPr>
        <w:t xml:space="preserve">for WG </w:t>
      </w:r>
      <w:r w:rsidR="001A79CC" w:rsidRPr="004D64F7">
        <w:rPr>
          <w:rFonts w:asciiTheme="majorBidi" w:hAnsiTheme="majorBidi" w:cstheme="majorBidi"/>
          <w:szCs w:val="22"/>
        </w:rPr>
        <w:t xml:space="preserve">support </w:t>
      </w:r>
      <w:r w:rsidR="0024554C">
        <w:rPr>
          <w:rFonts w:asciiTheme="majorBidi" w:hAnsiTheme="majorBidi" w:cstheme="majorBidi"/>
          <w:szCs w:val="22"/>
        </w:rPr>
        <w:t xml:space="preserve">for </w:t>
      </w:r>
      <w:r w:rsidR="001A79CC" w:rsidRPr="004D64F7">
        <w:rPr>
          <w:rFonts w:asciiTheme="majorBidi" w:hAnsiTheme="majorBidi" w:cstheme="majorBidi"/>
          <w:szCs w:val="22"/>
        </w:rPr>
        <w:t xml:space="preserve">the </w:t>
      </w:r>
      <w:r w:rsidR="00C8098E" w:rsidRPr="004D64F7">
        <w:rPr>
          <w:rFonts w:asciiTheme="majorBidi" w:hAnsiTheme="majorBidi" w:cstheme="majorBidi"/>
          <w:szCs w:val="22"/>
        </w:rPr>
        <w:t>IASC Principals</w:t>
      </w:r>
      <w:r w:rsidR="0024554C">
        <w:rPr>
          <w:rFonts w:asciiTheme="majorBidi" w:hAnsiTheme="majorBidi" w:cstheme="majorBidi"/>
          <w:szCs w:val="22"/>
        </w:rPr>
        <w:t xml:space="preserve"> in making strategic, timely decisions, defending humanitarian space and principles, and ensuring an effective operational response for people in need.</w:t>
      </w:r>
      <w:r w:rsidR="001A79CC" w:rsidRPr="004D64F7">
        <w:rPr>
          <w:rFonts w:asciiTheme="majorBidi" w:hAnsiTheme="majorBidi" w:cstheme="majorBidi"/>
          <w:szCs w:val="22"/>
        </w:rPr>
        <w:t xml:space="preserve"> </w:t>
      </w:r>
      <w:r w:rsidR="009708EC">
        <w:rPr>
          <w:rFonts w:asciiTheme="majorBidi" w:hAnsiTheme="majorBidi" w:cstheme="majorBidi"/>
          <w:szCs w:val="22"/>
        </w:rPr>
        <w:t>She reflected that this period brings challenges, but also considerable opportunities for</w:t>
      </w:r>
      <w:r w:rsidR="0024554C">
        <w:rPr>
          <w:rFonts w:asciiTheme="majorBidi" w:hAnsiTheme="majorBidi" w:cstheme="majorBidi"/>
          <w:szCs w:val="22"/>
        </w:rPr>
        <w:t xml:space="preserve"> the IASC to shape the way </w:t>
      </w:r>
      <w:r w:rsidR="009708EC">
        <w:rPr>
          <w:rFonts w:asciiTheme="majorBidi" w:hAnsiTheme="majorBidi" w:cstheme="majorBidi"/>
          <w:szCs w:val="22"/>
        </w:rPr>
        <w:t xml:space="preserve">it works. </w:t>
      </w:r>
    </w:p>
    <w:p w14:paraId="1F571A41" w14:textId="77777777" w:rsidR="006D5E4A" w:rsidRPr="00A91E6D" w:rsidRDefault="006D5E4A" w:rsidP="005F3B07">
      <w:pPr>
        <w:spacing w:before="0" w:line="240" w:lineRule="auto"/>
        <w:rPr>
          <w:rFonts w:asciiTheme="majorBidi" w:hAnsiTheme="majorBidi" w:cstheme="majorBidi"/>
          <w:szCs w:val="22"/>
        </w:rPr>
      </w:pPr>
    </w:p>
    <w:p w14:paraId="6B96E602" w14:textId="77777777" w:rsidR="00F01D99" w:rsidRDefault="00F01D99" w:rsidP="005F3B07">
      <w:pPr>
        <w:pStyle w:val="ListParagraph"/>
        <w:numPr>
          <w:ilvl w:val="0"/>
          <w:numId w:val="13"/>
        </w:numPr>
        <w:spacing w:before="0" w:after="240" w:line="240" w:lineRule="auto"/>
        <w:rPr>
          <w:rFonts w:asciiTheme="majorBidi" w:hAnsiTheme="majorBidi" w:cstheme="majorBidi"/>
          <w:b/>
          <w:bCs/>
          <w:szCs w:val="22"/>
        </w:rPr>
      </w:pPr>
      <w:r w:rsidRPr="00330629">
        <w:rPr>
          <w:rFonts w:asciiTheme="majorBidi" w:hAnsiTheme="majorBidi" w:cstheme="majorBidi"/>
          <w:b/>
          <w:bCs/>
          <w:szCs w:val="22"/>
        </w:rPr>
        <w:t>A Vision for the IASC in a changing world</w:t>
      </w:r>
      <w:r w:rsidRPr="00A91E6D">
        <w:rPr>
          <w:rFonts w:asciiTheme="majorBidi" w:hAnsiTheme="majorBidi" w:cstheme="majorBidi"/>
          <w:b/>
          <w:bCs/>
          <w:szCs w:val="22"/>
        </w:rPr>
        <w:t xml:space="preserve"> </w:t>
      </w:r>
    </w:p>
    <w:p w14:paraId="1702D5FD" w14:textId="00F908FD" w:rsidR="005F3B07" w:rsidRDefault="0024554C" w:rsidP="005F3B07">
      <w:pPr>
        <w:spacing w:before="0" w:line="240" w:lineRule="auto"/>
      </w:pPr>
      <w:r>
        <w:rPr>
          <w:rFonts w:asciiTheme="majorBidi" w:hAnsiTheme="majorBidi" w:cstheme="majorBidi"/>
          <w:b/>
          <w:bCs/>
          <w:i/>
          <w:iCs/>
          <w:color w:val="0070C0"/>
          <w:szCs w:val="22"/>
        </w:rPr>
        <w:t xml:space="preserve">On </w:t>
      </w:r>
      <w:r w:rsidR="00164FBF">
        <w:rPr>
          <w:rFonts w:asciiTheme="majorBidi" w:hAnsiTheme="majorBidi" w:cstheme="majorBidi"/>
          <w:b/>
          <w:bCs/>
          <w:i/>
          <w:iCs/>
          <w:color w:val="0070C0"/>
          <w:szCs w:val="22"/>
        </w:rPr>
        <w:t>taking up her role as the Chair of the</w:t>
      </w:r>
      <w:r>
        <w:rPr>
          <w:rFonts w:asciiTheme="majorBidi" w:hAnsiTheme="majorBidi" w:cstheme="majorBidi"/>
          <w:b/>
          <w:bCs/>
          <w:i/>
          <w:iCs/>
          <w:color w:val="0070C0"/>
          <w:szCs w:val="22"/>
        </w:rPr>
        <w:t xml:space="preserve"> </w:t>
      </w:r>
      <w:r w:rsidR="00885DD7" w:rsidRPr="001A79CC">
        <w:rPr>
          <w:rFonts w:asciiTheme="majorBidi" w:hAnsiTheme="majorBidi" w:cstheme="majorBidi"/>
          <w:b/>
          <w:bCs/>
          <w:i/>
          <w:iCs/>
          <w:color w:val="0070C0"/>
          <w:szCs w:val="22"/>
        </w:rPr>
        <w:t>IASC WG</w:t>
      </w:r>
      <w:r w:rsidRPr="0024554C">
        <w:rPr>
          <w:b/>
          <w:i/>
          <w:color w:val="5B9BD5" w:themeColor="accent1"/>
        </w:rPr>
        <w:t xml:space="preserve">, </w:t>
      </w:r>
      <w:r w:rsidRPr="0024554C">
        <w:rPr>
          <w:b/>
          <w:i/>
          <w:color w:val="2E74B5" w:themeColor="accent1" w:themeShade="BF"/>
        </w:rPr>
        <w:t>Ms. Mueller</w:t>
      </w:r>
      <w:r w:rsidR="00164FBF">
        <w:rPr>
          <w:b/>
        </w:rPr>
        <w:t xml:space="preserve">, </w:t>
      </w:r>
      <w:r w:rsidR="00794C85">
        <w:t>drawing</w:t>
      </w:r>
      <w:r w:rsidR="00164FBF" w:rsidRPr="00164FBF">
        <w:t xml:space="preserve"> on her personal experience, conversations with IASC partners to date, and engagement on the Secretary-General’s UN reform agenda, outline</w:t>
      </w:r>
      <w:r w:rsidR="00794C85">
        <w:t>d</w:t>
      </w:r>
      <w:r w:rsidR="00885DD7" w:rsidRPr="00164FBF">
        <w:t xml:space="preserve"> her vision fo</w:t>
      </w:r>
      <w:r w:rsidR="00CD6330" w:rsidRPr="00164FBF">
        <w:t>r the IASC in a changing world</w:t>
      </w:r>
      <w:r w:rsidR="00164FBF" w:rsidRPr="00164FBF">
        <w:t xml:space="preserve">. </w:t>
      </w:r>
      <w:r w:rsidR="00433525">
        <w:t xml:space="preserve">She stressed the need </w:t>
      </w:r>
      <w:r w:rsidR="00794C85">
        <w:t xml:space="preserve">to </w:t>
      </w:r>
      <w:r w:rsidR="00433525">
        <w:t xml:space="preserve">identify opportunities and challenges given current political change, and the role the WG </w:t>
      </w:r>
      <w:r w:rsidR="00794C85">
        <w:t xml:space="preserve">could </w:t>
      </w:r>
      <w:r w:rsidR="00433525">
        <w:t>play in relation to the SG’s new structures, while still maintaining a measure of nece</w:t>
      </w:r>
      <w:r w:rsidR="0083004E">
        <w:t>ssary independence. Ms. Mueller</w:t>
      </w:r>
      <w:r w:rsidR="00433525">
        <w:t xml:space="preserve"> stressed </w:t>
      </w:r>
      <w:r w:rsidR="0083004E">
        <w:t xml:space="preserve">the </w:t>
      </w:r>
      <w:r w:rsidR="00433525">
        <w:t>opportunity</w:t>
      </w:r>
      <w:r w:rsidR="0083004E">
        <w:t>, through the ERC and DERC engagement,</w:t>
      </w:r>
      <w:r w:rsidR="00433525">
        <w:t xml:space="preserve"> to influe</w:t>
      </w:r>
      <w:r w:rsidR="0083004E">
        <w:t>nce high-level decision-making around</w:t>
      </w:r>
      <w:r w:rsidR="00433525">
        <w:t xml:space="preserve"> the Secretary-Gener</w:t>
      </w:r>
      <w:r w:rsidR="0083004E">
        <w:t>al’s reform agenda and provide</w:t>
      </w:r>
      <w:r w:rsidR="00433525">
        <w:t xml:space="preserve"> a clear, strong collective voic</w:t>
      </w:r>
      <w:r w:rsidR="0083004E">
        <w:t>e in the Deputies Committee and Executive Committee,</w:t>
      </w:r>
      <w:r w:rsidR="00433525">
        <w:t xml:space="preserve"> making humanitarian concerns clear. She noted the unique nature of the</w:t>
      </w:r>
      <w:r w:rsidR="00F264BF">
        <w:t xml:space="preserve"> IASC, encompassing UN and non-UN actors, </w:t>
      </w:r>
      <w:r w:rsidR="00433525">
        <w:t xml:space="preserve">and </w:t>
      </w:r>
      <w:r w:rsidR="00F264BF">
        <w:t xml:space="preserve">with a </w:t>
      </w:r>
      <w:r w:rsidR="00433525">
        <w:t xml:space="preserve">GA-mandated </w:t>
      </w:r>
      <w:r w:rsidR="00F264BF">
        <w:t xml:space="preserve">humanitarian leadership role recognised at global level and in the field. </w:t>
      </w:r>
    </w:p>
    <w:p w14:paraId="62D7F6BE" w14:textId="77777777" w:rsidR="005F3B07" w:rsidRDefault="005F3B07" w:rsidP="005F3B07">
      <w:pPr>
        <w:spacing w:before="0" w:line="240" w:lineRule="auto"/>
      </w:pPr>
    </w:p>
    <w:p w14:paraId="1221BAD5" w14:textId="77777777" w:rsidR="00433525" w:rsidRDefault="00F264BF" w:rsidP="005F3B07">
      <w:pPr>
        <w:spacing w:before="0" w:line="240" w:lineRule="auto"/>
      </w:pPr>
      <w:r>
        <w:t xml:space="preserve">She outlined a vision of an IASC making a difference through timely and informed strategic decision-making, to which its members are committed and accountable, and </w:t>
      </w:r>
      <w:r w:rsidR="00433525">
        <w:t xml:space="preserve">where the WG could help </w:t>
      </w:r>
      <w:r>
        <w:t>provide evidence and build ownership for key actions. She stressed the role of the IASC in providing, and reinforcing, the normative framework through targeted advocacy, by ensuring relevant – and only necessary – policy is developed, and clear and consistent guidance is given to the field. She noted that the IASC should be</w:t>
      </w:r>
      <w:r w:rsidR="00BC3EE8">
        <w:t xml:space="preserve"> nimble and respon</w:t>
      </w:r>
      <w:r w:rsidR="00164FBF">
        <w:t xml:space="preserve">sive to what is </w:t>
      </w:r>
      <w:r w:rsidR="000C56A3">
        <w:t xml:space="preserve">actually </w:t>
      </w:r>
      <w:r w:rsidR="00164FBF">
        <w:t xml:space="preserve">needed </w:t>
      </w:r>
      <w:r w:rsidR="00794C85">
        <w:t xml:space="preserve">and requested </w:t>
      </w:r>
      <w:r w:rsidR="00164FBF">
        <w:t>by field-</w:t>
      </w:r>
      <w:r w:rsidR="00BC3EE8">
        <w:t>based partners</w:t>
      </w:r>
      <w:r>
        <w:t xml:space="preserve">, supporting the field, rather than demanding from it. </w:t>
      </w:r>
      <w:r w:rsidR="0083004E">
        <w:t xml:space="preserve">She saw the potential for a WG prepared to speak out, to reflect common messages, and focussed on results – delivering for people – rather than competing for visibility, getting bogged down in process and inter-agency squabbles. She indicated her support for the New Way of Working (NWoW), informed by her own past experience, and to more effective cooperation between humanitarian and development actors and action, </w:t>
      </w:r>
      <w:r w:rsidR="0083004E">
        <w:lastRenderedPageBreak/>
        <w:t xml:space="preserve">while stressing her commitment to </w:t>
      </w:r>
      <w:r w:rsidR="00987CB8">
        <w:t>defending humanitarian principles</w:t>
      </w:r>
      <w:r w:rsidR="0083004E">
        <w:t xml:space="preserve"> and space. With a diminishing resource-</w:t>
      </w:r>
      <w:r w:rsidR="00783853">
        <w:t>base</w:t>
      </w:r>
      <w:r w:rsidR="0083004E">
        <w:t>, she highlighted the need to be as effective as possible, spending human and financial ‘capital’ wisely, and to have streamlined, efficient and effective structures to facilita</w:t>
      </w:r>
      <w:r w:rsidR="000C56A3">
        <w:t>t</w:t>
      </w:r>
      <w:r w:rsidR="0083004E">
        <w:t xml:space="preserve">e IASC work. Quoting </w:t>
      </w:r>
      <w:r w:rsidR="000C56A3">
        <w:t>Goethe, she stressed</w:t>
      </w:r>
      <w:r w:rsidR="001D7294">
        <w:t xml:space="preserve"> that ‘w</w:t>
      </w:r>
      <w:r w:rsidR="000C56A3">
        <w:t xml:space="preserve">illing is not enough; we must do’. </w:t>
      </w:r>
      <w:r w:rsidR="00764D64">
        <w:t xml:space="preserve"> </w:t>
      </w:r>
    </w:p>
    <w:p w14:paraId="33092EC2" w14:textId="77777777" w:rsidR="00433525" w:rsidRDefault="00433525" w:rsidP="009D53BA">
      <w:pPr>
        <w:spacing w:before="0"/>
      </w:pPr>
    </w:p>
    <w:p w14:paraId="025396DB" w14:textId="7775FADE" w:rsidR="00EB65C4" w:rsidRPr="00BC3EE8" w:rsidRDefault="009D53BA" w:rsidP="00DA0B36">
      <w:pPr>
        <w:spacing w:before="0" w:line="240" w:lineRule="auto"/>
      </w:pPr>
      <w:r>
        <w:t>The WG s</w:t>
      </w:r>
      <w:r w:rsidR="00F9221F">
        <w:t>upported the Chair’</w:t>
      </w:r>
      <w:r w:rsidR="00A67190">
        <w:t xml:space="preserve">s vision, </w:t>
      </w:r>
      <w:r w:rsidR="00A07890">
        <w:t xml:space="preserve">and </w:t>
      </w:r>
      <w:r w:rsidR="00794C85">
        <w:t>agreed</w:t>
      </w:r>
      <w:r w:rsidR="00F9221F">
        <w:t xml:space="preserve"> </w:t>
      </w:r>
      <w:r>
        <w:t xml:space="preserve">to </w:t>
      </w:r>
      <w:r w:rsidR="00F9221F">
        <w:t xml:space="preserve">engage with </w:t>
      </w:r>
      <w:r>
        <w:t>the Secretary-General’s reform agenda</w:t>
      </w:r>
      <w:r w:rsidR="00A67190">
        <w:t>. It looked for modalities for the IASC to feed into Executive and Deputies Committee, and Chief Executive Board (CEB), deliberations and influence the forward agenda, including through sharing the Early Warning/Early Action report</w:t>
      </w:r>
      <w:r w:rsidR="00D33E81">
        <w:t>,</w:t>
      </w:r>
      <w:r w:rsidR="00EE3A1F">
        <w:t xml:space="preserve"> </w:t>
      </w:r>
      <w:r w:rsidR="00D33E81">
        <w:t xml:space="preserve">to enable the </w:t>
      </w:r>
      <w:r w:rsidR="00EE3A1F">
        <w:t>IASC to deliver vital background to Principal’s decisions</w:t>
      </w:r>
      <w:r w:rsidR="00A67190">
        <w:t>. The WG reaffirmed the need to trust each other, recognise what it has already achieved, and be more confident in what it can do, including through a more focussed workplan. Above all, WG members agreed it</w:t>
      </w:r>
      <w:r w:rsidR="00BB1926">
        <w:t xml:space="preserve"> must </w:t>
      </w:r>
      <w:r w:rsidR="00A07890">
        <w:t>be clear on its role and purpose and</w:t>
      </w:r>
      <w:r w:rsidR="00BB1926">
        <w:t xml:space="preserve"> define</w:t>
      </w:r>
      <w:r w:rsidR="00A67190">
        <w:t xml:space="preserve"> its comparative advantage </w:t>
      </w:r>
      <w:r w:rsidR="00BB1926">
        <w:t>and provide</w:t>
      </w:r>
      <w:r w:rsidR="00A67190">
        <w:t xml:space="preserve"> added value to the field</w:t>
      </w:r>
      <w:r w:rsidR="00A07890">
        <w:t>, this will ensure its relevancy is established</w:t>
      </w:r>
      <w:r w:rsidR="00A67190">
        <w:t>. Participants</w:t>
      </w:r>
      <w:r>
        <w:t xml:space="preserve"> agreed </w:t>
      </w:r>
      <w:r w:rsidR="00A67190">
        <w:t>it should manage its engagement with other actors,</w:t>
      </w:r>
      <w:r w:rsidR="00BB1926">
        <w:t xml:space="preserve"> capitalising on and recalibrating its relationship </w:t>
      </w:r>
      <w:r w:rsidR="00EE3A1F">
        <w:t>to member states</w:t>
      </w:r>
      <w:r w:rsidR="00D33E81">
        <w:t>,</w:t>
      </w:r>
      <w:r w:rsidR="00EE3A1F">
        <w:t xml:space="preserve"> reaching out </w:t>
      </w:r>
      <w:r w:rsidR="00D33E81">
        <w:t>more broadly</w:t>
      </w:r>
      <w:r w:rsidR="00EE3A1F">
        <w:t xml:space="preserve"> including </w:t>
      </w:r>
      <w:r w:rsidR="00D33E81">
        <w:t xml:space="preserve">to </w:t>
      </w:r>
      <w:r w:rsidR="00EE3A1F">
        <w:t>those with no clear donor label</w:t>
      </w:r>
      <w:r w:rsidR="00BB1926">
        <w:t xml:space="preserve">, the private sector, and beyond the ‘like-minded’. The WG wished to clarify relationships within IASC structures, including ensuring </w:t>
      </w:r>
      <w:r w:rsidR="00EB65C4">
        <w:t>equitable participation of all IASC members</w:t>
      </w:r>
      <w:r w:rsidR="00BB1926">
        <w:t xml:space="preserve"> (small or large, full members or standing invitees), to manage expectations</w:t>
      </w:r>
      <w:r w:rsidR="005561A5">
        <w:t xml:space="preserve"> of its role,</w:t>
      </w:r>
      <w:r w:rsidR="00BB1926">
        <w:t xml:space="preserve"> to better communicate externally what the IASC is, and does. </w:t>
      </w:r>
    </w:p>
    <w:p w14:paraId="5BCF02E2" w14:textId="77777777" w:rsidR="00F01D99" w:rsidRDefault="00F01D99" w:rsidP="00EF2786">
      <w:pPr>
        <w:tabs>
          <w:tab w:val="clear" w:pos="567"/>
          <w:tab w:val="clear" w:pos="992"/>
        </w:tabs>
        <w:spacing w:before="0" w:line="240" w:lineRule="auto"/>
        <w:rPr>
          <w:rFonts w:asciiTheme="majorBidi" w:hAnsiTheme="majorBidi" w:cstheme="majorBidi"/>
          <w:b/>
        </w:rPr>
      </w:pPr>
    </w:p>
    <w:p w14:paraId="2FAE8234" w14:textId="231D1EBF" w:rsidR="005E447C" w:rsidRDefault="00A47D90" w:rsidP="001642EF">
      <w:pPr>
        <w:tabs>
          <w:tab w:val="clear" w:pos="567"/>
          <w:tab w:val="clear" w:pos="992"/>
        </w:tabs>
        <w:spacing w:before="0" w:line="240" w:lineRule="auto"/>
      </w:pPr>
      <w:r w:rsidRPr="00A47D90">
        <w:rPr>
          <w:rFonts w:asciiTheme="majorBidi" w:hAnsiTheme="majorBidi" w:cstheme="majorBidi"/>
          <w:b/>
          <w:bCs/>
          <w:i/>
          <w:iCs/>
          <w:color w:val="0070C0"/>
          <w:szCs w:val="22"/>
        </w:rPr>
        <w:t>Ahunna Eziakonwa-Onochie, Resident and Humanitarian Coordinator</w:t>
      </w:r>
      <w:r w:rsidR="001035CA">
        <w:rPr>
          <w:rFonts w:asciiTheme="majorBidi" w:hAnsiTheme="majorBidi" w:cstheme="majorBidi"/>
          <w:b/>
          <w:bCs/>
          <w:i/>
          <w:iCs/>
          <w:color w:val="0070C0"/>
          <w:szCs w:val="22"/>
        </w:rPr>
        <w:t>,</w:t>
      </w:r>
      <w:r w:rsidRPr="00A47D90">
        <w:rPr>
          <w:rFonts w:asciiTheme="majorBidi" w:hAnsiTheme="majorBidi" w:cstheme="majorBidi"/>
          <w:b/>
          <w:bCs/>
          <w:i/>
          <w:iCs/>
          <w:color w:val="0070C0"/>
          <w:szCs w:val="22"/>
        </w:rPr>
        <w:t xml:space="preserve"> Ethiopia</w:t>
      </w:r>
      <w:r w:rsidR="00B27B8B">
        <w:rPr>
          <w:rFonts w:asciiTheme="majorBidi" w:hAnsiTheme="majorBidi" w:cstheme="majorBidi"/>
          <w:b/>
          <w:bCs/>
          <w:i/>
          <w:iCs/>
          <w:color w:val="0070C0"/>
          <w:szCs w:val="22"/>
        </w:rPr>
        <w:t xml:space="preserve"> </w:t>
      </w:r>
      <w:r w:rsidR="001035CA">
        <w:t xml:space="preserve">brought her experience from </w:t>
      </w:r>
      <w:r w:rsidR="005E447C">
        <w:t xml:space="preserve">working in a country where humanitarian concerns are being addressed in a development context, and where there is strong Government ownership and willingness to connect. Analysing the IASC role at country level, in providing policy guidance and in supporting the field, she sought a clearer link between the IASC at global and field level, </w:t>
      </w:r>
      <w:r w:rsidR="008828A6">
        <w:t>enabling the voice of HC</w:t>
      </w:r>
      <w:r w:rsidR="00A07890">
        <w:t xml:space="preserve">s, </w:t>
      </w:r>
      <w:r w:rsidR="005E447C">
        <w:t>and better communication on the role and composition of IASC structures, mandate and objectives</w:t>
      </w:r>
      <w:r w:rsidR="00796BFC">
        <w:t>, and the ability for field actors to inform global advocacy initiatives</w:t>
      </w:r>
      <w:r w:rsidR="00A07890">
        <w:t xml:space="preserve"> and the IASC’s role in advancing major humanitarian issues</w:t>
      </w:r>
      <w:r w:rsidR="005E447C">
        <w:t xml:space="preserve">. In contexts such as Ethiopia, she stressed the need to tailor and contextualise IASC field structures – HCTs and clusters – to ensure relevant national actors are also effectively engaged. </w:t>
      </w:r>
      <w:r w:rsidR="00DD26F8">
        <w:t xml:space="preserve">She </w:t>
      </w:r>
      <w:r w:rsidR="005E447C">
        <w:t>queried the operational value of some</w:t>
      </w:r>
      <w:r w:rsidR="00DD26F8">
        <w:t xml:space="preserve"> </w:t>
      </w:r>
      <w:r w:rsidR="00961EA1">
        <w:t xml:space="preserve">IASC </w:t>
      </w:r>
      <w:r w:rsidR="00DD26F8">
        <w:t>guidelines</w:t>
      </w:r>
      <w:r w:rsidR="005E447C">
        <w:t xml:space="preserve"> and, while recognising the value of the policy and the normative framework, stressed it must be relevant to the field. She called for a predictable, accessible ‘go to’ place for surge support for the field response (including humanitarian technical expert</w:t>
      </w:r>
      <w:r w:rsidR="00796BFC">
        <w:t>ise</w:t>
      </w:r>
      <w:r w:rsidR="005E447C">
        <w:t xml:space="preserve"> and logistic capacity).</w:t>
      </w:r>
      <w:r w:rsidR="00796BFC">
        <w:t xml:space="preserve"> She noted the support provided by a ‘</w:t>
      </w:r>
      <w:r w:rsidR="00D33E81">
        <w:t xml:space="preserve">UNDP </w:t>
      </w:r>
      <w:r w:rsidR="00796BFC">
        <w:t xml:space="preserve">Nexus’ adviser, and </w:t>
      </w:r>
      <w:r w:rsidR="00936E90">
        <w:t xml:space="preserve">asked questions regarding the potential role of the IASC in support </w:t>
      </w:r>
      <w:r w:rsidR="00DA0B36">
        <w:t>of and</w:t>
      </w:r>
      <w:r w:rsidR="00200BCE">
        <w:t xml:space="preserve"> providing guidance to HCs on </w:t>
      </w:r>
      <w:r w:rsidR="00936E90">
        <w:t>the H/D nexus and the NWOW</w:t>
      </w:r>
      <w:r w:rsidR="001642EF">
        <w:t xml:space="preserve"> at country level.</w:t>
      </w:r>
      <w:r w:rsidR="00936E90">
        <w:t xml:space="preserve"> She highlighted the relevant areas of focus in Ethiopia with respect to the nexus, including </w:t>
      </w:r>
      <w:r w:rsidR="00F1392D">
        <w:t xml:space="preserve">(i) work on evidence; (ii) bundles of approaches; (iii) financing mechanism, including for early action; and (iv) adjustment of planning instruments, including the UNDAF. A nexus working group has been set-up to move the agenda forward. </w:t>
      </w:r>
      <w:r w:rsidR="00796BFC">
        <w:t xml:space="preserve">Discussion reinforced </w:t>
      </w:r>
      <w:r w:rsidR="00BA6B51">
        <w:t>agreement that</w:t>
      </w:r>
      <w:r w:rsidR="00B2011F">
        <w:t xml:space="preserve"> field concerns</w:t>
      </w:r>
      <w:r w:rsidR="001D7294">
        <w:t xml:space="preserve"> and experience</w:t>
      </w:r>
      <w:r w:rsidR="00BA6B51">
        <w:t xml:space="preserve"> must drive policy development and need-specific global support, </w:t>
      </w:r>
      <w:r w:rsidR="00B2011F">
        <w:t xml:space="preserve">as well as </w:t>
      </w:r>
      <w:r w:rsidR="00BA6B51">
        <w:t>the importance of having the right actors</w:t>
      </w:r>
      <w:r w:rsidR="001D7294">
        <w:t xml:space="preserve"> in HCTs, including NGOs, and of recognising and building on</w:t>
      </w:r>
      <w:r w:rsidR="00BA6B51">
        <w:t xml:space="preserve"> national interest in both local and global engagement in key initiatives, such as Copenhagen.</w:t>
      </w:r>
    </w:p>
    <w:p w14:paraId="54C5D729" w14:textId="77777777" w:rsidR="00B27B8B" w:rsidRDefault="00B27B8B" w:rsidP="00EF2786">
      <w:pPr>
        <w:tabs>
          <w:tab w:val="clear" w:pos="567"/>
          <w:tab w:val="clear" w:pos="992"/>
        </w:tabs>
        <w:spacing w:before="0" w:line="240" w:lineRule="auto"/>
        <w:rPr>
          <w:rFonts w:asciiTheme="majorBidi" w:hAnsiTheme="majorBidi" w:cstheme="majorBidi"/>
          <w:szCs w:val="22"/>
        </w:rPr>
      </w:pPr>
    </w:p>
    <w:p w14:paraId="44DC2AAB" w14:textId="77777777" w:rsidR="000C39FE" w:rsidRDefault="00F01D99" w:rsidP="00B52F17">
      <w:pPr>
        <w:pStyle w:val="ListParagraph"/>
        <w:numPr>
          <w:ilvl w:val="0"/>
          <w:numId w:val="13"/>
        </w:numPr>
        <w:spacing w:before="0" w:after="240"/>
        <w:rPr>
          <w:rFonts w:asciiTheme="majorBidi" w:hAnsiTheme="majorBidi" w:cstheme="majorBidi"/>
          <w:b/>
          <w:bCs/>
          <w:szCs w:val="22"/>
        </w:rPr>
      </w:pPr>
      <w:r w:rsidRPr="00D27614">
        <w:rPr>
          <w:rFonts w:asciiTheme="majorBidi" w:hAnsiTheme="majorBidi" w:cstheme="majorBidi"/>
          <w:b/>
          <w:bCs/>
          <w:szCs w:val="22"/>
        </w:rPr>
        <w:t>Interactive Discussion on Shaping the Vision of the IASC</w:t>
      </w:r>
    </w:p>
    <w:p w14:paraId="4D5DB5BE" w14:textId="77777777" w:rsidR="00BD05E5" w:rsidRPr="00F91EA8" w:rsidRDefault="00BD05E5" w:rsidP="00BD05E5">
      <w:pPr>
        <w:pStyle w:val="ListParagraph"/>
        <w:spacing w:before="0" w:after="240"/>
        <w:ind w:left="567"/>
        <w:rPr>
          <w:rFonts w:asciiTheme="majorBidi" w:hAnsiTheme="majorBidi" w:cstheme="majorBidi"/>
          <w:b/>
          <w:bCs/>
          <w:szCs w:val="22"/>
        </w:rPr>
      </w:pPr>
      <w:r>
        <w:rPr>
          <w:rFonts w:asciiTheme="majorBidi" w:hAnsiTheme="majorBidi" w:cstheme="majorBidi"/>
          <w:b/>
          <w:bCs/>
          <w:i/>
          <w:iCs/>
          <w:color w:val="0070C0"/>
          <w:szCs w:val="22"/>
        </w:rPr>
        <w:t>Facilitated by: Ms. Patty McIlreavy, InterAction</w:t>
      </w:r>
    </w:p>
    <w:p w14:paraId="1F1208C7" w14:textId="30FA30DC" w:rsidR="005F3B07" w:rsidRDefault="00640988" w:rsidP="005F3B07">
      <w:pPr>
        <w:tabs>
          <w:tab w:val="clear" w:pos="567"/>
          <w:tab w:val="clear" w:pos="992"/>
        </w:tabs>
        <w:spacing w:before="0" w:line="240" w:lineRule="auto"/>
        <w:rPr>
          <w:rFonts w:asciiTheme="majorBidi" w:hAnsiTheme="majorBidi" w:cstheme="majorBidi"/>
          <w:szCs w:val="22"/>
        </w:rPr>
      </w:pPr>
      <w:r>
        <w:rPr>
          <w:rFonts w:asciiTheme="majorBidi" w:hAnsiTheme="majorBidi" w:cstheme="majorBidi"/>
          <w:szCs w:val="22"/>
        </w:rPr>
        <w:t>Building on the previous discussion and analysis, the WG d</w:t>
      </w:r>
      <w:r w:rsidR="005F3B07">
        <w:rPr>
          <w:rFonts w:asciiTheme="majorBidi" w:hAnsiTheme="majorBidi" w:cstheme="majorBidi"/>
          <w:szCs w:val="22"/>
        </w:rPr>
        <w:t>iscussed</w:t>
      </w:r>
      <w:r>
        <w:rPr>
          <w:rFonts w:asciiTheme="majorBidi" w:hAnsiTheme="majorBidi" w:cstheme="majorBidi"/>
          <w:szCs w:val="22"/>
        </w:rPr>
        <w:t xml:space="preserve"> proposals </w:t>
      </w:r>
      <w:r w:rsidR="005F3B07">
        <w:rPr>
          <w:rFonts w:asciiTheme="majorBidi" w:hAnsiTheme="majorBidi" w:cstheme="majorBidi"/>
          <w:szCs w:val="22"/>
        </w:rPr>
        <w:t xml:space="preserve">put forward to enhance the way the IASC Working Group works, clarify the relationship between structures, </w:t>
      </w:r>
      <w:r w:rsidR="001D7294">
        <w:rPr>
          <w:rFonts w:asciiTheme="majorBidi" w:hAnsiTheme="majorBidi" w:cstheme="majorBidi"/>
          <w:szCs w:val="22"/>
        </w:rPr>
        <w:t>ensure</w:t>
      </w:r>
      <w:r w:rsidR="005F3B07">
        <w:rPr>
          <w:rFonts w:asciiTheme="majorBidi" w:hAnsiTheme="majorBidi" w:cstheme="majorBidi"/>
          <w:szCs w:val="22"/>
        </w:rPr>
        <w:t xml:space="preserve"> more strategic linkage between policy and operations at the IASC</w:t>
      </w:r>
      <w:r w:rsidR="001D7294">
        <w:rPr>
          <w:rFonts w:asciiTheme="majorBidi" w:hAnsiTheme="majorBidi" w:cstheme="majorBidi"/>
          <w:szCs w:val="22"/>
        </w:rPr>
        <w:t>, and to ‘work smarter’ and more effectively to provide relevant and effective field support</w:t>
      </w:r>
      <w:r w:rsidR="005F3B07">
        <w:rPr>
          <w:rFonts w:asciiTheme="majorBidi" w:hAnsiTheme="majorBidi" w:cstheme="majorBidi"/>
          <w:szCs w:val="22"/>
        </w:rPr>
        <w:t>. Throughout the conversation, t</w:t>
      </w:r>
      <w:r w:rsidR="005F3B07" w:rsidRPr="00E23DC6">
        <w:rPr>
          <w:rFonts w:asciiTheme="majorBidi" w:hAnsiTheme="majorBidi" w:cstheme="majorBidi"/>
          <w:szCs w:val="22"/>
        </w:rPr>
        <w:t xml:space="preserve">here was </w:t>
      </w:r>
      <w:r w:rsidR="005F3B07">
        <w:rPr>
          <w:rFonts w:asciiTheme="majorBidi" w:hAnsiTheme="majorBidi" w:cstheme="majorBidi"/>
          <w:szCs w:val="22"/>
        </w:rPr>
        <w:t>significant agreement</w:t>
      </w:r>
      <w:r w:rsidR="005F3B07" w:rsidRPr="00E23DC6">
        <w:rPr>
          <w:rFonts w:asciiTheme="majorBidi" w:hAnsiTheme="majorBidi" w:cstheme="majorBidi"/>
          <w:szCs w:val="22"/>
        </w:rPr>
        <w:t xml:space="preserve"> on the need for a change aimed at limiting fragmentation and duplication, and improving communications and inter-</w:t>
      </w:r>
      <w:r w:rsidR="00EE3A1F" w:rsidRPr="00E23DC6">
        <w:rPr>
          <w:rFonts w:asciiTheme="majorBidi" w:hAnsiTheme="majorBidi" w:cstheme="majorBidi"/>
          <w:szCs w:val="22"/>
        </w:rPr>
        <w:t>connectiv</w:t>
      </w:r>
      <w:r w:rsidR="00AF6692">
        <w:rPr>
          <w:rFonts w:asciiTheme="majorBidi" w:hAnsiTheme="majorBidi" w:cstheme="majorBidi"/>
          <w:szCs w:val="22"/>
        </w:rPr>
        <w:t>i</w:t>
      </w:r>
      <w:r w:rsidR="00EE3A1F">
        <w:rPr>
          <w:rFonts w:asciiTheme="majorBidi" w:hAnsiTheme="majorBidi" w:cstheme="majorBidi"/>
          <w:szCs w:val="22"/>
        </w:rPr>
        <w:t>t</w:t>
      </w:r>
      <w:r w:rsidR="00EE3A1F" w:rsidRPr="00E23DC6">
        <w:rPr>
          <w:rFonts w:asciiTheme="majorBidi" w:hAnsiTheme="majorBidi" w:cstheme="majorBidi"/>
          <w:szCs w:val="22"/>
        </w:rPr>
        <w:t xml:space="preserve">y </w:t>
      </w:r>
      <w:r w:rsidR="005F3B07" w:rsidRPr="00E23DC6">
        <w:rPr>
          <w:rFonts w:asciiTheme="majorBidi" w:hAnsiTheme="majorBidi" w:cstheme="majorBidi"/>
          <w:szCs w:val="22"/>
        </w:rPr>
        <w:t>among IASC partners and IASC bodies</w:t>
      </w:r>
      <w:r w:rsidR="005F3B07">
        <w:rPr>
          <w:rFonts w:asciiTheme="majorBidi" w:hAnsiTheme="majorBidi" w:cstheme="majorBidi"/>
          <w:szCs w:val="22"/>
        </w:rPr>
        <w:t>, and between operational and policy action</w:t>
      </w:r>
      <w:r w:rsidR="005F3B07" w:rsidRPr="00E23DC6">
        <w:rPr>
          <w:rFonts w:asciiTheme="majorBidi" w:hAnsiTheme="majorBidi" w:cstheme="majorBidi"/>
          <w:szCs w:val="22"/>
        </w:rPr>
        <w:t xml:space="preserve">. </w:t>
      </w:r>
    </w:p>
    <w:p w14:paraId="11E76A1A" w14:textId="77777777" w:rsidR="00F91EA8" w:rsidRDefault="00F91EA8" w:rsidP="00A57151">
      <w:pPr>
        <w:tabs>
          <w:tab w:val="clear" w:pos="567"/>
          <w:tab w:val="clear" w:pos="992"/>
        </w:tabs>
        <w:spacing w:before="0" w:line="240" w:lineRule="auto"/>
        <w:rPr>
          <w:rFonts w:asciiTheme="majorBidi" w:hAnsiTheme="majorBidi" w:cstheme="majorBidi"/>
          <w:szCs w:val="22"/>
        </w:rPr>
      </w:pPr>
    </w:p>
    <w:p w14:paraId="75DE1692" w14:textId="3E0E718B" w:rsidR="001D7294" w:rsidRDefault="00AB7608" w:rsidP="00615938">
      <w:pPr>
        <w:spacing w:before="0" w:line="240" w:lineRule="auto"/>
      </w:pPr>
      <w:r>
        <w:rPr>
          <w:rFonts w:asciiTheme="majorBidi" w:hAnsiTheme="majorBidi" w:cstheme="majorBidi"/>
          <w:b/>
          <w:bCs/>
          <w:i/>
          <w:iCs/>
          <w:color w:val="0070C0"/>
          <w:szCs w:val="22"/>
        </w:rPr>
        <w:t xml:space="preserve">Mr. </w:t>
      </w:r>
      <w:r w:rsidR="00F91EA8" w:rsidRPr="000C39FE">
        <w:rPr>
          <w:rFonts w:asciiTheme="majorBidi" w:hAnsiTheme="majorBidi" w:cstheme="majorBidi"/>
          <w:b/>
          <w:bCs/>
          <w:i/>
          <w:iCs/>
          <w:color w:val="0070C0"/>
          <w:szCs w:val="22"/>
        </w:rPr>
        <w:t>Arafat Jamal, UNHCR and representative of sub-working group on IASC strengthening</w:t>
      </w:r>
      <w:r w:rsidR="00615938">
        <w:rPr>
          <w:rFonts w:asciiTheme="majorBidi" w:hAnsiTheme="majorBidi" w:cstheme="majorBidi"/>
          <w:b/>
          <w:bCs/>
          <w:i/>
          <w:iCs/>
          <w:color w:val="0070C0"/>
          <w:szCs w:val="22"/>
        </w:rPr>
        <w:t>,</w:t>
      </w:r>
      <w:r w:rsidR="00F91EA8">
        <w:rPr>
          <w:rFonts w:asciiTheme="majorBidi" w:hAnsiTheme="majorBidi" w:cstheme="majorBidi"/>
          <w:b/>
          <w:bCs/>
          <w:color w:val="0070C0"/>
          <w:szCs w:val="22"/>
        </w:rPr>
        <w:t xml:space="preserve"> </w:t>
      </w:r>
      <w:r w:rsidR="001D7294">
        <w:t>briefed on proposals emanating from a small group convened following the October 2016 WG meeting.</w:t>
      </w:r>
      <w:r w:rsidR="001D7294">
        <w:rPr>
          <w:rStyle w:val="FootnoteReference"/>
        </w:rPr>
        <w:footnoteReference w:id="1"/>
      </w:r>
      <w:r w:rsidR="001D7294">
        <w:t xml:space="preserve">  The six </w:t>
      </w:r>
      <w:r w:rsidR="001D7294">
        <w:lastRenderedPageBreak/>
        <w:t xml:space="preserve">proposals, informed by prior evaluations and analysis of the IASC’s ways of working, impact and efficiency, did </w:t>
      </w:r>
      <w:r w:rsidR="001D7294" w:rsidRPr="00D3418A">
        <w:rPr>
          <w:u w:val="single"/>
        </w:rPr>
        <w:t>not</w:t>
      </w:r>
      <w:r w:rsidR="001D7294" w:rsidRPr="001D7294">
        <w:t xml:space="preserve"> </w:t>
      </w:r>
      <w:r w:rsidR="00615938">
        <w:t xml:space="preserve">necessarily </w:t>
      </w:r>
      <w:r w:rsidR="001D7294">
        <w:t>reflect a consensus, but rather options to stimulate discussion. The proposals included restoring the operations and policy focus of the WG, revising the 1994 IASC Action Procedure</w:t>
      </w:r>
      <w:r w:rsidR="00D3418A">
        <w:t>; greater linkage of the WG agenda with that of the IASC Principals, while retain</w:t>
      </w:r>
      <w:r w:rsidR="001A1F39">
        <w:t>ing</w:t>
      </w:r>
      <w:r w:rsidR="00D3418A">
        <w:t xml:space="preserve"> some autonomy for outreach and decision-making; </w:t>
      </w:r>
      <w:r w:rsidR="00615938">
        <w:t xml:space="preserve">better linking </w:t>
      </w:r>
      <w:r w:rsidR="00D3418A">
        <w:t xml:space="preserve">the WG and Emergency Directors Group (EDG), </w:t>
      </w:r>
      <w:r w:rsidR="00615938">
        <w:t xml:space="preserve">through the establishment of </w:t>
      </w:r>
      <w:r w:rsidR="00D3418A">
        <w:t xml:space="preserve">an Operations and Policy Group (OPG), with a single merged secretariat, and direct links to Clusters, the STAIT and Task Teams; to consolidate, elevate and diversify OPG membership, including through an ASG-level core group and possible rotating co-chair; to focus OPG meetings around one theme, suggesting the NWOW could be appropriate for 2017; and a number of changes to working methods to favour results and diminish process. </w:t>
      </w:r>
    </w:p>
    <w:p w14:paraId="6414E8E8" w14:textId="77777777" w:rsidR="00636665" w:rsidRDefault="00636665" w:rsidP="00C10262">
      <w:pPr>
        <w:tabs>
          <w:tab w:val="clear" w:pos="567"/>
          <w:tab w:val="clear" w:pos="992"/>
        </w:tabs>
        <w:spacing w:before="0" w:line="240" w:lineRule="auto"/>
        <w:rPr>
          <w:rFonts w:asciiTheme="majorBidi" w:hAnsiTheme="majorBidi" w:cstheme="majorBidi"/>
          <w:szCs w:val="22"/>
        </w:rPr>
      </w:pPr>
    </w:p>
    <w:p w14:paraId="1137EE84" w14:textId="0FC0D80E" w:rsidR="00A01178" w:rsidRDefault="00A01178" w:rsidP="00553CA8">
      <w:pPr>
        <w:tabs>
          <w:tab w:val="clear" w:pos="567"/>
          <w:tab w:val="clear" w:pos="992"/>
        </w:tabs>
        <w:spacing w:before="0" w:line="240" w:lineRule="auto"/>
        <w:rPr>
          <w:rFonts w:asciiTheme="majorBidi" w:hAnsiTheme="majorBidi" w:cstheme="majorBidi"/>
          <w:szCs w:val="22"/>
        </w:rPr>
      </w:pPr>
      <w:r>
        <w:rPr>
          <w:rFonts w:asciiTheme="majorBidi" w:hAnsiTheme="majorBidi" w:cstheme="majorBidi"/>
          <w:szCs w:val="22"/>
        </w:rPr>
        <w:t>In WG</w:t>
      </w:r>
      <w:r w:rsidR="001A1F39">
        <w:rPr>
          <w:rFonts w:asciiTheme="majorBidi" w:hAnsiTheme="majorBidi" w:cstheme="majorBidi"/>
          <w:szCs w:val="22"/>
        </w:rPr>
        <w:t xml:space="preserve"> discussion, there was a strong emphasis on streamlining, building synergies, while ensuring that key</w:t>
      </w:r>
      <w:r w:rsidR="00C10262">
        <w:rPr>
          <w:rFonts w:asciiTheme="majorBidi" w:hAnsiTheme="majorBidi" w:cstheme="majorBidi"/>
          <w:szCs w:val="22"/>
        </w:rPr>
        <w:t xml:space="preserve"> ‘value-added’ functions</w:t>
      </w:r>
      <w:r w:rsidR="00557FD2">
        <w:rPr>
          <w:rFonts w:asciiTheme="majorBidi" w:hAnsiTheme="majorBidi" w:cstheme="majorBidi"/>
          <w:szCs w:val="22"/>
        </w:rPr>
        <w:t xml:space="preserve">, including the </w:t>
      </w:r>
      <w:r w:rsidR="00557FD2" w:rsidRPr="002E0998">
        <w:t>dynamism, field focus and result-oriented approach</w:t>
      </w:r>
      <w:r w:rsidR="00C10262" w:rsidRPr="000144A0">
        <w:t xml:space="preserve"> </w:t>
      </w:r>
      <w:r w:rsidR="00557FD2" w:rsidRPr="000144A0">
        <w:t xml:space="preserve">of </w:t>
      </w:r>
      <w:r w:rsidR="00C10262" w:rsidRPr="000144A0">
        <w:t>the EDG</w:t>
      </w:r>
      <w:r w:rsidR="00557FD2" w:rsidRPr="000144A0">
        <w:t>,</w:t>
      </w:r>
      <w:r w:rsidR="00C10262" w:rsidRPr="000144A0">
        <w:t xml:space="preserve"> were retained, </w:t>
      </w:r>
      <w:r w:rsidR="007879C8" w:rsidRPr="000144A0">
        <w:t>and core functions valued by members, be safeguarded, namely: Humanitarian Coordinators performance appraisals; the ability to focus on time sensitive crisis, plan response requirement and troubleshooting; field visits to catalyse action at the HCT level; horizon scanning which contributes to annual review of current operations, identification of potential ris</w:t>
      </w:r>
      <w:r w:rsidR="008828A6">
        <w:t>k areas and mitigating measures</w:t>
      </w:r>
      <w:r w:rsidR="00553CA8" w:rsidRPr="000144A0">
        <w:t>. There was a strong emphasis on the need to consult the EDG so that decisions are fully aligned between both groups. P</w:t>
      </w:r>
      <w:r w:rsidR="00C10262" w:rsidRPr="000144A0">
        <w:t xml:space="preserve">roposed ways forward should also be discussed with the EDG </w:t>
      </w:r>
      <w:r w:rsidR="00D04EE2" w:rsidRPr="000144A0">
        <w:t>to ensure a smooth transition and retain</w:t>
      </w:r>
      <w:r w:rsidR="00557FD2" w:rsidRPr="000144A0">
        <w:t>ing</w:t>
      </w:r>
      <w:r w:rsidR="00D04EE2" w:rsidRPr="000144A0">
        <w:t xml:space="preserve"> important functions.</w:t>
      </w:r>
      <w:r w:rsidR="00C10262" w:rsidRPr="000144A0">
        <w:t xml:space="preserve"> </w:t>
      </w:r>
      <w:r w:rsidR="00557FD2" w:rsidRPr="000144A0">
        <w:t xml:space="preserve">Some noted the lack of linkages to the field and search of purpose of the present WG, stressing that </w:t>
      </w:r>
      <w:r w:rsidR="00557FD2">
        <w:t>any transition should not be rushed and that the modality of transition should be carefully considered.</w:t>
      </w:r>
      <w:r w:rsidR="00557FD2" w:rsidRPr="000144A0">
        <w:t xml:space="preserve"> </w:t>
      </w:r>
      <w:r w:rsidR="00C10262" w:rsidRPr="000144A0">
        <w:t>T</w:t>
      </w:r>
      <w:r w:rsidR="001A1F39" w:rsidRPr="000144A0">
        <w:t>he</w:t>
      </w:r>
      <w:r w:rsidR="001A1F39">
        <w:rPr>
          <w:rFonts w:asciiTheme="majorBidi" w:hAnsiTheme="majorBidi" w:cstheme="majorBidi"/>
          <w:szCs w:val="22"/>
        </w:rPr>
        <w:t xml:space="preserve"> WG recognised the need for the IASC WG and the EDGs to be brought more closely together, possibly merged, to ensure greater coherence and efficiency in supporting field response as well as addressing strategic and institutional challenges and the need fo</w:t>
      </w:r>
      <w:r w:rsidR="00C10262">
        <w:rPr>
          <w:rFonts w:asciiTheme="majorBidi" w:hAnsiTheme="majorBidi" w:cstheme="majorBidi"/>
          <w:szCs w:val="22"/>
        </w:rPr>
        <w:t>r common advocacy around joined-</w:t>
      </w:r>
      <w:r w:rsidR="001A1F39">
        <w:rPr>
          <w:rFonts w:asciiTheme="majorBidi" w:hAnsiTheme="majorBidi" w:cstheme="majorBidi"/>
          <w:szCs w:val="22"/>
        </w:rPr>
        <w:t xml:space="preserve">up solutions, approaches and communications and/or messages. </w:t>
      </w:r>
      <w:r w:rsidR="00C10262">
        <w:rPr>
          <w:rFonts w:asciiTheme="majorBidi" w:hAnsiTheme="majorBidi" w:cstheme="majorBidi"/>
          <w:szCs w:val="22"/>
        </w:rPr>
        <w:t xml:space="preserve">The WG sought provision of more joined-up support by the IASC and EDG secretariats, with broad support for a single secretariat servicing the IASC Principals, WG and EDG. </w:t>
      </w:r>
      <w:r w:rsidR="00DC1F5F">
        <w:rPr>
          <w:rFonts w:asciiTheme="majorBidi" w:hAnsiTheme="majorBidi" w:cstheme="majorBidi"/>
          <w:szCs w:val="22"/>
        </w:rPr>
        <w:t>A joint WG/EDG meeting, chaired by the DERC was proposed as a means of exploring how this could work in practice. This would not affect meeting planning, including EDG ad hoc meetings, already in progress and any transition to a new structural configuration would be handled carefully.</w:t>
      </w:r>
    </w:p>
    <w:p w14:paraId="29C5F673" w14:textId="77777777" w:rsidR="00A01178" w:rsidRDefault="00A01178" w:rsidP="00C10262">
      <w:pPr>
        <w:tabs>
          <w:tab w:val="clear" w:pos="567"/>
          <w:tab w:val="clear" w:pos="992"/>
        </w:tabs>
        <w:spacing w:before="0" w:line="240" w:lineRule="auto"/>
        <w:rPr>
          <w:rFonts w:asciiTheme="majorBidi" w:hAnsiTheme="majorBidi" w:cstheme="majorBidi"/>
          <w:szCs w:val="22"/>
        </w:rPr>
      </w:pPr>
    </w:p>
    <w:p w14:paraId="2A8C71F8" w14:textId="66CC2095" w:rsidR="00BA6B51" w:rsidRPr="00A01178" w:rsidRDefault="00C10262" w:rsidP="00615938">
      <w:pPr>
        <w:tabs>
          <w:tab w:val="clear" w:pos="567"/>
          <w:tab w:val="clear" w:pos="992"/>
        </w:tabs>
        <w:spacing w:before="0" w:line="240" w:lineRule="auto"/>
        <w:rPr>
          <w:rFonts w:asciiTheme="majorBidi" w:hAnsiTheme="majorBidi" w:cstheme="majorBidi"/>
          <w:szCs w:val="22"/>
        </w:rPr>
      </w:pPr>
      <w:r>
        <w:rPr>
          <w:rFonts w:asciiTheme="majorBidi" w:hAnsiTheme="majorBidi" w:cstheme="majorBidi"/>
          <w:szCs w:val="22"/>
        </w:rPr>
        <w:t xml:space="preserve">An aligned agenda between the IASC Principals, WG and EDGs was </w:t>
      </w:r>
      <w:r w:rsidR="00D04EE2">
        <w:rPr>
          <w:rFonts w:asciiTheme="majorBidi" w:hAnsiTheme="majorBidi" w:cstheme="majorBidi"/>
          <w:szCs w:val="22"/>
        </w:rPr>
        <w:t>recommended</w:t>
      </w:r>
      <w:r>
        <w:rPr>
          <w:rFonts w:asciiTheme="majorBidi" w:hAnsiTheme="majorBidi" w:cstheme="majorBidi"/>
          <w:szCs w:val="22"/>
        </w:rPr>
        <w:t xml:space="preserve">, driven by field concerns, the implementation of key WHS outcomes, and partnership for a more effective response. All agreed the importance of linked agendas, </w:t>
      </w:r>
      <w:r w:rsidR="00CA30EF">
        <w:rPr>
          <w:rFonts w:asciiTheme="majorBidi" w:hAnsiTheme="majorBidi" w:cstheme="majorBidi"/>
          <w:szCs w:val="22"/>
        </w:rPr>
        <w:t>the role</w:t>
      </w:r>
      <w:r w:rsidR="00B2011F">
        <w:rPr>
          <w:rFonts w:asciiTheme="majorBidi" w:hAnsiTheme="majorBidi" w:cstheme="majorBidi"/>
          <w:szCs w:val="22"/>
        </w:rPr>
        <w:t xml:space="preserve"> of the WG</w:t>
      </w:r>
      <w:r w:rsidR="00CA30EF">
        <w:rPr>
          <w:rFonts w:asciiTheme="majorBidi" w:hAnsiTheme="majorBidi" w:cstheme="majorBidi"/>
          <w:szCs w:val="22"/>
        </w:rPr>
        <w:t xml:space="preserve"> in supporting the IASC Principals, and underscored the potential ability to align with and/or inform elements of the UN Secretary-General</w:t>
      </w:r>
      <w:r w:rsidR="00615938">
        <w:rPr>
          <w:rFonts w:asciiTheme="majorBidi" w:hAnsiTheme="majorBidi" w:cstheme="majorBidi"/>
          <w:szCs w:val="22"/>
        </w:rPr>
        <w:t>’s</w:t>
      </w:r>
      <w:r w:rsidR="00CA30EF">
        <w:rPr>
          <w:rFonts w:asciiTheme="majorBidi" w:hAnsiTheme="majorBidi" w:cstheme="majorBidi"/>
          <w:szCs w:val="22"/>
        </w:rPr>
        <w:t xml:space="preserve"> reform agenda. There was consensus tha</w:t>
      </w:r>
      <w:r w:rsidR="00A01178">
        <w:rPr>
          <w:rFonts w:asciiTheme="majorBidi" w:hAnsiTheme="majorBidi" w:cstheme="majorBidi"/>
          <w:szCs w:val="22"/>
        </w:rPr>
        <w:t>t new, unnecessary layers must</w:t>
      </w:r>
      <w:r w:rsidR="00CA30EF">
        <w:rPr>
          <w:rFonts w:asciiTheme="majorBidi" w:hAnsiTheme="majorBidi" w:cstheme="majorBidi"/>
          <w:szCs w:val="22"/>
        </w:rPr>
        <w:t xml:space="preserve"> be avoided, with no agreement on the creation of an ASG-level core group, although one annual ASG-level meeting was suggested. </w:t>
      </w:r>
      <w:r w:rsidR="00A01178">
        <w:rPr>
          <w:rFonts w:asciiTheme="majorBidi" w:hAnsiTheme="majorBidi" w:cstheme="majorBidi"/>
          <w:szCs w:val="22"/>
        </w:rPr>
        <w:t xml:space="preserve">The WG stressed the need </w:t>
      </w:r>
      <w:r w:rsidR="00615938">
        <w:rPr>
          <w:rFonts w:asciiTheme="majorBidi" w:hAnsiTheme="majorBidi" w:cstheme="majorBidi"/>
          <w:szCs w:val="22"/>
        </w:rPr>
        <w:t xml:space="preserve">for </w:t>
      </w:r>
      <w:r w:rsidR="00A01178">
        <w:rPr>
          <w:rFonts w:asciiTheme="majorBidi" w:hAnsiTheme="majorBidi" w:cstheme="majorBidi"/>
          <w:szCs w:val="22"/>
        </w:rPr>
        <w:t xml:space="preserve">early </w:t>
      </w:r>
      <w:r w:rsidR="008828A6">
        <w:rPr>
          <w:rFonts w:asciiTheme="majorBidi" w:hAnsiTheme="majorBidi" w:cstheme="majorBidi"/>
          <w:szCs w:val="22"/>
        </w:rPr>
        <w:t>identifcation</w:t>
      </w:r>
      <w:r w:rsidR="00482A38">
        <w:rPr>
          <w:rFonts w:asciiTheme="majorBidi" w:hAnsiTheme="majorBidi" w:cstheme="majorBidi"/>
          <w:szCs w:val="22"/>
        </w:rPr>
        <w:t xml:space="preserve"> </w:t>
      </w:r>
      <w:r w:rsidR="00A01178">
        <w:rPr>
          <w:rFonts w:asciiTheme="majorBidi" w:hAnsiTheme="majorBidi" w:cstheme="majorBidi"/>
          <w:szCs w:val="22"/>
        </w:rPr>
        <w:t>of agenda items, facilitating necessary c</w:t>
      </w:r>
      <w:r w:rsidR="006C7C74">
        <w:rPr>
          <w:rFonts w:asciiTheme="majorBidi" w:hAnsiTheme="majorBidi" w:cstheme="majorBidi"/>
          <w:szCs w:val="22"/>
        </w:rPr>
        <w:t>onsultation with constituencies</w:t>
      </w:r>
      <w:r w:rsidR="00A01178">
        <w:rPr>
          <w:rFonts w:asciiTheme="majorBidi" w:hAnsiTheme="majorBidi" w:cstheme="majorBidi"/>
          <w:szCs w:val="22"/>
        </w:rPr>
        <w:t xml:space="preserve">, to be supported by concise background papers with clear decision points, and – where appropriate – including participation </w:t>
      </w:r>
      <w:r w:rsidR="006C7C74">
        <w:rPr>
          <w:rFonts w:asciiTheme="majorBidi" w:hAnsiTheme="majorBidi" w:cstheme="majorBidi"/>
          <w:szCs w:val="22"/>
        </w:rPr>
        <w:t xml:space="preserve">during identified sessions of relevant [non-IASC] stakeholders. </w:t>
      </w:r>
    </w:p>
    <w:p w14:paraId="68FD08EA" w14:textId="77777777" w:rsidR="00BA6B51" w:rsidRDefault="00BA6B51" w:rsidP="000C39FE">
      <w:pPr>
        <w:tabs>
          <w:tab w:val="clear" w:pos="567"/>
          <w:tab w:val="clear" w:pos="992"/>
        </w:tabs>
        <w:spacing w:before="0" w:line="240" w:lineRule="auto"/>
      </w:pPr>
    </w:p>
    <w:p w14:paraId="4E4BE055" w14:textId="2F38A705" w:rsidR="00C26C46" w:rsidRPr="00DC1F5F" w:rsidRDefault="00A57151" w:rsidP="008828A6">
      <w:pPr>
        <w:tabs>
          <w:tab w:val="clear" w:pos="567"/>
          <w:tab w:val="clear" w:pos="992"/>
        </w:tabs>
        <w:spacing w:before="0" w:line="240" w:lineRule="auto"/>
      </w:pPr>
      <w:r>
        <w:t xml:space="preserve">The WG </w:t>
      </w:r>
      <w:r w:rsidR="00A01178">
        <w:t>sought more agile, nimble, purpose-</w:t>
      </w:r>
      <w:r w:rsidR="000C39FE">
        <w:t>driven and time-bound work in support of IASC priorities</w:t>
      </w:r>
      <w:r w:rsidR="00A01178">
        <w:t xml:space="preserve"> by effective IASC Task Teams/subsidiary bodies, overseen by and accountable to the IASC WG. The</w:t>
      </w:r>
      <w:r>
        <w:t xml:space="preserve"> DERC </w:t>
      </w:r>
      <w:r w:rsidR="000C39FE">
        <w:t xml:space="preserve">suggested </w:t>
      </w:r>
      <w:r>
        <w:t>review</w:t>
      </w:r>
      <w:r w:rsidR="000C39FE">
        <w:t>ing</w:t>
      </w:r>
      <w:r>
        <w:t xml:space="preserve"> the relevance and mandate of </w:t>
      </w:r>
      <w:r w:rsidR="000C39FE">
        <w:t xml:space="preserve">existing </w:t>
      </w:r>
      <w:r>
        <w:t>IASC Subsidiary Bodies</w:t>
      </w:r>
      <w:r w:rsidR="000C39FE">
        <w:t xml:space="preserve"> in light of considerable change and global challenges</w:t>
      </w:r>
      <w:r>
        <w:t xml:space="preserve">. </w:t>
      </w:r>
      <w:r w:rsidR="00DC1F5F">
        <w:t>Overall, the</w:t>
      </w:r>
      <w:r>
        <w:t xml:space="preserve"> WG highlighted the need </w:t>
      </w:r>
      <w:r w:rsidR="00615938">
        <w:t xml:space="preserve">to </w:t>
      </w:r>
      <w:r w:rsidR="00E67D44">
        <w:t xml:space="preserve">reduce the capital expended on process, </w:t>
      </w:r>
      <w:r>
        <w:t xml:space="preserve">to </w:t>
      </w:r>
      <w:r w:rsidR="00E67D44">
        <w:t xml:space="preserve">‘think outward’ rather than being solely introspective, to be better connected with </w:t>
      </w:r>
      <w:r>
        <w:t xml:space="preserve">field-based partners and </w:t>
      </w:r>
      <w:r w:rsidR="00E67D44">
        <w:t xml:space="preserve">other key stakeholders and dynamics, to increase its impact. </w:t>
      </w:r>
      <w:r w:rsidR="00553CA8">
        <w:t>The role of the STAIT was also highlighted during the debate. The STAIT was highlighted as a useful structure</w:t>
      </w:r>
      <w:r w:rsidR="008828A6">
        <w:t>,</w:t>
      </w:r>
      <w:r w:rsidR="00553CA8">
        <w:t xml:space="preserve"> based on senior individuals and work</w:t>
      </w:r>
      <w:r w:rsidR="008828A6">
        <w:t>ing</w:t>
      </w:r>
      <w:r w:rsidR="00553CA8">
        <w:t xml:space="preserve"> with field team</w:t>
      </w:r>
      <w:r w:rsidR="008828A6">
        <w:t xml:space="preserve">s. There is, however, a clear </w:t>
      </w:r>
      <w:r w:rsidR="00553CA8">
        <w:t xml:space="preserve">need </w:t>
      </w:r>
      <w:r w:rsidR="008828A6">
        <w:t xml:space="preserve">for </w:t>
      </w:r>
      <w:r w:rsidR="00553CA8">
        <w:t>more clarity and better coherence on its role vis-a-vis the Working Group and in regards to policy development, piloting, implementation, and monitoring.</w:t>
      </w:r>
    </w:p>
    <w:p w14:paraId="4FEA0939" w14:textId="77777777" w:rsidR="00E67D44" w:rsidRPr="00566A12" w:rsidRDefault="002A1D00" w:rsidP="002A1D00">
      <w:pPr>
        <w:rPr>
          <w:rFonts w:asciiTheme="majorBidi" w:hAnsiTheme="majorBidi" w:cstheme="majorBidi"/>
          <w:b/>
        </w:rPr>
      </w:pPr>
      <w:r w:rsidRPr="00566A12">
        <w:rPr>
          <w:rFonts w:asciiTheme="majorBidi" w:hAnsiTheme="majorBidi" w:cstheme="majorBidi"/>
          <w:b/>
        </w:rPr>
        <w:t xml:space="preserve">The Working Group: </w:t>
      </w:r>
    </w:p>
    <w:p w14:paraId="6070C292" w14:textId="515CEBC4" w:rsidR="002A1D00" w:rsidRPr="00E67D44" w:rsidRDefault="002A1D00" w:rsidP="00D04EE2">
      <w:pPr>
        <w:pStyle w:val="ListParagraph"/>
        <w:numPr>
          <w:ilvl w:val="0"/>
          <w:numId w:val="15"/>
        </w:numPr>
        <w:tabs>
          <w:tab w:val="clear" w:pos="567"/>
          <w:tab w:val="clear" w:pos="992"/>
        </w:tabs>
        <w:spacing w:before="0" w:line="240" w:lineRule="auto"/>
        <w:jc w:val="left"/>
        <w:rPr>
          <w:rFonts w:asciiTheme="majorBidi" w:hAnsiTheme="majorBidi" w:cstheme="majorBidi"/>
        </w:rPr>
      </w:pPr>
      <w:r w:rsidRPr="00471ED1">
        <w:rPr>
          <w:rFonts w:asciiTheme="majorBidi" w:hAnsiTheme="majorBidi" w:cstheme="majorBidi"/>
        </w:rPr>
        <w:t>R</w:t>
      </w:r>
      <w:r w:rsidR="00DC1F5F">
        <w:rPr>
          <w:rFonts w:asciiTheme="majorBidi" w:hAnsiTheme="majorBidi" w:cstheme="majorBidi"/>
        </w:rPr>
        <w:t>equested</w:t>
      </w:r>
      <w:r w:rsidRPr="00471ED1">
        <w:rPr>
          <w:rFonts w:asciiTheme="majorBidi" w:hAnsiTheme="majorBidi" w:cstheme="majorBidi"/>
        </w:rPr>
        <w:t xml:space="preserve"> the </w:t>
      </w:r>
      <w:r w:rsidR="009E363B" w:rsidRPr="008828A6">
        <w:rPr>
          <w:rFonts w:asciiTheme="majorBidi" w:hAnsiTheme="majorBidi" w:cstheme="majorBidi"/>
          <w:bCs/>
          <w:iCs/>
          <w:szCs w:val="22"/>
        </w:rPr>
        <w:t>Chair of the IASC WG</w:t>
      </w:r>
      <w:r w:rsidRPr="008828A6">
        <w:rPr>
          <w:rFonts w:asciiTheme="majorBidi" w:hAnsiTheme="majorBidi" w:cstheme="majorBidi"/>
        </w:rPr>
        <w:t xml:space="preserve">, </w:t>
      </w:r>
      <w:r w:rsidRPr="00471ED1">
        <w:rPr>
          <w:rFonts w:asciiTheme="majorBidi" w:hAnsiTheme="majorBidi" w:cstheme="majorBidi"/>
        </w:rPr>
        <w:t xml:space="preserve">with support of the IASC secretariat, to outline a proposal </w:t>
      </w:r>
      <w:r w:rsidR="00E67D44">
        <w:rPr>
          <w:rFonts w:asciiTheme="majorBidi" w:hAnsiTheme="majorBidi" w:cstheme="majorBidi"/>
        </w:rPr>
        <w:t>reflecting elements agreed above, to share this for quick comment by WG members</w:t>
      </w:r>
      <w:r w:rsidR="00DC1F5F">
        <w:rPr>
          <w:rFonts w:asciiTheme="majorBidi" w:hAnsiTheme="majorBidi" w:cstheme="majorBidi"/>
        </w:rPr>
        <w:t xml:space="preserve">, </w:t>
      </w:r>
      <w:r w:rsidR="00E67D44">
        <w:rPr>
          <w:rFonts w:asciiTheme="majorBidi" w:hAnsiTheme="majorBidi" w:cstheme="majorBidi"/>
        </w:rPr>
        <w:t xml:space="preserve">for subsequent presentation to IASC Principals for their decision. </w:t>
      </w:r>
      <w:r w:rsidRPr="0089439C">
        <w:rPr>
          <w:rFonts w:asciiTheme="majorBidi" w:hAnsiTheme="majorBidi" w:cstheme="majorBidi"/>
          <w:b/>
          <w:bCs/>
          <w:i/>
          <w:iCs/>
        </w:rPr>
        <w:t xml:space="preserve">Action by: </w:t>
      </w:r>
      <w:r w:rsidR="00E0124B" w:rsidRPr="00AD7B0A">
        <w:rPr>
          <w:rFonts w:asciiTheme="majorBidi" w:hAnsiTheme="majorBidi" w:cstheme="majorBidi"/>
          <w:b/>
          <w:bCs/>
          <w:i/>
          <w:iCs/>
          <w:szCs w:val="22"/>
        </w:rPr>
        <w:t>Chair of the IASC WG</w:t>
      </w:r>
      <w:r w:rsidR="00E67D44" w:rsidRPr="00AD7B0A">
        <w:rPr>
          <w:rFonts w:asciiTheme="majorBidi" w:hAnsiTheme="majorBidi" w:cstheme="majorBidi"/>
          <w:b/>
          <w:bCs/>
          <w:i/>
          <w:iCs/>
        </w:rPr>
        <w:t>,</w:t>
      </w:r>
      <w:r w:rsidRPr="00AD7B0A">
        <w:rPr>
          <w:rFonts w:asciiTheme="majorBidi" w:hAnsiTheme="majorBidi" w:cstheme="majorBidi"/>
          <w:b/>
          <w:bCs/>
          <w:i/>
          <w:iCs/>
        </w:rPr>
        <w:t xml:space="preserve"> </w:t>
      </w:r>
      <w:r w:rsidRPr="0089439C">
        <w:rPr>
          <w:rFonts w:asciiTheme="majorBidi" w:hAnsiTheme="majorBidi" w:cstheme="majorBidi"/>
          <w:b/>
          <w:bCs/>
          <w:i/>
          <w:iCs/>
        </w:rPr>
        <w:t>supported by IASC secretariat</w:t>
      </w:r>
      <w:r w:rsidR="00E67D44">
        <w:rPr>
          <w:rFonts w:asciiTheme="majorBidi" w:hAnsiTheme="majorBidi" w:cstheme="majorBidi"/>
          <w:b/>
          <w:bCs/>
          <w:i/>
          <w:iCs/>
        </w:rPr>
        <w:t>,</w:t>
      </w:r>
      <w:r w:rsidRPr="0089439C">
        <w:rPr>
          <w:rFonts w:asciiTheme="majorBidi" w:hAnsiTheme="majorBidi" w:cstheme="majorBidi"/>
          <w:b/>
          <w:bCs/>
          <w:i/>
          <w:iCs/>
        </w:rPr>
        <w:t xml:space="preserve"> by 11 April 2017 for comment by WG members (by 14 April 2017) and submission to IASC Principals </w:t>
      </w:r>
      <w:r w:rsidR="001A68E8" w:rsidRPr="0089439C">
        <w:rPr>
          <w:rFonts w:asciiTheme="majorBidi" w:hAnsiTheme="majorBidi" w:cstheme="majorBidi"/>
          <w:b/>
          <w:bCs/>
          <w:i/>
          <w:iCs/>
        </w:rPr>
        <w:t>(by 19 April 2017).</w:t>
      </w:r>
    </w:p>
    <w:p w14:paraId="60E54656" w14:textId="52DC6000" w:rsidR="00E67D44" w:rsidRPr="00471ED1" w:rsidRDefault="00E67D44" w:rsidP="00D04EE2">
      <w:pPr>
        <w:pStyle w:val="ListParagraph"/>
        <w:numPr>
          <w:ilvl w:val="0"/>
          <w:numId w:val="15"/>
        </w:numPr>
        <w:tabs>
          <w:tab w:val="clear" w:pos="567"/>
          <w:tab w:val="clear" w:pos="992"/>
        </w:tabs>
        <w:spacing w:before="0" w:line="240" w:lineRule="auto"/>
        <w:jc w:val="left"/>
        <w:rPr>
          <w:rFonts w:asciiTheme="majorBidi" w:hAnsiTheme="majorBidi" w:cstheme="majorBidi"/>
        </w:rPr>
      </w:pPr>
      <w:r w:rsidRPr="00E67D44">
        <w:rPr>
          <w:rFonts w:asciiTheme="majorBidi" w:hAnsiTheme="majorBidi" w:cstheme="majorBidi"/>
          <w:bCs/>
          <w:iCs/>
        </w:rPr>
        <w:lastRenderedPageBreak/>
        <w:t>Proposed, subject to IASC Principals endorsement, a combined Working Group/Emergency Directors meeting, chaired by the DERC, testing this modality in practice</w:t>
      </w:r>
      <w:r w:rsidR="00482A38">
        <w:rPr>
          <w:rFonts w:asciiTheme="majorBidi" w:hAnsiTheme="majorBidi" w:cstheme="majorBidi"/>
          <w:bCs/>
          <w:iCs/>
        </w:rPr>
        <w:t xml:space="preserve"> and with a focus on policy and operational response</w:t>
      </w:r>
      <w:r w:rsidR="00200275">
        <w:rPr>
          <w:rFonts w:asciiTheme="majorBidi" w:hAnsiTheme="majorBidi" w:cstheme="majorBidi"/>
          <w:bCs/>
          <w:iCs/>
        </w:rPr>
        <w:t>.</w:t>
      </w:r>
      <w:r w:rsidRPr="00E67D44">
        <w:rPr>
          <w:rFonts w:asciiTheme="majorBidi" w:hAnsiTheme="majorBidi" w:cstheme="majorBidi"/>
          <w:bCs/>
          <w:iCs/>
        </w:rPr>
        <w:t xml:space="preserve"> The </w:t>
      </w:r>
      <w:r w:rsidR="00D04EE2">
        <w:rPr>
          <w:rFonts w:asciiTheme="majorBidi" w:hAnsiTheme="majorBidi" w:cstheme="majorBidi"/>
          <w:bCs/>
          <w:iCs/>
        </w:rPr>
        <w:t>theme</w:t>
      </w:r>
      <w:r w:rsidRPr="00E67D44">
        <w:rPr>
          <w:rFonts w:asciiTheme="majorBidi" w:hAnsiTheme="majorBidi" w:cstheme="majorBidi"/>
          <w:bCs/>
          <w:iCs/>
        </w:rPr>
        <w:t xml:space="preserve"> for the </w:t>
      </w:r>
      <w:r w:rsidR="00D04EE2">
        <w:rPr>
          <w:rFonts w:asciiTheme="majorBidi" w:hAnsiTheme="majorBidi" w:cstheme="majorBidi"/>
          <w:bCs/>
          <w:iCs/>
        </w:rPr>
        <w:t xml:space="preserve">meeting </w:t>
      </w:r>
      <w:r w:rsidRPr="00E67D44">
        <w:rPr>
          <w:rFonts w:asciiTheme="majorBidi" w:hAnsiTheme="majorBidi" w:cstheme="majorBidi"/>
          <w:bCs/>
          <w:iCs/>
        </w:rPr>
        <w:t>to be developed by the IASC and EDG secretariats working closely together</w:t>
      </w:r>
      <w:r w:rsidR="008828A6">
        <w:rPr>
          <w:rFonts w:asciiTheme="majorBidi" w:hAnsiTheme="majorBidi" w:cstheme="majorBidi"/>
          <w:bCs/>
          <w:iCs/>
        </w:rPr>
        <w:t xml:space="preserve"> (the IDP</w:t>
      </w:r>
      <w:r w:rsidR="009625B4">
        <w:rPr>
          <w:rFonts w:asciiTheme="majorBidi" w:hAnsiTheme="majorBidi" w:cstheme="majorBidi"/>
          <w:bCs/>
          <w:iCs/>
        </w:rPr>
        <w:t xml:space="preserve"> issue was suggested as a possible theme)</w:t>
      </w:r>
      <w:r w:rsidRPr="00E67D44">
        <w:rPr>
          <w:rFonts w:asciiTheme="majorBidi" w:hAnsiTheme="majorBidi" w:cstheme="majorBidi"/>
          <w:bCs/>
          <w:iCs/>
        </w:rPr>
        <w:t xml:space="preserve">. </w:t>
      </w:r>
      <w:r>
        <w:rPr>
          <w:rFonts w:asciiTheme="majorBidi" w:hAnsiTheme="majorBidi" w:cstheme="majorBidi"/>
          <w:b/>
          <w:bCs/>
          <w:i/>
          <w:iCs/>
        </w:rPr>
        <w:t xml:space="preserve"> Action by: Proposal to be shared with IASC Principals by </w:t>
      </w:r>
      <w:r w:rsidR="00E0124B" w:rsidRPr="008828A6">
        <w:rPr>
          <w:rFonts w:asciiTheme="majorBidi" w:hAnsiTheme="majorBidi" w:cstheme="majorBidi"/>
          <w:b/>
          <w:bCs/>
          <w:i/>
          <w:iCs/>
          <w:szCs w:val="22"/>
        </w:rPr>
        <w:t>Chair of the IASC WG</w:t>
      </w:r>
      <w:r w:rsidRPr="008828A6">
        <w:rPr>
          <w:rFonts w:asciiTheme="majorBidi" w:hAnsiTheme="majorBidi" w:cstheme="majorBidi"/>
          <w:b/>
          <w:bCs/>
          <w:i/>
          <w:iCs/>
        </w:rPr>
        <w:t xml:space="preserve">. </w:t>
      </w:r>
      <w:r>
        <w:rPr>
          <w:rFonts w:asciiTheme="majorBidi" w:hAnsiTheme="majorBidi" w:cstheme="majorBidi"/>
          <w:b/>
          <w:bCs/>
          <w:i/>
          <w:iCs/>
        </w:rPr>
        <w:t>If agreed, substantive preparation by IASC and EDG secretariats. Meeting timing to be determined.</w:t>
      </w:r>
    </w:p>
    <w:p w14:paraId="56C82F47" w14:textId="77777777" w:rsidR="00E23DC6" w:rsidRPr="00BA2C22" w:rsidRDefault="00E23DC6" w:rsidP="00E23DC6">
      <w:pPr>
        <w:tabs>
          <w:tab w:val="clear" w:pos="567"/>
          <w:tab w:val="clear" w:pos="992"/>
        </w:tabs>
        <w:spacing w:before="0" w:line="240" w:lineRule="auto"/>
        <w:rPr>
          <w:rFonts w:asciiTheme="majorBidi" w:hAnsiTheme="majorBidi" w:cstheme="majorBidi"/>
          <w:szCs w:val="22"/>
        </w:rPr>
      </w:pPr>
    </w:p>
    <w:p w14:paraId="58CA8F0F" w14:textId="77777777" w:rsidR="00400D76" w:rsidRDefault="00400D76" w:rsidP="00B52F17">
      <w:pPr>
        <w:pStyle w:val="ListParagraph"/>
        <w:numPr>
          <w:ilvl w:val="0"/>
          <w:numId w:val="13"/>
        </w:numPr>
        <w:spacing w:before="0" w:after="240"/>
        <w:rPr>
          <w:rFonts w:asciiTheme="majorBidi" w:hAnsiTheme="majorBidi" w:cstheme="majorBidi"/>
          <w:b/>
          <w:bCs/>
          <w:szCs w:val="22"/>
        </w:rPr>
      </w:pPr>
      <w:r w:rsidRPr="00330629">
        <w:rPr>
          <w:rFonts w:asciiTheme="majorBidi" w:hAnsiTheme="majorBidi" w:cstheme="majorBidi"/>
          <w:b/>
          <w:bCs/>
          <w:szCs w:val="22"/>
        </w:rPr>
        <w:t>Creating Essential Links: Diversity and Inclusivity</w:t>
      </w:r>
    </w:p>
    <w:p w14:paraId="6DDF0B3D" w14:textId="77777777" w:rsidR="00BD05E5" w:rsidRPr="00F01D99" w:rsidRDefault="00BD05E5" w:rsidP="00BD05E5">
      <w:pPr>
        <w:pStyle w:val="ListParagraph"/>
        <w:spacing w:before="0" w:after="240"/>
        <w:ind w:left="567"/>
        <w:rPr>
          <w:rFonts w:asciiTheme="majorBidi" w:hAnsiTheme="majorBidi" w:cstheme="majorBidi"/>
          <w:b/>
          <w:bCs/>
          <w:szCs w:val="22"/>
        </w:rPr>
      </w:pPr>
      <w:r>
        <w:rPr>
          <w:rFonts w:asciiTheme="majorBidi" w:hAnsiTheme="majorBidi" w:cstheme="majorBidi"/>
          <w:b/>
          <w:bCs/>
          <w:i/>
          <w:iCs/>
          <w:color w:val="0070C0"/>
          <w:szCs w:val="22"/>
        </w:rPr>
        <w:t>Facilitated by: Mr. Manuel Fontaine, UNICEF</w:t>
      </w:r>
    </w:p>
    <w:p w14:paraId="20BF065E" w14:textId="48149813" w:rsidR="00A74B8F" w:rsidRDefault="00142EC3" w:rsidP="00FB3CAB">
      <w:pPr>
        <w:spacing w:line="240" w:lineRule="auto"/>
        <w:rPr>
          <w:rFonts w:asciiTheme="majorBidi" w:hAnsiTheme="majorBidi" w:cstheme="majorBidi"/>
          <w:szCs w:val="22"/>
        </w:rPr>
      </w:pPr>
      <w:r>
        <w:rPr>
          <w:rFonts w:asciiTheme="majorBidi" w:hAnsiTheme="majorBidi" w:cstheme="majorBidi"/>
          <w:szCs w:val="22"/>
        </w:rPr>
        <w:t>Introducing the session, reference was made to the perception of th</w:t>
      </w:r>
      <w:r w:rsidR="00B2011F">
        <w:rPr>
          <w:rFonts w:asciiTheme="majorBidi" w:hAnsiTheme="majorBidi" w:cstheme="majorBidi"/>
          <w:szCs w:val="22"/>
        </w:rPr>
        <w:t xml:space="preserve">e IASC as a ‘Western Club’, </w:t>
      </w:r>
      <w:r>
        <w:rPr>
          <w:rFonts w:asciiTheme="majorBidi" w:hAnsiTheme="majorBidi" w:cstheme="majorBidi"/>
          <w:szCs w:val="22"/>
        </w:rPr>
        <w:t>with</w:t>
      </w:r>
      <w:r w:rsidR="00B2011F">
        <w:rPr>
          <w:rFonts w:asciiTheme="majorBidi" w:hAnsiTheme="majorBidi" w:cstheme="majorBidi"/>
          <w:szCs w:val="22"/>
        </w:rPr>
        <w:t xml:space="preserve"> its</w:t>
      </w:r>
      <w:r>
        <w:rPr>
          <w:rFonts w:asciiTheme="majorBidi" w:hAnsiTheme="majorBidi" w:cstheme="majorBidi"/>
          <w:szCs w:val="22"/>
        </w:rPr>
        <w:t xml:space="preserve"> critics questioning the relevance of ‘top-down’ decisions by a limited membership for the broader humanitarian eco-system, there have been increased calls for more inclusivity and diversity of ‘non-western’ actors</w:t>
      </w:r>
      <w:r w:rsidR="00AB07ED">
        <w:rPr>
          <w:rFonts w:asciiTheme="majorBidi" w:hAnsiTheme="majorBidi" w:cstheme="majorBidi"/>
          <w:szCs w:val="22"/>
        </w:rPr>
        <w:t xml:space="preserve"> </w:t>
      </w:r>
      <w:r w:rsidR="00AB07ED">
        <w:t>at the regional and local levels</w:t>
      </w:r>
      <w:r>
        <w:rPr>
          <w:rFonts w:asciiTheme="majorBidi" w:hAnsiTheme="majorBidi" w:cstheme="majorBidi"/>
          <w:szCs w:val="22"/>
        </w:rPr>
        <w:t>, especially coming out of the World Humanitarian Summit. Noting that this issue will be on the IASC Principals Retreat agenda,</w:t>
      </w:r>
      <w:r w:rsidR="00400D76">
        <w:rPr>
          <w:rFonts w:asciiTheme="majorBidi" w:hAnsiTheme="majorBidi" w:cstheme="majorBidi"/>
          <w:szCs w:val="22"/>
        </w:rPr>
        <w:t xml:space="preserve"> t</w:t>
      </w:r>
      <w:r w:rsidR="00400D76" w:rsidRPr="00141735">
        <w:rPr>
          <w:rFonts w:asciiTheme="majorBidi" w:hAnsiTheme="majorBidi" w:cstheme="majorBidi"/>
          <w:szCs w:val="22"/>
        </w:rPr>
        <w:t xml:space="preserve">he Working Group </w:t>
      </w:r>
      <w:r w:rsidR="00A74B8F">
        <w:rPr>
          <w:rFonts w:asciiTheme="majorBidi" w:hAnsiTheme="majorBidi" w:cstheme="majorBidi"/>
          <w:szCs w:val="22"/>
        </w:rPr>
        <w:t>re</w:t>
      </w:r>
      <w:r w:rsidR="00FB3CAB">
        <w:rPr>
          <w:rFonts w:asciiTheme="majorBidi" w:hAnsiTheme="majorBidi" w:cstheme="majorBidi"/>
          <w:szCs w:val="22"/>
        </w:rPr>
        <w:t xml:space="preserve">cognised the need to ground </w:t>
      </w:r>
      <w:r w:rsidR="00A74B8F">
        <w:rPr>
          <w:rFonts w:asciiTheme="majorBidi" w:hAnsiTheme="majorBidi" w:cstheme="majorBidi"/>
          <w:szCs w:val="22"/>
        </w:rPr>
        <w:t xml:space="preserve">WG deliberations in field realities, and the </w:t>
      </w:r>
      <w:r w:rsidR="00FB3CAB">
        <w:rPr>
          <w:rFonts w:asciiTheme="majorBidi" w:hAnsiTheme="majorBidi" w:cstheme="majorBidi"/>
          <w:szCs w:val="22"/>
        </w:rPr>
        <w:t>role of other</w:t>
      </w:r>
      <w:r w:rsidR="00A74B8F">
        <w:rPr>
          <w:rFonts w:asciiTheme="majorBidi" w:hAnsiTheme="majorBidi" w:cstheme="majorBidi"/>
          <w:szCs w:val="22"/>
        </w:rPr>
        <w:t xml:space="preserve"> communities, including civil society and the private sector. It </w:t>
      </w:r>
      <w:r w:rsidR="00400D76">
        <w:rPr>
          <w:rFonts w:asciiTheme="majorBidi" w:hAnsiTheme="majorBidi" w:cstheme="majorBidi"/>
          <w:szCs w:val="22"/>
        </w:rPr>
        <w:t>discussed</w:t>
      </w:r>
      <w:r w:rsidR="00400D76" w:rsidRPr="00141735">
        <w:rPr>
          <w:rFonts w:asciiTheme="majorBidi" w:hAnsiTheme="majorBidi" w:cstheme="majorBidi"/>
          <w:szCs w:val="22"/>
        </w:rPr>
        <w:t xml:space="preserve"> avenues</w:t>
      </w:r>
      <w:r>
        <w:rPr>
          <w:rFonts w:asciiTheme="majorBidi" w:hAnsiTheme="majorBidi" w:cstheme="majorBidi"/>
          <w:szCs w:val="22"/>
        </w:rPr>
        <w:t xml:space="preserve"> for greater, more effective, cooperation</w:t>
      </w:r>
      <w:r w:rsidR="00FB3CAB">
        <w:rPr>
          <w:rFonts w:asciiTheme="majorBidi" w:hAnsiTheme="majorBidi" w:cstheme="majorBidi"/>
          <w:szCs w:val="22"/>
        </w:rPr>
        <w:t xml:space="preserve"> with</w:t>
      </w:r>
      <w:r>
        <w:rPr>
          <w:rFonts w:asciiTheme="majorBidi" w:hAnsiTheme="majorBidi" w:cstheme="majorBidi"/>
          <w:szCs w:val="22"/>
        </w:rPr>
        <w:t xml:space="preserve"> </w:t>
      </w:r>
      <w:r w:rsidR="00FB3CAB">
        <w:rPr>
          <w:rFonts w:asciiTheme="majorBidi" w:hAnsiTheme="majorBidi" w:cstheme="majorBidi"/>
          <w:szCs w:val="22"/>
        </w:rPr>
        <w:t xml:space="preserve">the </w:t>
      </w:r>
      <w:r w:rsidR="00400D76" w:rsidRPr="00141735">
        <w:rPr>
          <w:rFonts w:asciiTheme="majorBidi" w:hAnsiTheme="majorBidi" w:cstheme="majorBidi"/>
          <w:szCs w:val="22"/>
        </w:rPr>
        <w:t>humanitarian eco-system</w:t>
      </w:r>
      <w:r>
        <w:rPr>
          <w:rFonts w:asciiTheme="majorBidi" w:hAnsiTheme="majorBidi" w:cstheme="majorBidi"/>
          <w:szCs w:val="22"/>
        </w:rPr>
        <w:t xml:space="preserve">, and </w:t>
      </w:r>
      <w:r w:rsidR="00400D76" w:rsidRPr="00141735">
        <w:rPr>
          <w:rFonts w:asciiTheme="majorBidi" w:hAnsiTheme="majorBidi" w:cstheme="majorBidi"/>
          <w:szCs w:val="22"/>
        </w:rPr>
        <w:t>opportu</w:t>
      </w:r>
      <w:r>
        <w:rPr>
          <w:rFonts w:asciiTheme="majorBidi" w:hAnsiTheme="majorBidi" w:cstheme="majorBidi"/>
          <w:szCs w:val="22"/>
        </w:rPr>
        <w:t xml:space="preserve">nities for a more inclusive, </w:t>
      </w:r>
      <w:r w:rsidR="00400D76" w:rsidRPr="00141735">
        <w:rPr>
          <w:rFonts w:asciiTheme="majorBidi" w:hAnsiTheme="majorBidi" w:cstheme="majorBidi"/>
          <w:szCs w:val="22"/>
        </w:rPr>
        <w:t xml:space="preserve">diversified IASC, </w:t>
      </w:r>
      <w:r w:rsidR="00400D76">
        <w:rPr>
          <w:rFonts w:asciiTheme="majorBidi" w:hAnsiTheme="majorBidi" w:cstheme="majorBidi"/>
          <w:szCs w:val="22"/>
        </w:rPr>
        <w:t>without</w:t>
      </w:r>
      <w:r w:rsidR="00400D76" w:rsidRPr="00141735">
        <w:rPr>
          <w:rFonts w:asciiTheme="majorBidi" w:hAnsiTheme="majorBidi" w:cstheme="majorBidi"/>
          <w:szCs w:val="22"/>
        </w:rPr>
        <w:t xml:space="preserve"> </w:t>
      </w:r>
      <w:r>
        <w:rPr>
          <w:rFonts w:asciiTheme="majorBidi" w:hAnsiTheme="majorBidi" w:cstheme="majorBidi"/>
          <w:szCs w:val="22"/>
        </w:rPr>
        <w:t xml:space="preserve">prejudice to light, </w:t>
      </w:r>
      <w:r w:rsidR="00400D76" w:rsidRPr="00141735">
        <w:rPr>
          <w:rFonts w:asciiTheme="majorBidi" w:hAnsiTheme="majorBidi" w:cstheme="majorBidi"/>
          <w:szCs w:val="22"/>
        </w:rPr>
        <w:t>streamlined structures and processes</w:t>
      </w:r>
      <w:r w:rsidR="00E34823">
        <w:rPr>
          <w:rFonts w:asciiTheme="majorBidi" w:hAnsiTheme="majorBidi" w:cstheme="majorBidi"/>
          <w:szCs w:val="22"/>
        </w:rPr>
        <w:t xml:space="preserve">, </w:t>
      </w:r>
      <w:r w:rsidR="00FB3CAB">
        <w:rPr>
          <w:rFonts w:asciiTheme="majorBidi" w:hAnsiTheme="majorBidi" w:cstheme="majorBidi"/>
          <w:szCs w:val="22"/>
        </w:rPr>
        <w:t>and ensuring</w:t>
      </w:r>
      <w:r w:rsidR="00E34823">
        <w:rPr>
          <w:rFonts w:asciiTheme="majorBidi" w:hAnsiTheme="majorBidi" w:cstheme="majorBidi"/>
          <w:szCs w:val="22"/>
        </w:rPr>
        <w:t xml:space="preserve"> an effecti</w:t>
      </w:r>
      <w:r w:rsidR="00FB3CAB">
        <w:rPr>
          <w:rFonts w:asciiTheme="majorBidi" w:hAnsiTheme="majorBidi" w:cstheme="majorBidi"/>
          <w:szCs w:val="22"/>
        </w:rPr>
        <w:t>ve response</w:t>
      </w:r>
      <w:r w:rsidR="00400D76">
        <w:rPr>
          <w:rFonts w:asciiTheme="majorBidi" w:hAnsiTheme="majorBidi" w:cstheme="majorBidi"/>
          <w:szCs w:val="22"/>
        </w:rPr>
        <w:t>.</w:t>
      </w:r>
      <w:r w:rsidR="00400D76" w:rsidRPr="00141735">
        <w:rPr>
          <w:rFonts w:asciiTheme="majorBidi" w:hAnsiTheme="majorBidi" w:cstheme="majorBidi"/>
          <w:szCs w:val="22"/>
        </w:rPr>
        <w:t xml:space="preserve"> </w:t>
      </w:r>
    </w:p>
    <w:p w14:paraId="5B640A81" w14:textId="77777777" w:rsidR="00A74B8F" w:rsidRDefault="00A74B8F" w:rsidP="00FB3CAB">
      <w:pPr>
        <w:spacing w:before="0" w:line="240" w:lineRule="auto"/>
        <w:rPr>
          <w:rFonts w:asciiTheme="majorBidi" w:hAnsiTheme="majorBidi" w:cstheme="majorBidi"/>
          <w:b/>
          <w:bCs/>
          <w:i/>
          <w:iCs/>
          <w:color w:val="0070C0"/>
          <w:szCs w:val="22"/>
        </w:rPr>
      </w:pPr>
    </w:p>
    <w:p w14:paraId="27F3E635" w14:textId="77777777" w:rsidR="00EE1D16" w:rsidRDefault="00AB7608" w:rsidP="00EE1D16">
      <w:pPr>
        <w:spacing w:before="0" w:line="240" w:lineRule="auto"/>
        <w:rPr>
          <w:rFonts w:asciiTheme="majorBidi" w:hAnsiTheme="majorBidi" w:cstheme="majorBidi"/>
          <w:szCs w:val="22"/>
        </w:rPr>
      </w:pPr>
      <w:r>
        <w:rPr>
          <w:rFonts w:asciiTheme="majorBidi" w:hAnsiTheme="majorBidi" w:cstheme="majorBidi"/>
          <w:b/>
          <w:bCs/>
          <w:i/>
          <w:iCs/>
          <w:color w:val="0070C0"/>
          <w:szCs w:val="22"/>
        </w:rPr>
        <w:t xml:space="preserve">Ms. </w:t>
      </w:r>
      <w:r w:rsidR="00400D76" w:rsidRPr="005B51A0">
        <w:rPr>
          <w:rFonts w:asciiTheme="majorBidi" w:hAnsiTheme="majorBidi" w:cstheme="majorBidi"/>
          <w:b/>
          <w:bCs/>
          <w:i/>
          <w:iCs/>
          <w:color w:val="0070C0"/>
          <w:szCs w:val="22"/>
        </w:rPr>
        <w:t xml:space="preserve">Laila Muriithia, Refugee Consortium of Kenya </w:t>
      </w:r>
      <w:r w:rsidR="00A74B8F">
        <w:rPr>
          <w:rFonts w:asciiTheme="majorBidi" w:hAnsiTheme="majorBidi" w:cstheme="majorBidi"/>
          <w:szCs w:val="22"/>
        </w:rPr>
        <w:t xml:space="preserve">shared analysis from ICVA’s </w:t>
      </w:r>
      <w:r w:rsidR="00FB3CAB">
        <w:rPr>
          <w:rFonts w:asciiTheme="majorBidi" w:hAnsiTheme="majorBidi" w:cstheme="majorBidi"/>
          <w:szCs w:val="22"/>
        </w:rPr>
        <w:t xml:space="preserve">reflection paper, prepared with </w:t>
      </w:r>
      <w:r w:rsidR="00A74B8F">
        <w:rPr>
          <w:rFonts w:asciiTheme="majorBidi" w:hAnsiTheme="majorBidi" w:cstheme="majorBidi"/>
          <w:szCs w:val="22"/>
        </w:rPr>
        <w:t xml:space="preserve">input from partners, </w:t>
      </w:r>
      <w:r w:rsidR="00FB3CAB">
        <w:rPr>
          <w:rFonts w:asciiTheme="majorBidi" w:hAnsiTheme="majorBidi" w:cstheme="majorBidi"/>
          <w:szCs w:val="22"/>
        </w:rPr>
        <w:t xml:space="preserve">exploring </w:t>
      </w:r>
      <w:r w:rsidR="00FB3CAB" w:rsidRPr="00FB3CAB">
        <w:rPr>
          <w:rFonts w:asciiTheme="majorBidi" w:hAnsiTheme="majorBidi" w:cstheme="majorBidi"/>
          <w:szCs w:val="22"/>
          <w:u w:val="single"/>
        </w:rPr>
        <w:t>why</w:t>
      </w:r>
      <w:r w:rsidR="00FB3CAB">
        <w:rPr>
          <w:rFonts w:asciiTheme="majorBidi" w:hAnsiTheme="majorBidi" w:cstheme="majorBidi"/>
          <w:szCs w:val="22"/>
        </w:rPr>
        <w:t xml:space="preserve"> diversity is sought, </w:t>
      </w:r>
      <w:r w:rsidR="00A74B8F">
        <w:rPr>
          <w:rFonts w:asciiTheme="majorBidi" w:hAnsiTheme="majorBidi" w:cstheme="majorBidi"/>
          <w:szCs w:val="22"/>
        </w:rPr>
        <w:t>and putting forward</w:t>
      </w:r>
      <w:r w:rsidR="00400D76">
        <w:rPr>
          <w:rFonts w:asciiTheme="majorBidi" w:hAnsiTheme="majorBidi" w:cstheme="majorBidi"/>
          <w:szCs w:val="22"/>
        </w:rPr>
        <w:t xml:space="preserve"> propositions aimed at strengthening IASC inclusivity.</w:t>
      </w:r>
      <w:r w:rsidR="00400D76" w:rsidRPr="00667BEF">
        <w:rPr>
          <w:rFonts w:asciiTheme="majorBidi" w:hAnsiTheme="majorBidi" w:cstheme="majorBidi"/>
          <w:szCs w:val="22"/>
        </w:rPr>
        <w:t xml:space="preserve"> </w:t>
      </w:r>
      <w:r w:rsidR="00400D76">
        <w:rPr>
          <w:rFonts w:asciiTheme="majorBidi" w:hAnsiTheme="majorBidi" w:cstheme="majorBidi"/>
          <w:szCs w:val="22"/>
        </w:rPr>
        <w:t xml:space="preserve">She </w:t>
      </w:r>
      <w:r w:rsidR="00FB3CAB">
        <w:rPr>
          <w:rFonts w:asciiTheme="majorBidi" w:hAnsiTheme="majorBidi" w:cstheme="majorBidi"/>
          <w:szCs w:val="22"/>
        </w:rPr>
        <w:t>noted under-representation of non-governmental organ</w:t>
      </w:r>
      <w:r w:rsidR="00400D76">
        <w:rPr>
          <w:rFonts w:asciiTheme="majorBidi" w:hAnsiTheme="majorBidi" w:cstheme="majorBidi"/>
          <w:szCs w:val="22"/>
        </w:rPr>
        <w:t xml:space="preserve">isations, and the voice of ‘Southern’ partners </w:t>
      </w:r>
      <w:r w:rsidR="00FB3CAB">
        <w:rPr>
          <w:rFonts w:asciiTheme="majorBidi" w:hAnsiTheme="majorBidi" w:cstheme="majorBidi"/>
          <w:szCs w:val="22"/>
        </w:rPr>
        <w:t>in the IASC</w:t>
      </w:r>
      <w:r w:rsidR="00400D76">
        <w:rPr>
          <w:rFonts w:asciiTheme="majorBidi" w:hAnsiTheme="majorBidi" w:cstheme="majorBidi"/>
          <w:szCs w:val="22"/>
        </w:rPr>
        <w:t xml:space="preserve">, despite their significant role </w:t>
      </w:r>
      <w:r w:rsidR="00FB3CAB">
        <w:rPr>
          <w:rFonts w:asciiTheme="majorBidi" w:hAnsiTheme="majorBidi" w:cstheme="majorBidi"/>
          <w:szCs w:val="22"/>
        </w:rPr>
        <w:t xml:space="preserve">and expertise </w:t>
      </w:r>
      <w:r w:rsidR="00400D76">
        <w:rPr>
          <w:rFonts w:asciiTheme="majorBidi" w:hAnsiTheme="majorBidi" w:cstheme="majorBidi"/>
          <w:szCs w:val="22"/>
        </w:rPr>
        <w:t>in providing assistance in crisis areas</w:t>
      </w:r>
      <w:r w:rsidR="00FB3CAB">
        <w:rPr>
          <w:rFonts w:asciiTheme="majorBidi" w:hAnsiTheme="majorBidi" w:cstheme="majorBidi"/>
          <w:szCs w:val="22"/>
        </w:rPr>
        <w:t>, as well as past conversation on these issues. She stressed that, even if more people are brought around the table for the appearance of inclusivity, it will not necessarily result in more effective humanitarian response. Most important is to ensure a diversity of perspectives and thinking</w:t>
      </w:r>
      <w:r w:rsidR="00EE1D16">
        <w:rPr>
          <w:rFonts w:asciiTheme="majorBidi" w:hAnsiTheme="majorBidi" w:cstheme="majorBidi"/>
          <w:szCs w:val="22"/>
        </w:rPr>
        <w:t xml:space="preserve">. Diversity would not be </w:t>
      </w:r>
      <w:r w:rsidR="00400D76">
        <w:rPr>
          <w:rFonts w:asciiTheme="majorBidi" w:hAnsiTheme="majorBidi" w:cstheme="majorBidi"/>
          <w:szCs w:val="22"/>
        </w:rPr>
        <w:t>achieved by expanding the membership of the IASC</w:t>
      </w:r>
      <w:r w:rsidR="00EE1D16">
        <w:rPr>
          <w:rFonts w:asciiTheme="majorBidi" w:hAnsiTheme="majorBidi" w:cstheme="majorBidi"/>
          <w:szCs w:val="22"/>
        </w:rPr>
        <w:t xml:space="preserve">, but through better sharing </w:t>
      </w:r>
      <w:r w:rsidR="00400D76">
        <w:rPr>
          <w:rFonts w:asciiTheme="majorBidi" w:hAnsiTheme="majorBidi" w:cstheme="majorBidi"/>
          <w:szCs w:val="22"/>
        </w:rPr>
        <w:t xml:space="preserve">information, consulting with and listening to local stakeholders, and </w:t>
      </w:r>
      <w:r w:rsidR="00EE1D16">
        <w:rPr>
          <w:rFonts w:asciiTheme="majorBidi" w:hAnsiTheme="majorBidi" w:cstheme="majorBidi"/>
          <w:szCs w:val="22"/>
        </w:rPr>
        <w:t>enabling</w:t>
      </w:r>
      <w:r w:rsidR="00400D76">
        <w:rPr>
          <w:rFonts w:asciiTheme="majorBidi" w:hAnsiTheme="majorBidi" w:cstheme="majorBidi"/>
          <w:szCs w:val="22"/>
        </w:rPr>
        <w:t xml:space="preserve"> partners, in particular Southern par</w:t>
      </w:r>
      <w:r w:rsidR="00EE1D16">
        <w:rPr>
          <w:rFonts w:asciiTheme="majorBidi" w:hAnsiTheme="majorBidi" w:cstheme="majorBidi"/>
          <w:szCs w:val="22"/>
        </w:rPr>
        <w:t>tners, to access field-</w:t>
      </w:r>
      <w:r w:rsidR="00400D76">
        <w:rPr>
          <w:rFonts w:asciiTheme="majorBidi" w:hAnsiTheme="majorBidi" w:cstheme="majorBidi"/>
          <w:szCs w:val="22"/>
        </w:rPr>
        <w:t>based coordination structures</w:t>
      </w:r>
      <w:r w:rsidR="00EE1D16">
        <w:rPr>
          <w:rFonts w:asciiTheme="majorBidi" w:hAnsiTheme="majorBidi" w:cstheme="majorBidi"/>
          <w:szCs w:val="22"/>
        </w:rPr>
        <w:t xml:space="preserve">, such as HCTs, and to have </w:t>
      </w:r>
      <w:r w:rsidR="00400D76">
        <w:rPr>
          <w:rFonts w:asciiTheme="majorBidi" w:hAnsiTheme="majorBidi" w:cstheme="majorBidi"/>
          <w:szCs w:val="22"/>
        </w:rPr>
        <w:t xml:space="preserve">a voice </w:t>
      </w:r>
      <w:r w:rsidR="00EE1D16">
        <w:rPr>
          <w:rFonts w:asciiTheme="majorBidi" w:hAnsiTheme="majorBidi" w:cstheme="majorBidi"/>
          <w:szCs w:val="22"/>
        </w:rPr>
        <w:t>in</w:t>
      </w:r>
      <w:r w:rsidR="00400D76">
        <w:rPr>
          <w:rFonts w:asciiTheme="majorBidi" w:hAnsiTheme="majorBidi" w:cstheme="majorBidi"/>
          <w:szCs w:val="22"/>
        </w:rPr>
        <w:t xml:space="preserve"> IASC mechanisms. </w:t>
      </w:r>
    </w:p>
    <w:p w14:paraId="52D355F2" w14:textId="77777777" w:rsidR="00EE1D16" w:rsidRDefault="00EE1D16" w:rsidP="00EE1D16">
      <w:pPr>
        <w:spacing w:before="0" w:line="240" w:lineRule="auto"/>
        <w:rPr>
          <w:rFonts w:asciiTheme="majorBidi" w:hAnsiTheme="majorBidi" w:cstheme="majorBidi"/>
          <w:szCs w:val="22"/>
        </w:rPr>
      </w:pPr>
    </w:p>
    <w:p w14:paraId="109504D3" w14:textId="77777777" w:rsidR="00EE1D16" w:rsidRDefault="00EE1D16" w:rsidP="00EE1D16">
      <w:pPr>
        <w:spacing w:before="0" w:line="240" w:lineRule="auto"/>
        <w:rPr>
          <w:rFonts w:asciiTheme="majorBidi" w:hAnsiTheme="majorBidi" w:cstheme="majorBidi"/>
          <w:szCs w:val="22"/>
        </w:rPr>
      </w:pPr>
      <w:r>
        <w:rPr>
          <w:rFonts w:asciiTheme="majorBidi" w:hAnsiTheme="majorBidi" w:cstheme="majorBidi"/>
          <w:szCs w:val="22"/>
        </w:rPr>
        <w:t xml:space="preserve">She noted numerous examples of the IASC </w:t>
      </w:r>
      <w:r w:rsidR="00FC11C1">
        <w:rPr>
          <w:rFonts w:asciiTheme="majorBidi" w:hAnsiTheme="majorBidi" w:cstheme="majorBidi"/>
          <w:szCs w:val="22"/>
        </w:rPr>
        <w:t xml:space="preserve">already </w:t>
      </w:r>
      <w:r>
        <w:rPr>
          <w:rFonts w:asciiTheme="majorBidi" w:hAnsiTheme="majorBidi" w:cstheme="majorBidi"/>
          <w:szCs w:val="22"/>
        </w:rPr>
        <w:t>using</w:t>
      </w:r>
      <w:r w:rsidR="00400D76">
        <w:rPr>
          <w:rFonts w:asciiTheme="majorBidi" w:hAnsiTheme="majorBidi" w:cstheme="majorBidi"/>
          <w:szCs w:val="22"/>
        </w:rPr>
        <w:t xml:space="preserve"> existing mechanisms</w:t>
      </w:r>
      <w:r>
        <w:rPr>
          <w:rFonts w:asciiTheme="majorBidi" w:hAnsiTheme="majorBidi" w:cstheme="majorBidi"/>
          <w:szCs w:val="22"/>
        </w:rPr>
        <w:t xml:space="preserve">, such as subsidiary bodies, to bring together a broader range of actors beyond formal ‘IASC membership’, the opportunities provided by technology, </w:t>
      </w:r>
      <w:r w:rsidR="000233AA">
        <w:rPr>
          <w:rFonts w:asciiTheme="majorBidi" w:hAnsiTheme="majorBidi" w:cstheme="majorBidi"/>
          <w:szCs w:val="22"/>
        </w:rPr>
        <w:t xml:space="preserve">the ability to use existing mechanisms (clusters, HCTS, regional inter-agency groups), the possibility of inviting external actors to bring innovative thinking, the need to ensure an accessible language for coordination, and for better clarity and communication on what the IASC does, making agendas relevant to field </w:t>
      </w:r>
      <w:r w:rsidR="00FC11C1">
        <w:rPr>
          <w:rFonts w:asciiTheme="majorBidi" w:hAnsiTheme="majorBidi" w:cstheme="majorBidi"/>
          <w:szCs w:val="22"/>
        </w:rPr>
        <w:t>actors, and using the already-strong field footprint of existing IASC members to inform IASC deliberations.</w:t>
      </w:r>
    </w:p>
    <w:p w14:paraId="3FE6D94F" w14:textId="77777777" w:rsidR="00FC11C1" w:rsidRDefault="00FC11C1" w:rsidP="00EE1D16">
      <w:pPr>
        <w:spacing w:before="0" w:line="240" w:lineRule="auto"/>
        <w:rPr>
          <w:rFonts w:asciiTheme="majorBidi" w:hAnsiTheme="majorBidi" w:cstheme="majorBidi"/>
          <w:szCs w:val="22"/>
        </w:rPr>
      </w:pPr>
    </w:p>
    <w:p w14:paraId="162B908E" w14:textId="0935B359" w:rsidR="0080751F" w:rsidRDefault="00FC11C1" w:rsidP="00D955FC">
      <w:pPr>
        <w:spacing w:before="0" w:line="240" w:lineRule="auto"/>
        <w:rPr>
          <w:rFonts w:asciiTheme="majorBidi" w:hAnsiTheme="majorBidi" w:cstheme="majorBidi"/>
          <w:szCs w:val="22"/>
        </w:rPr>
      </w:pPr>
      <w:r>
        <w:rPr>
          <w:rFonts w:asciiTheme="majorBidi" w:hAnsiTheme="majorBidi" w:cstheme="majorBidi"/>
          <w:szCs w:val="22"/>
        </w:rPr>
        <w:t xml:space="preserve">In discussion, the </w:t>
      </w:r>
      <w:r>
        <w:t xml:space="preserve">WG concluded that neither increasing membership, nor an ‘IASC plus’ would </w:t>
      </w:r>
      <w:r w:rsidR="00D955FC">
        <w:t xml:space="preserve">automatically (or on its own) </w:t>
      </w:r>
      <w:r>
        <w:t>ensure greater diversity. They did, however, stress the need to ensure greater outreach and engagement with more diverse actors in the field, in particular, through existing field structures, and to build on the experience and contacts from the WHS, as well</w:t>
      </w:r>
      <w:r w:rsidR="006D77EF">
        <w:t xml:space="preserve"> as existing regional groupings.</w:t>
      </w:r>
      <w:r>
        <w:t xml:space="preserve"> </w:t>
      </w:r>
      <w:r w:rsidR="00400D76" w:rsidRPr="000F3A6A">
        <w:rPr>
          <w:rFonts w:asciiTheme="majorBidi" w:hAnsiTheme="majorBidi" w:cstheme="majorBidi"/>
          <w:szCs w:val="22"/>
        </w:rPr>
        <w:t>Outreac</w:t>
      </w:r>
      <w:r>
        <w:rPr>
          <w:rFonts w:asciiTheme="majorBidi" w:hAnsiTheme="majorBidi" w:cstheme="majorBidi"/>
          <w:szCs w:val="22"/>
        </w:rPr>
        <w:t>h to broader constituencies could</w:t>
      </w:r>
      <w:r w:rsidR="00400D76" w:rsidRPr="000F3A6A">
        <w:rPr>
          <w:rFonts w:asciiTheme="majorBidi" w:hAnsiTheme="majorBidi" w:cstheme="majorBidi"/>
          <w:szCs w:val="22"/>
        </w:rPr>
        <w:t xml:space="preserve"> </w:t>
      </w:r>
      <w:r w:rsidR="006D77EF">
        <w:rPr>
          <w:rFonts w:asciiTheme="majorBidi" w:hAnsiTheme="majorBidi" w:cstheme="majorBidi"/>
          <w:szCs w:val="22"/>
        </w:rPr>
        <w:t xml:space="preserve">also </w:t>
      </w:r>
      <w:r w:rsidR="00400D76" w:rsidRPr="000F3A6A">
        <w:rPr>
          <w:rFonts w:asciiTheme="majorBidi" w:hAnsiTheme="majorBidi" w:cstheme="majorBidi"/>
          <w:szCs w:val="22"/>
        </w:rPr>
        <w:t>be facilitated through early identification of issues and agenda items. Mem</w:t>
      </w:r>
      <w:r w:rsidR="006D77EF">
        <w:rPr>
          <w:rFonts w:asciiTheme="majorBidi" w:hAnsiTheme="majorBidi" w:cstheme="majorBidi"/>
          <w:szCs w:val="22"/>
        </w:rPr>
        <w:t>bers recognized opportunities to better utilize</w:t>
      </w:r>
      <w:r w:rsidR="00400D76" w:rsidRPr="000F3A6A">
        <w:rPr>
          <w:rFonts w:asciiTheme="majorBidi" w:hAnsiTheme="majorBidi" w:cstheme="majorBidi"/>
          <w:szCs w:val="22"/>
        </w:rPr>
        <w:t xml:space="preserve"> existing forums and members’ </w:t>
      </w:r>
      <w:r w:rsidR="006D77EF">
        <w:rPr>
          <w:rFonts w:asciiTheme="majorBidi" w:hAnsiTheme="majorBidi" w:cstheme="majorBidi"/>
          <w:szCs w:val="22"/>
        </w:rPr>
        <w:t>‘</w:t>
      </w:r>
      <w:r w:rsidR="00400D76" w:rsidRPr="000F3A6A">
        <w:rPr>
          <w:rFonts w:asciiTheme="majorBidi" w:hAnsiTheme="majorBidi" w:cstheme="majorBidi"/>
          <w:szCs w:val="22"/>
        </w:rPr>
        <w:t>footprint</w:t>
      </w:r>
      <w:r w:rsidR="006D77EF">
        <w:rPr>
          <w:rFonts w:asciiTheme="majorBidi" w:hAnsiTheme="majorBidi" w:cstheme="majorBidi"/>
          <w:szCs w:val="22"/>
        </w:rPr>
        <w:t>’</w:t>
      </w:r>
      <w:r w:rsidR="00400D76" w:rsidRPr="000F3A6A">
        <w:rPr>
          <w:rFonts w:asciiTheme="majorBidi" w:hAnsiTheme="majorBidi" w:cstheme="majorBidi"/>
          <w:szCs w:val="22"/>
        </w:rPr>
        <w:t>, including partnerships at operational, field levels</w:t>
      </w:r>
      <w:r w:rsidR="006D77EF">
        <w:rPr>
          <w:rFonts w:asciiTheme="majorBidi" w:hAnsiTheme="majorBidi" w:cstheme="majorBidi"/>
          <w:szCs w:val="22"/>
        </w:rPr>
        <w:t xml:space="preserve">. In addition, the WG suggested taking WG meetings to the field, </w:t>
      </w:r>
      <w:r w:rsidR="00400D76">
        <w:rPr>
          <w:rFonts w:asciiTheme="majorBidi" w:hAnsiTheme="majorBidi" w:cstheme="majorBidi"/>
          <w:szCs w:val="22"/>
        </w:rPr>
        <w:t>direct</w:t>
      </w:r>
      <w:r>
        <w:rPr>
          <w:rFonts w:asciiTheme="majorBidi" w:hAnsiTheme="majorBidi" w:cstheme="majorBidi"/>
          <w:szCs w:val="22"/>
        </w:rPr>
        <w:t xml:space="preserve"> engagement with field-</w:t>
      </w:r>
      <w:r w:rsidR="00400D76" w:rsidRPr="000F3A6A">
        <w:rPr>
          <w:rFonts w:asciiTheme="majorBidi" w:hAnsiTheme="majorBidi" w:cstheme="majorBidi"/>
          <w:szCs w:val="22"/>
        </w:rPr>
        <w:t>based partners</w:t>
      </w:r>
      <w:r w:rsidR="006D77EF">
        <w:rPr>
          <w:rFonts w:asciiTheme="majorBidi" w:hAnsiTheme="majorBidi" w:cstheme="majorBidi"/>
          <w:szCs w:val="22"/>
        </w:rPr>
        <w:t>,</w:t>
      </w:r>
      <w:r w:rsidR="00400D76" w:rsidRPr="000F3A6A">
        <w:rPr>
          <w:rFonts w:asciiTheme="majorBidi" w:hAnsiTheme="majorBidi" w:cstheme="majorBidi"/>
          <w:szCs w:val="22"/>
        </w:rPr>
        <w:t xml:space="preserve"> </w:t>
      </w:r>
      <w:r>
        <w:rPr>
          <w:rFonts w:asciiTheme="majorBidi" w:hAnsiTheme="majorBidi" w:cstheme="majorBidi"/>
          <w:szCs w:val="22"/>
        </w:rPr>
        <w:t xml:space="preserve">allowing </w:t>
      </w:r>
      <w:r w:rsidRPr="0080751F">
        <w:rPr>
          <w:rFonts w:asciiTheme="majorBidi" w:hAnsiTheme="majorBidi" w:cstheme="majorBidi"/>
          <w:szCs w:val="22"/>
          <w:u w:val="single"/>
        </w:rPr>
        <w:t>them</w:t>
      </w:r>
      <w:r>
        <w:rPr>
          <w:rFonts w:asciiTheme="majorBidi" w:hAnsiTheme="majorBidi" w:cstheme="majorBidi"/>
          <w:szCs w:val="22"/>
        </w:rPr>
        <w:t xml:space="preserve"> to</w:t>
      </w:r>
      <w:r w:rsidR="00400D76" w:rsidRPr="000F3A6A">
        <w:rPr>
          <w:rFonts w:asciiTheme="majorBidi" w:hAnsiTheme="majorBidi" w:cstheme="majorBidi"/>
          <w:szCs w:val="22"/>
        </w:rPr>
        <w:t xml:space="preserve"> set the agenda</w:t>
      </w:r>
      <w:r w:rsidR="0080751F">
        <w:rPr>
          <w:rFonts w:asciiTheme="majorBidi" w:hAnsiTheme="majorBidi" w:cstheme="majorBidi"/>
          <w:szCs w:val="22"/>
        </w:rPr>
        <w:t xml:space="preserve">, as well as more consistent field representation in WG meetings. </w:t>
      </w:r>
      <w:r w:rsidR="00400D76">
        <w:rPr>
          <w:rFonts w:asciiTheme="majorBidi" w:hAnsiTheme="majorBidi" w:cstheme="majorBidi"/>
          <w:szCs w:val="22"/>
        </w:rPr>
        <w:t>WG members noted the wish for complementary and collective communication</w:t>
      </w:r>
      <w:r w:rsidR="0080751F">
        <w:rPr>
          <w:rFonts w:asciiTheme="majorBidi" w:hAnsiTheme="majorBidi" w:cstheme="majorBidi"/>
          <w:szCs w:val="22"/>
        </w:rPr>
        <w:t xml:space="preserve"> and engagement with donors, as well as </w:t>
      </w:r>
      <w:r w:rsidR="00400D76">
        <w:rPr>
          <w:rFonts w:asciiTheme="majorBidi" w:hAnsiTheme="majorBidi" w:cstheme="majorBidi"/>
          <w:szCs w:val="22"/>
        </w:rPr>
        <w:t>member states</w:t>
      </w:r>
      <w:r w:rsidR="0080751F">
        <w:rPr>
          <w:rFonts w:asciiTheme="majorBidi" w:hAnsiTheme="majorBidi" w:cstheme="majorBidi"/>
          <w:szCs w:val="22"/>
        </w:rPr>
        <w:t xml:space="preserve"> and the G77,</w:t>
      </w:r>
      <w:r w:rsidR="00400D76">
        <w:rPr>
          <w:rFonts w:asciiTheme="majorBidi" w:hAnsiTheme="majorBidi" w:cstheme="majorBidi"/>
          <w:szCs w:val="22"/>
        </w:rPr>
        <w:t xml:space="preserve"> on issues of key collective concern and relevance, without prejud</w:t>
      </w:r>
      <w:r w:rsidR="006D77EF">
        <w:rPr>
          <w:rFonts w:asciiTheme="majorBidi" w:hAnsiTheme="majorBidi" w:cstheme="majorBidi"/>
          <w:szCs w:val="22"/>
        </w:rPr>
        <w:t xml:space="preserve">ice to humanitarian principles. </w:t>
      </w:r>
      <w:r w:rsidR="00400D76" w:rsidRPr="000F3A6A">
        <w:rPr>
          <w:rFonts w:asciiTheme="majorBidi" w:hAnsiTheme="majorBidi" w:cstheme="majorBidi"/>
          <w:szCs w:val="22"/>
        </w:rPr>
        <w:t>The WG agreed that</w:t>
      </w:r>
      <w:r w:rsidR="006D77EF">
        <w:rPr>
          <w:rFonts w:asciiTheme="majorBidi" w:hAnsiTheme="majorBidi" w:cstheme="majorBidi"/>
          <w:szCs w:val="22"/>
        </w:rPr>
        <w:t xml:space="preserve"> </w:t>
      </w:r>
      <w:r w:rsidR="0080751F">
        <w:rPr>
          <w:rFonts w:asciiTheme="majorBidi" w:hAnsiTheme="majorBidi" w:cstheme="majorBidi"/>
          <w:szCs w:val="22"/>
        </w:rPr>
        <w:t>it must</w:t>
      </w:r>
      <w:r w:rsidR="00400D76">
        <w:rPr>
          <w:rFonts w:asciiTheme="majorBidi" w:hAnsiTheme="majorBidi" w:cstheme="majorBidi"/>
          <w:szCs w:val="22"/>
        </w:rPr>
        <w:t xml:space="preserve"> </w:t>
      </w:r>
      <w:r w:rsidR="00EC1BA8">
        <w:rPr>
          <w:rFonts w:asciiTheme="majorBidi" w:hAnsiTheme="majorBidi" w:cstheme="majorBidi"/>
          <w:szCs w:val="22"/>
        </w:rPr>
        <w:t xml:space="preserve">learn lessons from its previous engagement, </w:t>
      </w:r>
      <w:r w:rsidR="00400D76">
        <w:rPr>
          <w:rFonts w:asciiTheme="majorBidi" w:hAnsiTheme="majorBidi" w:cstheme="majorBidi"/>
          <w:szCs w:val="22"/>
        </w:rPr>
        <w:t>revise</w:t>
      </w:r>
      <w:r w:rsidR="0080751F">
        <w:rPr>
          <w:rFonts w:asciiTheme="majorBidi" w:hAnsiTheme="majorBidi" w:cstheme="majorBidi"/>
          <w:szCs w:val="22"/>
        </w:rPr>
        <w:t xml:space="preserve"> how it communicates outwards, including on </w:t>
      </w:r>
      <w:r w:rsidR="00400D76" w:rsidRPr="000F3A6A">
        <w:rPr>
          <w:rFonts w:asciiTheme="majorBidi" w:hAnsiTheme="majorBidi" w:cstheme="majorBidi"/>
          <w:szCs w:val="22"/>
        </w:rPr>
        <w:t>what the IASC is,</w:t>
      </w:r>
      <w:r w:rsidR="0080751F">
        <w:rPr>
          <w:rFonts w:asciiTheme="majorBidi" w:hAnsiTheme="majorBidi" w:cstheme="majorBidi"/>
          <w:szCs w:val="22"/>
        </w:rPr>
        <w:t xml:space="preserve"> what it does, and where it has</w:t>
      </w:r>
      <w:r w:rsidR="00400D76">
        <w:rPr>
          <w:rFonts w:asciiTheme="majorBidi" w:hAnsiTheme="majorBidi" w:cstheme="majorBidi"/>
          <w:szCs w:val="22"/>
        </w:rPr>
        <w:t xml:space="preserve"> </w:t>
      </w:r>
      <w:r w:rsidR="00400D76" w:rsidRPr="000F3A6A">
        <w:rPr>
          <w:rFonts w:asciiTheme="majorBidi" w:hAnsiTheme="majorBidi" w:cstheme="majorBidi"/>
          <w:szCs w:val="22"/>
        </w:rPr>
        <w:t>impact</w:t>
      </w:r>
      <w:r w:rsidR="006D77EF">
        <w:rPr>
          <w:rFonts w:asciiTheme="majorBidi" w:hAnsiTheme="majorBidi" w:cstheme="majorBidi"/>
          <w:szCs w:val="22"/>
        </w:rPr>
        <w:t>.</w:t>
      </w:r>
      <w:r w:rsidR="00400D76">
        <w:rPr>
          <w:rFonts w:asciiTheme="majorBidi" w:hAnsiTheme="majorBidi" w:cstheme="majorBidi"/>
          <w:szCs w:val="22"/>
        </w:rPr>
        <w:t xml:space="preserve"> </w:t>
      </w:r>
    </w:p>
    <w:p w14:paraId="20555DCC" w14:textId="77777777" w:rsidR="00400D76" w:rsidRPr="00566A12" w:rsidRDefault="00400D76" w:rsidP="00400D76">
      <w:pPr>
        <w:rPr>
          <w:rFonts w:asciiTheme="majorBidi" w:hAnsiTheme="majorBidi" w:cstheme="majorBidi"/>
          <w:b/>
        </w:rPr>
      </w:pPr>
      <w:r w:rsidRPr="00566A12">
        <w:rPr>
          <w:rFonts w:asciiTheme="majorBidi" w:hAnsiTheme="majorBidi" w:cstheme="majorBidi"/>
          <w:b/>
        </w:rPr>
        <w:t xml:space="preserve">The Working Group: </w:t>
      </w:r>
    </w:p>
    <w:p w14:paraId="05FC1628" w14:textId="77777777" w:rsidR="00400D76" w:rsidRPr="005D08D3" w:rsidRDefault="00400D76" w:rsidP="00B52F17">
      <w:pPr>
        <w:numPr>
          <w:ilvl w:val="0"/>
          <w:numId w:val="12"/>
        </w:numPr>
        <w:spacing w:line="240" w:lineRule="auto"/>
        <w:contextualSpacing/>
        <w:rPr>
          <w:rFonts w:asciiTheme="majorBidi" w:hAnsiTheme="majorBidi" w:cstheme="majorBidi"/>
        </w:rPr>
      </w:pPr>
      <w:r>
        <w:rPr>
          <w:rFonts w:asciiTheme="majorBidi" w:hAnsiTheme="majorBidi" w:cstheme="majorBidi"/>
        </w:rPr>
        <w:lastRenderedPageBreak/>
        <w:t>Agreed</w:t>
      </w:r>
      <w:r w:rsidRPr="00782D62">
        <w:rPr>
          <w:rFonts w:asciiTheme="majorBidi" w:hAnsiTheme="majorBidi" w:cstheme="majorBidi"/>
        </w:rPr>
        <w:t xml:space="preserve"> to </w:t>
      </w:r>
      <w:r>
        <w:rPr>
          <w:rFonts w:asciiTheme="majorBidi" w:hAnsiTheme="majorBidi" w:cstheme="majorBidi"/>
        </w:rPr>
        <w:t>update the</w:t>
      </w:r>
      <w:r w:rsidRPr="00782D62">
        <w:rPr>
          <w:rFonts w:asciiTheme="majorBidi" w:hAnsiTheme="majorBidi" w:cstheme="majorBidi"/>
        </w:rPr>
        <w:t xml:space="preserve"> mapping of regional inter-agency bodies and/or key fora to support potential engagement, </w:t>
      </w:r>
      <w:r>
        <w:rPr>
          <w:rFonts w:asciiTheme="majorBidi" w:hAnsiTheme="majorBidi" w:cstheme="majorBidi"/>
        </w:rPr>
        <w:t>including</w:t>
      </w:r>
      <w:r w:rsidRPr="00782D62">
        <w:rPr>
          <w:rFonts w:asciiTheme="majorBidi" w:hAnsiTheme="majorBidi" w:cstheme="majorBidi"/>
        </w:rPr>
        <w:t xml:space="preserve"> communication</w:t>
      </w:r>
      <w:r>
        <w:rPr>
          <w:rFonts w:asciiTheme="majorBidi" w:hAnsiTheme="majorBidi" w:cstheme="majorBidi"/>
        </w:rPr>
        <w:t xml:space="preserve"> and </w:t>
      </w:r>
      <w:r w:rsidRPr="00782D62">
        <w:rPr>
          <w:rFonts w:asciiTheme="majorBidi" w:hAnsiTheme="majorBidi" w:cstheme="majorBidi"/>
        </w:rPr>
        <w:t xml:space="preserve">information exchange. </w:t>
      </w:r>
      <w:r w:rsidRPr="00035F32">
        <w:rPr>
          <w:rFonts w:asciiTheme="majorBidi" w:hAnsiTheme="majorBidi" w:cstheme="majorBidi"/>
          <w:b/>
          <w:bCs/>
          <w:i/>
          <w:iCs/>
        </w:rPr>
        <w:t>Action by: IASC secretariat</w:t>
      </w:r>
      <w:r>
        <w:rPr>
          <w:rFonts w:asciiTheme="majorBidi" w:hAnsiTheme="majorBidi" w:cstheme="majorBidi"/>
          <w:b/>
          <w:bCs/>
          <w:i/>
          <w:iCs/>
        </w:rPr>
        <w:t xml:space="preserve"> by second quarter of 2017.</w:t>
      </w:r>
    </w:p>
    <w:p w14:paraId="32EAB51A" w14:textId="06FCDA3A" w:rsidR="005D08D3" w:rsidRPr="00AF6692" w:rsidRDefault="00D955FC" w:rsidP="00D955FC">
      <w:pPr>
        <w:numPr>
          <w:ilvl w:val="0"/>
          <w:numId w:val="12"/>
        </w:numPr>
        <w:spacing w:line="240" w:lineRule="auto"/>
        <w:contextualSpacing/>
        <w:rPr>
          <w:rFonts w:asciiTheme="majorBidi" w:hAnsiTheme="majorBidi" w:cstheme="majorBidi"/>
        </w:rPr>
      </w:pPr>
      <w:r>
        <w:t>Within the current framework of the WG, members are</w:t>
      </w:r>
      <w:r w:rsidDel="00D955FC">
        <w:rPr>
          <w:rFonts w:asciiTheme="majorBidi" w:hAnsiTheme="majorBidi" w:cstheme="majorBidi"/>
          <w:szCs w:val="22"/>
        </w:rPr>
        <w:t xml:space="preserve"> </w:t>
      </w:r>
      <w:r w:rsidR="00F760DB">
        <w:rPr>
          <w:rFonts w:asciiTheme="majorBidi" w:hAnsiTheme="majorBidi" w:cstheme="majorBidi"/>
          <w:szCs w:val="22"/>
        </w:rPr>
        <w:t>committed to pursue</w:t>
      </w:r>
      <w:r w:rsidR="0080751F">
        <w:rPr>
          <w:rFonts w:asciiTheme="majorBidi" w:hAnsiTheme="majorBidi" w:cstheme="majorBidi"/>
          <w:szCs w:val="22"/>
        </w:rPr>
        <w:t xml:space="preserve"> task-</w:t>
      </w:r>
      <w:r w:rsidR="00F760DB">
        <w:rPr>
          <w:rFonts w:asciiTheme="majorBidi" w:hAnsiTheme="majorBidi" w:cstheme="majorBidi"/>
          <w:szCs w:val="22"/>
        </w:rPr>
        <w:t>focused diversity, bring</w:t>
      </w:r>
      <w:r w:rsidR="00400D76" w:rsidRPr="000F3A6A">
        <w:rPr>
          <w:rFonts w:asciiTheme="majorBidi" w:hAnsiTheme="majorBidi" w:cstheme="majorBidi"/>
          <w:szCs w:val="22"/>
        </w:rPr>
        <w:t xml:space="preserve"> field representation consistently into WG meetings on relevant ag</w:t>
      </w:r>
      <w:r w:rsidR="00EC1BA8">
        <w:rPr>
          <w:rFonts w:asciiTheme="majorBidi" w:hAnsiTheme="majorBidi" w:cstheme="majorBidi"/>
          <w:szCs w:val="22"/>
        </w:rPr>
        <w:t xml:space="preserve">enda items, </w:t>
      </w:r>
      <w:r w:rsidR="00F760DB">
        <w:rPr>
          <w:rFonts w:asciiTheme="majorBidi" w:hAnsiTheme="majorBidi" w:cstheme="majorBidi"/>
          <w:szCs w:val="22"/>
        </w:rPr>
        <w:t>involve</w:t>
      </w:r>
      <w:r w:rsidR="00400D76" w:rsidRPr="000F3A6A">
        <w:rPr>
          <w:rFonts w:asciiTheme="majorBidi" w:hAnsiTheme="majorBidi" w:cstheme="majorBidi"/>
          <w:szCs w:val="22"/>
        </w:rPr>
        <w:t xml:space="preserve"> relevant</w:t>
      </w:r>
      <w:r w:rsidR="00EC1BA8">
        <w:rPr>
          <w:rFonts w:asciiTheme="majorBidi" w:hAnsiTheme="majorBidi" w:cstheme="majorBidi"/>
          <w:szCs w:val="22"/>
        </w:rPr>
        <w:t xml:space="preserve"> external actors in discussions</w:t>
      </w:r>
      <w:r w:rsidR="00F760DB">
        <w:rPr>
          <w:rFonts w:asciiTheme="majorBidi" w:hAnsiTheme="majorBidi" w:cstheme="majorBidi"/>
          <w:szCs w:val="22"/>
        </w:rPr>
        <w:t>, encourage HCTs to engage more widely at field level, and consult more widely on issues and actions.</w:t>
      </w:r>
      <w:r w:rsidR="008828A6">
        <w:rPr>
          <w:rFonts w:asciiTheme="majorBidi" w:hAnsiTheme="majorBidi" w:cstheme="majorBidi"/>
          <w:szCs w:val="22"/>
        </w:rPr>
        <w:t xml:space="preserve"> </w:t>
      </w:r>
      <w:r w:rsidR="008828A6" w:rsidRPr="008828A6">
        <w:rPr>
          <w:rFonts w:asciiTheme="majorBidi" w:hAnsiTheme="majorBidi" w:cstheme="majorBidi"/>
          <w:b/>
          <w:bCs/>
          <w:i/>
          <w:iCs/>
          <w:szCs w:val="22"/>
        </w:rPr>
        <w:t>Action by: All IASC Working Group members</w:t>
      </w:r>
      <w:r w:rsidR="008828A6">
        <w:rPr>
          <w:rFonts w:asciiTheme="majorBidi" w:hAnsiTheme="majorBidi" w:cstheme="majorBidi"/>
          <w:b/>
          <w:bCs/>
          <w:i/>
          <w:iCs/>
          <w:szCs w:val="22"/>
        </w:rPr>
        <w:t>.</w:t>
      </w:r>
    </w:p>
    <w:p w14:paraId="7132859A" w14:textId="2D4C9559" w:rsidR="00AF6692" w:rsidRPr="00400D76" w:rsidRDefault="00AF6692" w:rsidP="00B52F17">
      <w:pPr>
        <w:numPr>
          <w:ilvl w:val="0"/>
          <w:numId w:val="12"/>
        </w:numPr>
        <w:spacing w:line="240" w:lineRule="auto"/>
        <w:contextualSpacing/>
        <w:rPr>
          <w:rFonts w:asciiTheme="majorBidi" w:hAnsiTheme="majorBidi" w:cstheme="majorBidi"/>
        </w:rPr>
      </w:pPr>
      <w:r>
        <w:rPr>
          <w:rFonts w:asciiTheme="majorBidi" w:hAnsiTheme="majorBidi" w:cstheme="majorBidi"/>
          <w:szCs w:val="22"/>
        </w:rPr>
        <w:t xml:space="preserve">Committed to the early identification of agenda items to ensure sufficient time for broad-based consultations </w:t>
      </w:r>
      <w:r w:rsidR="00CD349A">
        <w:rPr>
          <w:rFonts w:asciiTheme="majorBidi" w:hAnsiTheme="majorBidi" w:cstheme="majorBidi"/>
          <w:szCs w:val="22"/>
        </w:rPr>
        <w:t>to ensure better representation</w:t>
      </w:r>
      <w:r w:rsidR="00D33E81">
        <w:rPr>
          <w:rFonts w:asciiTheme="majorBidi" w:hAnsiTheme="majorBidi" w:cstheme="majorBidi"/>
          <w:szCs w:val="22"/>
        </w:rPr>
        <w:t xml:space="preserve"> of broader views</w:t>
      </w:r>
      <w:r w:rsidR="00CD349A">
        <w:rPr>
          <w:rFonts w:asciiTheme="majorBidi" w:hAnsiTheme="majorBidi" w:cstheme="majorBidi"/>
          <w:szCs w:val="22"/>
        </w:rPr>
        <w:t xml:space="preserve">. </w:t>
      </w:r>
      <w:r>
        <w:rPr>
          <w:rFonts w:asciiTheme="majorBidi" w:hAnsiTheme="majorBidi" w:cstheme="majorBidi"/>
          <w:szCs w:val="22"/>
        </w:rPr>
        <w:t xml:space="preserve"> </w:t>
      </w:r>
      <w:r w:rsidR="008828A6" w:rsidRPr="008828A6">
        <w:rPr>
          <w:rFonts w:asciiTheme="majorBidi" w:hAnsiTheme="majorBidi" w:cstheme="majorBidi"/>
          <w:b/>
          <w:bCs/>
          <w:i/>
          <w:iCs/>
          <w:szCs w:val="22"/>
        </w:rPr>
        <w:t>Action by: IASC secretariat</w:t>
      </w:r>
      <w:r w:rsidR="008828A6">
        <w:rPr>
          <w:rFonts w:asciiTheme="majorBidi" w:hAnsiTheme="majorBidi" w:cstheme="majorBidi"/>
          <w:b/>
          <w:bCs/>
          <w:i/>
          <w:iCs/>
          <w:szCs w:val="22"/>
        </w:rPr>
        <w:t xml:space="preserve"> with IASC Working Group members.</w:t>
      </w:r>
    </w:p>
    <w:p w14:paraId="3A3C5903" w14:textId="77777777" w:rsidR="00F01D99" w:rsidRDefault="00F01D99" w:rsidP="00F01D99">
      <w:pPr>
        <w:pStyle w:val="ListParagraph"/>
        <w:spacing w:before="0" w:after="240"/>
        <w:rPr>
          <w:rFonts w:asciiTheme="majorBidi" w:hAnsiTheme="majorBidi" w:cstheme="majorBidi"/>
          <w:b/>
          <w:bCs/>
          <w:szCs w:val="22"/>
        </w:rPr>
      </w:pPr>
    </w:p>
    <w:p w14:paraId="382F8981" w14:textId="77777777" w:rsidR="00F01D99" w:rsidRDefault="00F01D99" w:rsidP="00B52F17">
      <w:pPr>
        <w:pStyle w:val="ListParagraph"/>
        <w:numPr>
          <w:ilvl w:val="0"/>
          <w:numId w:val="13"/>
        </w:numPr>
        <w:spacing w:before="0" w:after="240"/>
        <w:rPr>
          <w:rFonts w:asciiTheme="majorBidi" w:hAnsiTheme="majorBidi" w:cstheme="majorBidi"/>
          <w:b/>
          <w:bCs/>
          <w:szCs w:val="22"/>
        </w:rPr>
      </w:pPr>
      <w:r w:rsidRPr="00F01D99">
        <w:rPr>
          <w:rFonts w:asciiTheme="majorBidi" w:hAnsiTheme="majorBidi" w:cstheme="majorBidi"/>
          <w:b/>
          <w:bCs/>
          <w:szCs w:val="22"/>
        </w:rPr>
        <w:t>The Secretary-General’s Reform Agenda</w:t>
      </w:r>
    </w:p>
    <w:p w14:paraId="12BAE34C" w14:textId="6DAB216B" w:rsidR="00BD05E5" w:rsidRDefault="00BD05E5" w:rsidP="00BD05E5">
      <w:pPr>
        <w:pStyle w:val="ListParagraph"/>
        <w:spacing w:before="0" w:after="240"/>
        <w:ind w:left="567"/>
        <w:rPr>
          <w:rFonts w:asciiTheme="majorBidi" w:hAnsiTheme="majorBidi" w:cstheme="majorBidi"/>
          <w:b/>
          <w:bCs/>
          <w:szCs w:val="22"/>
        </w:rPr>
      </w:pPr>
      <w:r>
        <w:rPr>
          <w:rFonts w:asciiTheme="majorBidi" w:hAnsiTheme="majorBidi" w:cstheme="majorBidi"/>
          <w:b/>
          <w:bCs/>
          <w:i/>
          <w:iCs/>
          <w:color w:val="0070C0"/>
          <w:szCs w:val="22"/>
        </w:rPr>
        <w:t xml:space="preserve">Facilitated by: Ms. Ursula Mueller, </w:t>
      </w:r>
      <w:r w:rsidR="009625B4">
        <w:rPr>
          <w:rFonts w:asciiTheme="majorBidi" w:hAnsiTheme="majorBidi" w:cstheme="majorBidi"/>
          <w:b/>
          <w:bCs/>
          <w:i/>
          <w:iCs/>
          <w:color w:val="0070C0"/>
          <w:szCs w:val="22"/>
        </w:rPr>
        <w:t>C</w:t>
      </w:r>
      <w:r w:rsidR="00CD18A5">
        <w:rPr>
          <w:rFonts w:asciiTheme="majorBidi" w:hAnsiTheme="majorBidi" w:cstheme="majorBidi"/>
          <w:b/>
          <w:bCs/>
          <w:i/>
          <w:iCs/>
          <w:color w:val="0070C0"/>
          <w:szCs w:val="22"/>
        </w:rPr>
        <w:t xml:space="preserve">hair of the IASC WG and </w:t>
      </w:r>
      <w:r>
        <w:rPr>
          <w:rFonts w:asciiTheme="majorBidi" w:hAnsiTheme="majorBidi" w:cstheme="majorBidi"/>
          <w:b/>
          <w:bCs/>
          <w:i/>
          <w:iCs/>
          <w:color w:val="0070C0"/>
          <w:szCs w:val="22"/>
        </w:rPr>
        <w:t>DERC</w:t>
      </w:r>
    </w:p>
    <w:p w14:paraId="26AE8E63" w14:textId="77777777" w:rsidR="001B6E4E" w:rsidRDefault="001B6E4E" w:rsidP="00B24850">
      <w:pPr>
        <w:spacing w:before="0" w:line="240" w:lineRule="auto"/>
        <w:rPr>
          <w:rFonts w:asciiTheme="majorBidi" w:hAnsiTheme="majorBidi" w:cstheme="majorBidi"/>
          <w:szCs w:val="22"/>
          <w:lang w:eastAsia="zh-CN"/>
        </w:rPr>
      </w:pPr>
      <w:r w:rsidRPr="001B6E4E">
        <w:rPr>
          <w:rFonts w:asciiTheme="majorBidi" w:hAnsiTheme="majorBidi" w:cstheme="majorBidi"/>
          <w:szCs w:val="22"/>
          <w:lang w:eastAsia="zh-CN"/>
        </w:rPr>
        <w:t>Participants discuss</w:t>
      </w:r>
      <w:r>
        <w:rPr>
          <w:rFonts w:asciiTheme="majorBidi" w:hAnsiTheme="majorBidi" w:cstheme="majorBidi"/>
          <w:szCs w:val="22"/>
          <w:lang w:eastAsia="zh-CN"/>
        </w:rPr>
        <w:t>ed</w:t>
      </w:r>
      <w:r w:rsidRPr="001B6E4E">
        <w:rPr>
          <w:rFonts w:asciiTheme="majorBidi" w:hAnsiTheme="majorBidi" w:cstheme="majorBidi"/>
          <w:szCs w:val="22"/>
          <w:lang w:eastAsia="zh-CN"/>
        </w:rPr>
        <w:t xml:space="preserve"> the implications of the Secretary-General’s reform agenda for the intern</w:t>
      </w:r>
      <w:r w:rsidR="00A90F6F">
        <w:rPr>
          <w:rFonts w:asciiTheme="majorBidi" w:hAnsiTheme="majorBidi" w:cstheme="majorBidi"/>
          <w:szCs w:val="22"/>
          <w:lang w:eastAsia="zh-CN"/>
        </w:rPr>
        <w:t xml:space="preserve">ational humanitarian community, assessing </w:t>
      </w:r>
      <w:r w:rsidRPr="001B6E4E">
        <w:rPr>
          <w:rFonts w:asciiTheme="majorBidi" w:hAnsiTheme="majorBidi" w:cstheme="majorBidi"/>
          <w:color w:val="000000"/>
          <w:szCs w:val="22"/>
        </w:rPr>
        <w:t xml:space="preserve">how IASC concerns and messaging </w:t>
      </w:r>
      <w:r w:rsidR="00A90F6F">
        <w:rPr>
          <w:rFonts w:asciiTheme="majorBidi" w:hAnsiTheme="majorBidi" w:cstheme="majorBidi"/>
          <w:color w:val="000000"/>
          <w:szCs w:val="22"/>
        </w:rPr>
        <w:t>might</w:t>
      </w:r>
      <w:r w:rsidRPr="001B6E4E">
        <w:rPr>
          <w:rFonts w:asciiTheme="majorBidi" w:hAnsiTheme="majorBidi" w:cstheme="majorBidi"/>
          <w:color w:val="000000"/>
          <w:szCs w:val="22"/>
        </w:rPr>
        <w:t xml:space="preserve"> influence agenda-setting, strategic decision-making and policy formulation. </w:t>
      </w:r>
      <w:r>
        <w:rPr>
          <w:rFonts w:asciiTheme="majorBidi" w:hAnsiTheme="majorBidi" w:cstheme="majorBidi"/>
          <w:szCs w:val="22"/>
          <w:lang w:eastAsia="zh-CN"/>
        </w:rPr>
        <w:t xml:space="preserve">They </w:t>
      </w:r>
      <w:r w:rsidR="00A90F6F">
        <w:rPr>
          <w:rFonts w:asciiTheme="majorBidi" w:hAnsiTheme="majorBidi" w:cstheme="majorBidi"/>
          <w:szCs w:val="22"/>
          <w:lang w:eastAsia="zh-CN"/>
        </w:rPr>
        <w:t xml:space="preserve">sought </w:t>
      </w:r>
      <w:r w:rsidRPr="001B6E4E">
        <w:rPr>
          <w:rFonts w:asciiTheme="majorBidi" w:hAnsiTheme="majorBidi" w:cstheme="majorBidi"/>
          <w:szCs w:val="22"/>
          <w:lang w:eastAsia="zh-CN"/>
        </w:rPr>
        <w:t xml:space="preserve">entry points for discussions with other actors on these issues, and </w:t>
      </w:r>
      <w:r w:rsidR="00B24850">
        <w:rPr>
          <w:rFonts w:asciiTheme="majorBidi" w:hAnsiTheme="majorBidi" w:cstheme="majorBidi"/>
          <w:szCs w:val="22"/>
          <w:lang w:eastAsia="zh-CN"/>
        </w:rPr>
        <w:t xml:space="preserve">to identify </w:t>
      </w:r>
      <w:r w:rsidRPr="001B6E4E">
        <w:rPr>
          <w:rFonts w:asciiTheme="majorBidi" w:hAnsiTheme="majorBidi" w:cstheme="majorBidi"/>
          <w:szCs w:val="22"/>
          <w:lang w:eastAsia="zh-CN"/>
        </w:rPr>
        <w:t xml:space="preserve">the </w:t>
      </w:r>
      <w:r w:rsidR="00A90F6F">
        <w:rPr>
          <w:rFonts w:asciiTheme="majorBidi" w:hAnsiTheme="majorBidi" w:cstheme="majorBidi"/>
          <w:szCs w:val="22"/>
          <w:lang w:eastAsia="zh-CN"/>
        </w:rPr>
        <w:t xml:space="preserve">WG and broader IASC’s </w:t>
      </w:r>
      <w:r>
        <w:rPr>
          <w:rFonts w:asciiTheme="majorBidi" w:hAnsiTheme="majorBidi" w:cstheme="majorBidi"/>
          <w:szCs w:val="22"/>
          <w:lang w:eastAsia="zh-CN"/>
        </w:rPr>
        <w:t xml:space="preserve">role </w:t>
      </w:r>
      <w:r w:rsidR="00A90F6F">
        <w:rPr>
          <w:rFonts w:asciiTheme="majorBidi" w:hAnsiTheme="majorBidi" w:cstheme="majorBidi"/>
          <w:szCs w:val="22"/>
          <w:lang w:eastAsia="zh-CN"/>
        </w:rPr>
        <w:t>and contribution to the SG agenda, while also maintaining a measure of independence.</w:t>
      </w:r>
    </w:p>
    <w:p w14:paraId="11993326" w14:textId="77777777" w:rsidR="00A90F6F" w:rsidRDefault="00A90F6F" w:rsidP="00B24850">
      <w:pPr>
        <w:spacing w:before="0" w:line="240" w:lineRule="auto"/>
        <w:rPr>
          <w:rFonts w:asciiTheme="majorBidi" w:hAnsiTheme="majorBidi" w:cstheme="majorBidi"/>
          <w:b/>
          <w:bCs/>
          <w:i/>
          <w:iCs/>
          <w:color w:val="0070C0"/>
          <w:szCs w:val="22"/>
        </w:rPr>
      </w:pPr>
    </w:p>
    <w:p w14:paraId="3D4C01B6" w14:textId="34785A83" w:rsidR="00F313B0" w:rsidRDefault="00AB7608" w:rsidP="00D32CD4">
      <w:pPr>
        <w:spacing w:before="0" w:line="240" w:lineRule="auto"/>
        <w:rPr>
          <w:rFonts w:asciiTheme="majorBidi" w:hAnsiTheme="majorBidi" w:cstheme="majorBidi"/>
          <w:szCs w:val="22"/>
          <w:lang w:eastAsia="zh-CN"/>
        </w:rPr>
      </w:pPr>
      <w:r>
        <w:rPr>
          <w:rFonts w:asciiTheme="majorBidi" w:hAnsiTheme="majorBidi" w:cstheme="majorBidi"/>
          <w:b/>
          <w:bCs/>
          <w:i/>
          <w:iCs/>
          <w:color w:val="0070C0"/>
          <w:szCs w:val="22"/>
        </w:rPr>
        <w:t xml:space="preserve">Mr. </w:t>
      </w:r>
      <w:r w:rsidR="001B6E4E" w:rsidRPr="001B6E4E">
        <w:rPr>
          <w:rFonts w:asciiTheme="majorBidi" w:hAnsiTheme="majorBidi" w:cstheme="majorBidi"/>
          <w:b/>
          <w:bCs/>
          <w:i/>
          <w:iCs/>
          <w:color w:val="0070C0"/>
          <w:szCs w:val="22"/>
        </w:rPr>
        <w:t>Fabrizio Hochschild, Assistant Secretary-General for Strategic Coordination in the Executive Office</w:t>
      </w:r>
      <w:r w:rsidR="001B6E4E">
        <w:rPr>
          <w:rFonts w:asciiTheme="majorBidi" w:hAnsiTheme="majorBidi" w:cstheme="majorBidi"/>
        </w:rPr>
        <w:t xml:space="preserve"> </w:t>
      </w:r>
      <w:r w:rsidR="00C55A68">
        <w:rPr>
          <w:rFonts w:asciiTheme="majorBidi" w:hAnsiTheme="majorBidi" w:cstheme="majorBidi"/>
        </w:rPr>
        <w:t>addressed p</w:t>
      </w:r>
      <w:r w:rsidR="00C55A68" w:rsidRPr="00B5098E">
        <w:rPr>
          <w:rFonts w:asciiTheme="majorBidi" w:hAnsiTheme="majorBidi" w:cstheme="majorBidi"/>
          <w:szCs w:val="22"/>
          <w:lang w:eastAsia="zh-CN"/>
        </w:rPr>
        <w:t xml:space="preserve">articipants on the Secretary-General’s </w:t>
      </w:r>
      <w:r w:rsidR="00C55A68">
        <w:rPr>
          <w:rFonts w:asciiTheme="majorBidi" w:hAnsiTheme="majorBidi" w:cstheme="majorBidi"/>
          <w:szCs w:val="22"/>
          <w:lang w:eastAsia="zh-CN"/>
        </w:rPr>
        <w:t xml:space="preserve">reform agenda, including on </w:t>
      </w:r>
      <w:r w:rsidR="00D32CD4">
        <w:rPr>
          <w:rFonts w:asciiTheme="majorBidi" w:hAnsiTheme="majorBidi" w:cstheme="majorBidi"/>
          <w:szCs w:val="22"/>
          <w:lang w:eastAsia="zh-CN"/>
        </w:rPr>
        <w:t>prevention</w:t>
      </w:r>
      <w:r w:rsidR="00C55A68">
        <w:rPr>
          <w:rFonts w:asciiTheme="majorBidi" w:hAnsiTheme="majorBidi" w:cstheme="majorBidi"/>
          <w:szCs w:val="22"/>
          <w:lang w:eastAsia="zh-CN"/>
        </w:rPr>
        <w:t>,</w:t>
      </w:r>
      <w:r w:rsidR="00C55A68" w:rsidRPr="00B5098E">
        <w:rPr>
          <w:rFonts w:asciiTheme="majorBidi" w:hAnsiTheme="majorBidi" w:cstheme="majorBidi"/>
          <w:szCs w:val="22"/>
          <w:lang w:eastAsia="zh-CN"/>
        </w:rPr>
        <w:t xml:space="preserve"> and the implications for the IASC and the broader humanitarian system</w:t>
      </w:r>
      <w:r w:rsidR="00C55A68">
        <w:rPr>
          <w:rFonts w:asciiTheme="majorBidi" w:hAnsiTheme="majorBidi" w:cstheme="majorBidi"/>
          <w:szCs w:val="22"/>
          <w:lang w:eastAsia="zh-CN"/>
        </w:rPr>
        <w:t xml:space="preserve">. </w:t>
      </w:r>
      <w:r w:rsidR="00F313B0">
        <w:rPr>
          <w:rFonts w:asciiTheme="majorBidi" w:hAnsiTheme="majorBidi" w:cstheme="majorBidi"/>
          <w:szCs w:val="22"/>
          <w:lang w:eastAsia="zh-CN"/>
        </w:rPr>
        <w:t>He noted t</w:t>
      </w:r>
      <w:r w:rsidR="003E30A8">
        <w:rPr>
          <w:rFonts w:asciiTheme="majorBidi" w:hAnsiTheme="majorBidi" w:cstheme="majorBidi"/>
          <w:szCs w:val="22"/>
          <w:lang w:eastAsia="zh-CN"/>
        </w:rPr>
        <w:t>he starting point for t</w:t>
      </w:r>
      <w:r w:rsidR="00F313B0">
        <w:rPr>
          <w:rFonts w:asciiTheme="majorBidi" w:hAnsiTheme="majorBidi" w:cstheme="majorBidi"/>
          <w:szCs w:val="22"/>
          <w:lang w:eastAsia="zh-CN"/>
        </w:rPr>
        <w:t xml:space="preserve">he Secretary-General’s </w:t>
      </w:r>
      <w:r w:rsidR="003E30A8">
        <w:rPr>
          <w:rFonts w:asciiTheme="majorBidi" w:hAnsiTheme="majorBidi" w:cstheme="majorBidi"/>
          <w:szCs w:val="22"/>
          <w:lang w:eastAsia="zh-CN"/>
        </w:rPr>
        <w:t>reforms in a recognition that, in the face of myriad challenges and escalating crises, the UN response to date has not worked</w:t>
      </w:r>
      <w:r w:rsidR="000276EA">
        <w:rPr>
          <w:rFonts w:asciiTheme="majorBidi" w:hAnsiTheme="majorBidi" w:cstheme="majorBidi"/>
          <w:szCs w:val="22"/>
          <w:lang w:eastAsia="zh-CN"/>
        </w:rPr>
        <w:t xml:space="preserve"> and there is a necessity for change</w:t>
      </w:r>
      <w:r w:rsidR="003E30A8">
        <w:rPr>
          <w:rFonts w:asciiTheme="majorBidi" w:hAnsiTheme="majorBidi" w:cstheme="majorBidi"/>
          <w:szCs w:val="22"/>
          <w:lang w:eastAsia="zh-CN"/>
        </w:rPr>
        <w:t xml:space="preserve">. He outlined elements of the new focus, which builds on the WHS Agenda for Humanity, </w:t>
      </w:r>
      <w:r w:rsidR="00CD349A">
        <w:rPr>
          <w:rFonts w:asciiTheme="majorBidi" w:hAnsiTheme="majorBidi" w:cstheme="majorBidi"/>
          <w:szCs w:val="22"/>
          <w:lang w:eastAsia="zh-CN"/>
        </w:rPr>
        <w:t xml:space="preserve">the QCPR, the Sustaining Peace Agenda and the HIPPO report </w:t>
      </w:r>
      <w:r w:rsidR="003E30A8">
        <w:rPr>
          <w:rFonts w:asciiTheme="majorBidi" w:hAnsiTheme="majorBidi" w:cstheme="majorBidi"/>
          <w:szCs w:val="22"/>
          <w:lang w:eastAsia="zh-CN"/>
        </w:rPr>
        <w:t xml:space="preserve">and </w:t>
      </w:r>
      <w:r w:rsidR="00CD349A">
        <w:rPr>
          <w:rFonts w:asciiTheme="majorBidi" w:hAnsiTheme="majorBidi" w:cstheme="majorBidi"/>
          <w:szCs w:val="22"/>
          <w:lang w:eastAsia="zh-CN"/>
        </w:rPr>
        <w:t xml:space="preserve">other </w:t>
      </w:r>
      <w:r w:rsidR="003E30A8">
        <w:rPr>
          <w:rFonts w:asciiTheme="majorBidi" w:hAnsiTheme="majorBidi" w:cstheme="majorBidi"/>
          <w:szCs w:val="22"/>
          <w:lang w:eastAsia="zh-CN"/>
        </w:rPr>
        <w:t>studies and reviews over recent years</w:t>
      </w:r>
      <w:r w:rsidR="00CD349A">
        <w:rPr>
          <w:rFonts w:asciiTheme="majorBidi" w:hAnsiTheme="majorBidi" w:cstheme="majorBidi"/>
          <w:szCs w:val="22"/>
          <w:lang w:eastAsia="zh-CN"/>
        </w:rPr>
        <w:t xml:space="preserve"> including those on management</w:t>
      </w:r>
      <w:r w:rsidR="003E30A8">
        <w:rPr>
          <w:rFonts w:asciiTheme="majorBidi" w:hAnsiTheme="majorBidi" w:cstheme="majorBidi"/>
          <w:szCs w:val="22"/>
          <w:lang w:eastAsia="zh-CN"/>
        </w:rPr>
        <w:t xml:space="preserve">. He highlighted the greater focus on a broad-based and holistic approach to prevention and resolution of conflict, including mediation initiatives, addressing governance, </w:t>
      </w:r>
      <w:r w:rsidR="000276EA">
        <w:rPr>
          <w:rFonts w:asciiTheme="majorBidi" w:hAnsiTheme="majorBidi" w:cstheme="majorBidi"/>
          <w:szCs w:val="22"/>
          <w:lang w:eastAsia="zh-CN"/>
        </w:rPr>
        <w:t xml:space="preserve">and </w:t>
      </w:r>
      <w:r w:rsidR="003E30A8">
        <w:rPr>
          <w:rFonts w:asciiTheme="majorBidi" w:hAnsiTheme="majorBidi" w:cstheme="majorBidi"/>
          <w:szCs w:val="22"/>
          <w:lang w:eastAsia="zh-CN"/>
        </w:rPr>
        <w:t xml:space="preserve">taking human rights issues and development activities into account. The SG has sought a </w:t>
      </w:r>
      <w:r w:rsidR="00CD349A">
        <w:rPr>
          <w:rFonts w:asciiTheme="majorBidi" w:hAnsiTheme="majorBidi" w:cstheme="majorBidi"/>
          <w:szCs w:val="22"/>
          <w:lang w:eastAsia="zh-CN"/>
        </w:rPr>
        <w:t xml:space="preserve">multi-dimensional </w:t>
      </w:r>
      <w:r w:rsidR="003E30A8">
        <w:rPr>
          <w:rFonts w:asciiTheme="majorBidi" w:hAnsiTheme="majorBidi" w:cstheme="majorBidi"/>
          <w:szCs w:val="22"/>
          <w:lang w:eastAsia="zh-CN"/>
        </w:rPr>
        <w:t>people-centred approach</w:t>
      </w:r>
      <w:r w:rsidR="00156B87">
        <w:rPr>
          <w:rFonts w:asciiTheme="majorBidi" w:hAnsiTheme="majorBidi" w:cstheme="majorBidi"/>
          <w:szCs w:val="22"/>
          <w:lang w:eastAsia="zh-CN"/>
        </w:rPr>
        <w:t xml:space="preserve">, moving away from the </w:t>
      </w:r>
      <w:r w:rsidR="0070350E">
        <w:rPr>
          <w:rFonts w:asciiTheme="majorBidi" w:hAnsiTheme="majorBidi" w:cstheme="majorBidi"/>
          <w:szCs w:val="22"/>
          <w:lang w:eastAsia="zh-CN"/>
        </w:rPr>
        <w:t xml:space="preserve">fragmented, isolated, mandate or </w:t>
      </w:r>
      <w:r w:rsidR="00156B87">
        <w:rPr>
          <w:rFonts w:asciiTheme="majorBidi" w:hAnsiTheme="majorBidi" w:cstheme="majorBidi"/>
          <w:szCs w:val="22"/>
          <w:lang w:eastAsia="zh-CN"/>
        </w:rPr>
        <w:t xml:space="preserve">institution-driven responses in the past. </w:t>
      </w:r>
      <w:r w:rsidR="00D33E81">
        <w:rPr>
          <w:rFonts w:asciiTheme="majorBidi" w:hAnsiTheme="majorBidi" w:cstheme="majorBidi"/>
          <w:szCs w:val="22"/>
          <w:lang w:eastAsia="zh-CN"/>
        </w:rPr>
        <w:t>The Secretary-General seeks to enhance the cross-cutting analysis</w:t>
      </w:r>
      <w:r w:rsidR="00DB431B">
        <w:rPr>
          <w:rFonts w:asciiTheme="majorBidi" w:hAnsiTheme="majorBidi" w:cstheme="majorBidi"/>
          <w:szCs w:val="22"/>
          <w:lang w:eastAsia="zh-CN"/>
        </w:rPr>
        <w:t xml:space="preserve">, capacity and political will, critical for both prevention and early warning. </w:t>
      </w:r>
      <w:r w:rsidR="00156B87">
        <w:rPr>
          <w:rFonts w:asciiTheme="majorBidi" w:hAnsiTheme="majorBidi" w:cstheme="majorBidi"/>
          <w:szCs w:val="22"/>
          <w:lang w:eastAsia="zh-CN"/>
        </w:rPr>
        <w:t xml:space="preserve">He seeks greater accountability to outcomes and results, rather than process, empowered RC field leadership, and nimble, quick action. </w:t>
      </w:r>
      <w:r w:rsidR="000276EA">
        <w:rPr>
          <w:rFonts w:asciiTheme="majorBidi" w:hAnsiTheme="majorBidi" w:cstheme="majorBidi"/>
          <w:szCs w:val="22"/>
          <w:lang w:eastAsia="zh-CN"/>
        </w:rPr>
        <w:t xml:space="preserve">He noted a focus on outcomes, joined-up action, on achieving the Sustainable Development Goals (SDGs), on management reform, and on achieving gender parity. The </w:t>
      </w:r>
      <w:r w:rsidR="00F63C03">
        <w:rPr>
          <w:rFonts w:asciiTheme="majorBidi" w:hAnsiTheme="majorBidi" w:cstheme="majorBidi"/>
          <w:szCs w:val="22"/>
          <w:lang w:eastAsia="zh-CN"/>
        </w:rPr>
        <w:t>Executive and Deputies Committee</w:t>
      </w:r>
      <w:r w:rsidR="000276EA">
        <w:rPr>
          <w:rFonts w:asciiTheme="majorBidi" w:hAnsiTheme="majorBidi" w:cstheme="majorBidi"/>
          <w:szCs w:val="22"/>
          <w:lang w:eastAsia="zh-CN"/>
        </w:rPr>
        <w:t>s</w:t>
      </w:r>
      <w:r w:rsidR="00F63C03">
        <w:rPr>
          <w:rFonts w:asciiTheme="majorBidi" w:hAnsiTheme="majorBidi" w:cstheme="majorBidi"/>
          <w:szCs w:val="22"/>
          <w:lang w:eastAsia="zh-CN"/>
        </w:rPr>
        <w:t>, very new decision-making structures,</w:t>
      </w:r>
      <w:r w:rsidR="000276EA">
        <w:rPr>
          <w:rFonts w:asciiTheme="majorBidi" w:hAnsiTheme="majorBidi" w:cstheme="majorBidi"/>
          <w:szCs w:val="22"/>
          <w:lang w:eastAsia="zh-CN"/>
        </w:rPr>
        <w:t xml:space="preserve"> bring t</w:t>
      </w:r>
      <w:r w:rsidR="00F63C03">
        <w:rPr>
          <w:rFonts w:asciiTheme="majorBidi" w:hAnsiTheme="majorBidi" w:cstheme="majorBidi"/>
          <w:szCs w:val="22"/>
          <w:lang w:eastAsia="zh-CN"/>
        </w:rPr>
        <w:t xml:space="preserve">ogether the humanitarian, development, human rights and peace-keeping constituencies. </w:t>
      </w:r>
      <w:r w:rsidR="009B11C2">
        <w:rPr>
          <w:rFonts w:asciiTheme="majorBidi" w:hAnsiTheme="majorBidi" w:cstheme="majorBidi"/>
          <w:szCs w:val="22"/>
          <w:lang w:eastAsia="zh-CN"/>
        </w:rPr>
        <w:t xml:space="preserve">Concluding the inadequacy of previous </w:t>
      </w:r>
      <w:r w:rsidR="004D3814">
        <w:rPr>
          <w:rFonts w:asciiTheme="majorBidi" w:hAnsiTheme="majorBidi" w:cstheme="majorBidi"/>
          <w:szCs w:val="22"/>
          <w:lang w:eastAsia="zh-CN"/>
        </w:rPr>
        <w:t>approaches,</w:t>
      </w:r>
      <w:r w:rsidR="009B11C2">
        <w:rPr>
          <w:rFonts w:asciiTheme="majorBidi" w:hAnsiTheme="majorBidi" w:cstheme="majorBidi"/>
          <w:szCs w:val="22"/>
          <w:lang w:eastAsia="zh-CN"/>
        </w:rPr>
        <w:t xml:space="preserve"> he also elaborated on the challenges he saw ahead, all of which called for reform to enable a collective response including</w:t>
      </w:r>
      <w:r w:rsidR="00D56818">
        <w:rPr>
          <w:rFonts w:asciiTheme="majorBidi" w:hAnsiTheme="majorBidi" w:cstheme="majorBidi"/>
          <w:szCs w:val="22"/>
          <w:lang w:eastAsia="zh-CN"/>
        </w:rPr>
        <w:t xml:space="preserve"> to</w:t>
      </w:r>
      <w:r w:rsidR="009B11C2">
        <w:rPr>
          <w:rFonts w:asciiTheme="majorBidi" w:hAnsiTheme="majorBidi" w:cstheme="majorBidi"/>
          <w:szCs w:val="22"/>
          <w:lang w:eastAsia="zh-CN"/>
        </w:rPr>
        <w:t xml:space="preserve"> the global threats to multilateralism, a strengthened ability to identify frontier issues such as genetic engineering</w:t>
      </w:r>
      <w:r w:rsidR="008828A6">
        <w:rPr>
          <w:rFonts w:asciiTheme="majorBidi" w:hAnsiTheme="majorBidi" w:cstheme="majorBidi"/>
          <w:szCs w:val="22"/>
          <w:lang w:eastAsia="zh-CN"/>
        </w:rPr>
        <w:t xml:space="preserve"> and technological developments, </w:t>
      </w:r>
      <w:r w:rsidR="009B11C2">
        <w:rPr>
          <w:rFonts w:asciiTheme="majorBidi" w:hAnsiTheme="majorBidi" w:cstheme="majorBidi"/>
          <w:szCs w:val="22"/>
          <w:lang w:eastAsia="zh-CN"/>
        </w:rPr>
        <w:t>adding that a paper outlining the SG</w:t>
      </w:r>
      <w:r w:rsidR="008828A6">
        <w:rPr>
          <w:rFonts w:asciiTheme="majorBidi" w:hAnsiTheme="majorBidi" w:cstheme="majorBidi"/>
          <w:szCs w:val="22"/>
          <w:lang w:eastAsia="zh-CN"/>
        </w:rPr>
        <w:t>’</w:t>
      </w:r>
      <w:r w:rsidR="009B11C2">
        <w:rPr>
          <w:rFonts w:asciiTheme="majorBidi" w:hAnsiTheme="majorBidi" w:cstheme="majorBidi"/>
          <w:szCs w:val="22"/>
          <w:lang w:eastAsia="zh-CN"/>
        </w:rPr>
        <w:t xml:space="preserve">s vision on the preventive agenda was forthcoming. </w:t>
      </w:r>
    </w:p>
    <w:p w14:paraId="27EA72D8" w14:textId="77777777" w:rsidR="00F63C03" w:rsidRDefault="00F63C03" w:rsidP="00F63C03">
      <w:pPr>
        <w:tabs>
          <w:tab w:val="clear" w:pos="567"/>
          <w:tab w:val="clear" w:pos="992"/>
        </w:tabs>
        <w:spacing w:before="0" w:line="240" w:lineRule="auto"/>
        <w:jc w:val="left"/>
      </w:pPr>
    </w:p>
    <w:p w14:paraId="68448622" w14:textId="3B26174F" w:rsidR="009B11C2" w:rsidRDefault="00F63C03" w:rsidP="00B651F4">
      <w:pPr>
        <w:tabs>
          <w:tab w:val="clear" w:pos="567"/>
          <w:tab w:val="clear" w:pos="992"/>
        </w:tabs>
        <w:spacing w:before="0" w:line="240" w:lineRule="auto"/>
      </w:pPr>
      <w:r w:rsidRPr="00F63C03">
        <w:t xml:space="preserve">Reflecting on the IASC and its potential contribution, he highlighted the opportunity to build on the success </w:t>
      </w:r>
      <w:r>
        <w:t xml:space="preserve">already </w:t>
      </w:r>
      <w:r w:rsidRPr="00F63C03">
        <w:t>achieved over the last 25 years in achieving greater coherence within the humanitarian community.</w:t>
      </w:r>
      <w:r w:rsidR="00CD349A">
        <w:t xml:space="preserve"> </w:t>
      </w:r>
      <w:r w:rsidR="00D56818">
        <w:t xml:space="preserve">He </w:t>
      </w:r>
      <w:r w:rsidRPr="00F63C03">
        <w:t xml:space="preserve">suggested the IASC should now look at achieving coherence and more consistent engagement </w:t>
      </w:r>
      <w:r w:rsidRPr="00B2011F">
        <w:rPr>
          <w:i/>
          <w:iCs/>
        </w:rPr>
        <w:t>beyond</w:t>
      </w:r>
      <w:r w:rsidRPr="00F63C03">
        <w:t xml:space="preserve"> its </w:t>
      </w:r>
      <w:r>
        <w:t xml:space="preserve">own </w:t>
      </w:r>
      <w:r w:rsidRPr="00F63C03">
        <w:t>humanitarian community and join the effort to break down siloes.</w:t>
      </w:r>
      <w:r w:rsidR="00035CF0">
        <w:t xml:space="preserve"> </w:t>
      </w:r>
      <w:r>
        <w:t>In discussion, WG participants generally welcomed the emphasis on working more closely together, the opportunities for innovation, and focus on co</w:t>
      </w:r>
      <w:r w:rsidR="00035CF0">
        <w:t xml:space="preserve">llective results. Members asked on the new incentives for collaboration, including around the New Way of Working, while stressing the value and importance of finding modalities to ensure the IASC voice, including that of non-UN actors, is heard in the various structures. Mr. Hochschild noted that UN </w:t>
      </w:r>
      <w:r>
        <w:t>leaders are now being held accountable not only for the efficiencies within their own organisations, but also for their accountability to collective results</w:t>
      </w:r>
      <w:r w:rsidR="00035CF0">
        <w:t xml:space="preserve">. He </w:t>
      </w:r>
      <w:r w:rsidR="009F7729">
        <w:t xml:space="preserve">indicated that the ERC/DERC currently bring the IASC community voice into the EC/DC, which other agencies being brought into relevant discussions, while the Deputy Secretary-General is also setting up an Advisory Panel on achieving the SDGs which will include both UN and non-UN actors. Responding on the future of the RC/HC role, he indicated that </w:t>
      </w:r>
      <w:r w:rsidR="00100E09">
        <w:t xml:space="preserve">the focus is on ensuring that the RC role is </w:t>
      </w:r>
      <w:r w:rsidR="00100E09">
        <w:lastRenderedPageBreak/>
        <w:t xml:space="preserve">empowered, better equipped, and with better guidance on cross-cutting issues in particular, to perform their duties.  </w:t>
      </w:r>
    </w:p>
    <w:p w14:paraId="27DAB300" w14:textId="77777777" w:rsidR="00100E09" w:rsidRPr="00100E09" w:rsidRDefault="00100E09" w:rsidP="00100E09">
      <w:pPr>
        <w:tabs>
          <w:tab w:val="clear" w:pos="567"/>
          <w:tab w:val="clear" w:pos="992"/>
        </w:tabs>
        <w:spacing w:before="0" w:line="240" w:lineRule="auto"/>
      </w:pPr>
    </w:p>
    <w:p w14:paraId="0C11C904" w14:textId="77777777" w:rsidR="00BD05E5" w:rsidRPr="00BD05E5" w:rsidRDefault="00F01D99" w:rsidP="00BD05E5">
      <w:pPr>
        <w:pStyle w:val="ListParagraph"/>
        <w:numPr>
          <w:ilvl w:val="0"/>
          <w:numId w:val="13"/>
        </w:numPr>
        <w:spacing w:before="0" w:after="240"/>
        <w:rPr>
          <w:rFonts w:asciiTheme="majorBidi" w:hAnsiTheme="majorBidi" w:cstheme="majorBidi"/>
          <w:b/>
          <w:bCs/>
          <w:szCs w:val="22"/>
        </w:rPr>
      </w:pPr>
      <w:r w:rsidRPr="00F01D99">
        <w:rPr>
          <w:rFonts w:asciiTheme="majorBidi" w:hAnsiTheme="majorBidi" w:cstheme="majorBidi"/>
          <w:b/>
          <w:bCs/>
          <w:szCs w:val="22"/>
        </w:rPr>
        <w:t>Internally Displaced Persons</w:t>
      </w:r>
      <w:r w:rsidR="00BD05E5" w:rsidRPr="00BD05E5">
        <w:rPr>
          <w:rFonts w:asciiTheme="majorBidi" w:hAnsiTheme="majorBidi" w:cstheme="majorBidi"/>
          <w:b/>
          <w:bCs/>
          <w:i/>
          <w:iCs/>
          <w:color w:val="0070C0"/>
          <w:szCs w:val="22"/>
        </w:rPr>
        <w:t xml:space="preserve"> </w:t>
      </w:r>
    </w:p>
    <w:p w14:paraId="215952E8" w14:textId="77777777" w:rsidR="00BD05E5" w:rsidRDefault="00BD05E5" w:rsidP="00BD05E5">
      <w:pPr>
        <w:pStyle w:val="ListParagraph"/>
        <w:spacing w:before="0" w:after="240"/>
        <w:ind w:left="567"/>
        <w:rPr>
          <w:rFonts w:asciiTheme="majorBidi" w:hAnsiTheme="majorBidi" w:cstheme="majorBidi"/>
          <w:b/>
          <w:bCs/>
          <w:szCs w:val="22"/>
        </w:rPr>
      </w:pPr>
      <w:r>
        <w:rPr>
          <w:rFonts w:asciiTheme="majorBidi" w:hAnsiTheme="majorBidi" w:cstheme="majorBidi"/>
          <w:b/>
          <w:bCs/>
          <w:i/>
          <w:iCs/>
          <w:color w:val="0070C0"/>
          <w:szCs w:val="22"/>
        </w:rPr>
        <w:t>Facilitated by: Ms</w:t>
      </w:r>
      <w:r w:rsidR="00B2011F">
        <w:rPr>
          <w:rFonts w:asciiTheme="majorBidi" w:hAnsiTheme="majorBidi" w:cstheme="majorBidi"/>
          <w:b/>
          <w:bCs/>
          <w:i/>
          <w:iCs/>
          <w:color w:val="0070C0"/>
          <w:szCs w:val="22"/>
        </w:rPr>
        <w:t>.</w:t>
      </w:r>
      <w:r>
        <w:rPr>
          <w:rFonts w:asciiTheme="majorBidi" w:hAnsiTheme="majorBidi" w:cstheme="majorBidi"/>
          <w:b/>
          <w:bCs/>
          <w:i/>
          <w:iCs/>
          <w:color w:val="0070C0"/>
          <w:szCs w:val="22"/>
        </w:rPr>
        <w:t xml:space="preserve"> Ugochi Daniels, UNFPA</w:t>
      </w:r>
    </w:p>
    <w:p w14:paraId="7ACE4773" w14:textId="77777777" w:rsidR="00126C18" w:rsidRDefault="00126C18" w:rsidP="00751BCA">
      <w:pPr>
        <w:tabs>
          <w:tab w:val="clear" w:pos="567"/>
          <w:tab w:val="clear" w:pos="992"/>
        </w:tabs>
        <w:spacing w:before="0" w:line="240" w:lineRule="auto"/>
        <w:rPr>
          <w:rFonts w:asciiTheme="majorBidi" w:hAnsiTheme="majorBidi" w:cstheme="majorBidi"/>
          <w:b/>
          <w:bCs/>
          <w:i/>
          <w:iCs/>
          <w:color w:val="0070C0"/>
          <w:szCs w:val="22"/>
        </w:rPr>
      </w:pPr>
      <w:r>
        <w:t>In October 2016, the WG agreed the importance of sustained attention to IDPs, and the need for further reflection on strategies to ensure adequate protection and assistance for IDPs, as well as to prevent</w:t>
      </w:r>
      <w:r w:rsidR="009960AE">
        <w:t xml:space="preserve"> and reduce such displacement. </w:t>
      </w:r>
      <w:r w:rsidR="00252DE4">
        <w:t xml:space="preserve">The discussion provided an opportunity, through presentations on four current initiatives, to strengthen the response and raise the visibility for IDPs, understand where there are gaps in or issues with the IDP response, and where – collectively – work should be intensified. </w:t>
      </w:r>
    </w:p>
    <w:p w14:paraId="5697F752" w14:textId="77777777" w:rsidR="00126C18" w:rsidRDefault="00126C18" w:rsidP="00751BCA">
      <w:pPr>
        <w:tabs>
          <w:tab w:val="clear" w:pos="567"/>
          <w:tab w:val="clear" w:pos="992"/>
        </w:tabs>
        <w:spacing w:before="0" w:line="240" w:lineRule="auto"/>
        <w:rPr>
          <w:rFonts w:asciiTheme="majorBidi" w:hAnsiTheme="majorBidi" w:cstheme="majorBidi"/>
          <w:b/>
          <w:bCs/>
          <w:i/>
          <w:iCs/>
          <w:color w:val="0070C0"/>
          <w:szCs w:val="22"/>
        </w:rPr>
      </w:pPr>
    </w:p>
    <w:p w14:paraId="1EF7D809" w14:textId="02BCBE7D" w:rsidR="005A44DD" w:rsidRDefault="005A44DD" w:rsidP="004B50EA">
      <w:pPr>
        <w:tabs>
          <w:tab w:val="clear" w:pos="567"/>
          <w:tab w:val="clear" w:pos="992"/>
        </w:tabs>
        <w:spacing w:before="0" w:line="240" w:lineRule="auto"/>
        <w:rPr>
          <w:rFonts w:asciiTheme="majorBidi" w:hAnsiTheme="majorBidi" w:cstheme="majorBidi"/>
          <w:b/>
          <w:bCs/>
          <w:i/>
          <w:iCs/>
          <w:color w:val="0070C0"/>
          <w:szCs w:val="22"/>
        </w:rPr>
      </w:pPr>
      <w:r>
        <w:rPr>
          <w:rFonts w:asciiTheme="majorBidi" w:hAnsiTheme="majorBidi" w:cstheme="majorBidi"/>
          <w:b/>
          <w:bCs/>
          <w:i/>
          <w:iCs/>
          <w:color w:val="0070C0"/>
          <w:szCs w:val="22"/>
        </w:rPr>
        <w:t xml:space="preserve">Professor Walter Kaelin </w:t>
      </w:r>
      <w:r>
        <w:rPr>
          <w:rFonts w:asciiTheme="majorBidi" w:hAnsiTheme="majorBidi" w:cstheme="majorBidi"/>
          <w:bCs/>
          <w:iCs/>
          <w:szCs w:val="22"/>
        </w:rPr>
        <w:t xml:space="preserve">shared an overview and recommendations from an OCHA-commissioned study: </w:t>
      </w:r>
      <w:r w:rsidRPr="005A44DD">
        <w:rPr>
          <w:rFonts w:asciiTheme="majorBidi" w:hAnsiTheme="majorBidi" w:cstheme="majorBidi"/>
          <w:bCs/>
          <w:i/>
          <w:iCs/>
          <w:szCs w:val="22"/>
        </w:rPr>
        <w:t>Breaking the Impasse: Reducing Protracted Internal Displacement as a Collective Outcome</w:t>
      </w:r>
      <w:r>
        <w:rPr>
          <w:rFonts w:asciiTheme="majorBidi" w:hAnsiTheme="majorBidi" w:cstheme="majorBidi"/>
          <w:bCs/>
          <w:iCs/>
          <w:szCs w:val="22"/>
        </w:rPr>
        <w:t>.</w:t>
      </w:r>
      <w:r w:rsidR="009960AE">
        <w:rPr>
          <w:rFonts w:asciiTheme="majorBidi" w:hAnsiTheme="majorBidi" w:cstheme="majorBidi"/>
          <w:bCs/>
          <w:iCs/>
          <w:szCs w:val="22"/>
        </w:rPr>
        <w:t xml:space="preserve"> He highlighted the analysis of what is meant by, </w:t>
      </w:r>
      <w:r w:rsidR="00242E45">
        <w:rPr>
          <w:rFonts w:asciiTheme="majorBidi" w:hAnsiTheme="majorBidi" w:cstheme="majorBidi"/>
          <w:bCs/>
          <w:iCs/>
          <w:szCs w:val="22"/>
        </w:rPr>
        <w:t xml:space="preserve">the </w:t>
      </w:r>
      <w:r w:rsidR="009960AE">
        <w:rPr>
          <w:rFonts w:asciiTheme="majorBidi" w:hAnsiTheme="majorBidi" w:cstheme="majorBidi"/>
          <w:bCs/>
          <w:iCs/>
          <w:szCs w:val="22"/>
        </w:rPr>
        <w:t xml:space="preserve">causes for, and the impact of, protracted displacement on IDPs, host communities, local governments and others. The study </w:t>
      </w:r>
      <w:r w:rsidR="00242E45">
        <w:rPr>
          <w:rFonts w:asciiTheme="majorBidi" w:hAnsiTheme="majorBidi" w:cstheme="majorBidi"/>
          <w:bCs/>
          <w:iCs/>
          <w:szCs w:val="22"/>
        </w:rPr>
        <w:t>proposes a</w:t>
      </w:r>
      <w:r w:rsidR="009960AE">
        <w:rPr>
          <w:rFonts w:asciiTheme="majorBidi" w:hAnsiTheme="majorBidi" w:cstheme="majorBidi"/>
          <w:bCs/>
          <w:iCs/>
          <w:szCs w:val="22"/>
        </w:rPr>
        <w:t xml:space="preserve"> move from programme outputs t</w:t>
      </w:r>
      <w:r w:rsidR="004858F8">
        <w:rPr>
          <w:rFonts w:asciiTheme="majorBidi" w:hAnsiTheme="majorBidi" w:cstheme="majorBidi"/>
          <w:bCs/>
          <w:iCs/>
          <w:szCs w:val="22"/>
        </w:rPr>
        <w:t xml:space="preserve">o collective outcomes that prevent and address </w:t>
      </w:r>
      <w:r w:rsidR="004B50EA">
        <w:rPr>
          <w:rFonts w:asciiTheme="majorBidi" w:hAnsiTheme="majorBidi" w:cstheme="majorBidi"/>
          <w:bCs/>
          <w:iCs/>
          <w:szCs w:val="22"/>
        </w:rPr>
        <w:t xml:space="preserve">internal </w:t>
      </w:r>
      <w:r w:rsidR="004858F8" w:rsidRPr="004858F8">
        <w:rPr>
          <w:rFonts w:asciiTheme="majorBidi" w:hAnsiTheme="majorBidi" w:cstheme="majorBidi"/>
          <w:bCs/>
          <w:iCs/>
          <w:szCs w:val="22"/>
          <w:u w:val="single"/>
        </w:rPr>
        <w:t>protracted</w:t>
      </w:r>
      <w:r w:rsidR="004858F8">
        <w:rPr>
          <w:rFonts w:asciiTheme="majorBidi" w:hAnsiTheme="majorBidi" w:cstheme="majorBidi"/>
          <w:bCs/>
          <w:iCs/>
          <w:szCs w:val="22"/>
        </w:rPr>
        <w:t xml:space="preserve"> displacement. He noted the focus on working with both humanitarian and development actors, reinforcing the relevance of early action to strengthen coping mechanisms, even when durable sol</w:t>
      </w:r>
      <w:r w:rsidR="00093F82">
        <w:rPr>
          <w:rFonts w:asciiTheme="majorBidi" w:hAnsiTheme="majorBidi" w:cstheme="majorBidi"/>
          <w:bCs/>
          <w:iCs/>
          <w:szCs w:val="22"/>
        </w:rPr>
        <w:t xml:space="preserve">utions are not yet possible. He highlighted seven elements contributing to collective outcomes: joined-up analysis and a clear evidence base; definition of outcomes; a strategic outlook; inclusive planning processes; adequate norms and institutions; outcome-orientated programmes; and transversal financing. </w:t>
      </w:r>
      <w:r w:rsidR="00242E45">
        <w:rPr>
          <w:rFonts w:asciiTheme="majorBidi" w:hAnsiTheme="majorBidi" w:cstheme="majorBidi"/>
          <w:bCs/>
          <w:iCs/>
          <w:szCs w:val="22"/>
        </w:rPr>
        <w:t>He stressed</w:t>
      </w:r>
      <w:r w:rsidR="004B50EA">
        <w:rPr>
          <w:rFonts w:asciiTheme="majorBidi" w:hAnsiTheme="majorBidi" w:cstheme="majorBidi"/>
          <w:bCs/>
          <w:iCs/>
          <w:szCs w:val="22"/>
        </w:rPr>
        <w:t xml:space="preserve"> – in addition to and in coordination with life-saving activities - </w:t>
      </w:r>
      <w:r w:rsidR="00242E45">
        <w:rPr>
          <w:rFonts w:asciiTheme="majorBidi" w:hAnsiTheme="majorBidi" w:cstheme="majorBidi"/>
          <w:bCs/>
          <w:iCs/>
          <w:szCs w:val="22"/>
        </w:rPr>
        <w:t xml:space="preserve"> the need </w:t>
      </w:r>
      <w:r w:rsidR="00C6388F">
        <w:rPr>
          <w:rFonts w:asciiTheme="majorBidi" w:hAnsiTheme="majorBidi" w:cstheme="majorBidi"/>
          <w:bCs/>
          <w:iCs/>
          <w:szCs w:val="22"/>
        </w:rPr>
        <w:t xml:space="preserve"> to analyse the causes for displacement, many of which are often of political and developmental nature</w:t>
      </w:r>
      <w:r w:rsidR="00D56818">
        <w:rPr>
          <w:rFonts w:asciiTheme="majorBidi" w:hAnsiTheme="majorBidi" w:cstheme="majorBidi"/>
          <w:bCs/>
          <w:iCs/>
          <w:szCs w:val="22"/>
        </w:rPr>
        <w:t>,</w:t>
      </w:r>
      <w:r w:rsidR="00C6388F">
        <w:rPr>
          <w:rFonts w:asciiTheme="majorBidi" w:hAnsiTheme="majorBidi" w:cstheme="majorBidi"/>
          <w:bCs/>
          <w:iCs/>
          <w:szCs w:val="22"/>
        </w:rPr>
        <w:t xml:space="preserve"> and the need </w:t>
      </w:r>
      <w:r w:rsidR="00242E45">
        <w:rPr>
          <w:rFonts w:asciiTheme="majorBidi" w:hAnsiTheme="majorBidi" w:cstheme="majorBidi"/>
          <w:bCs/>
          <w:iCs/>
          <w:szCs w:val="22"/>
        </w:rPr>
        <w:t xml:space="preserve">for a </w:t>
      </w:r>
      <w:r w:rsidR="004B50EA">
        <w:rPr>
          <w:rFonts w:asciiTheme="majorBidi" w:hAnsiTheme="majorBidi" w:cstheme="majorBidi"/>
          <w:bCs/>
          <w:iCs/>
          <w:szCs w:val="22"/>
        </w:rPr>
        <w:t xml:space="preserve">more </w:t>
      </w:r>
      <w:r w:rsidR="00242E45">
        <w:rPr>
          <w:rFonts w:asciiTheme="majorBidi" w:hAnsiTheme="majorBidi" w:cstheme="majorBidi"/>
          <w:bCs/>
          <w:iCs/>
          <w:szCs w:val="22"/>
        </w:rPr>
        <w:t xml:space="preserve">developmental approach to protracted </w:t>
      </w:r>
      <w:r w:rsidR="004B50EA">
        <w:rPr>
          <w:rFonts w:asciiTheme="majorBidi" w:hAnsiTheme="majorBidi" w:cstheme="majorBidi"/>
          <w:bCs/>
          <w:iCs/>
          <w:szCs w:val="22"/>
        </w:rPr>
        <w:t xml:space="preserve">internal </w:t>
      </w:r>
      <w:r w:rsidR="00242E45">
        <w:rPr>
          <w:rFonts w:asciiTheme="majorBidi" w:hAnsiTheme="majorBidi" w:cstheme="majorBidi"/>
          <w:bCs/>
          <w:iCs/>
          <w:szCs w:val="22"/>
        </w:rPr>
        <w:t>displacement, that understands IDPs require both immediate support, but also livelihoods, security of tenure for housing and land; aims to reduce poverty and vulnerabilities; focuses on area-based approaches</w:t>
      </w:r>
      <w:r w:rsidR="004B50EA">
        <w:rPr>
          <w:rFonts w:asciiTheme="majorBidi" w:hAnsiTheme="majorBidi" w:cstheme="majorBidi"/>
          <w:bCs/>
          <w:iCs/>
          <w:szCs w:val="22"/>
        </w:rPr>
        <w:t xml:space="preserve"> including host communities</w:t>
      </w:r>
      <w:r w:rsidR="00242E45">
        <w:rPr>
          <w:rFonts w:asciiTheme="majorBidi" w:hAnsiTheme="majorBidi" w:cstheme="majorBidi"/>
          <w:bCs/>
          <w:iCs/>
          <w:szCs w:val="22"/>
        </w:rPr>
        <w:t>, rather than individual beneficiaries; promotes a whole-of-government approach; looks at institutional and systemic issues (such as fiscal decentralization). He encouraged humanitarian actors to integrate a resilience perspective into their responses. The next steps include proposed multi-year action in 3-5 countries, support for UNCT</w:t>
      </w:r>
      <w:r w:rsidR="009B11C2">
        <w:rPr>
          <w:rFonts w:asciiTheme="majorBidi" w:hAnsiTheme="majorBidi" w:cstheme="majorBidi"/>
          <w:bCs/>
          <w:iCs/>
          <w:szCs w:val="22"/>
        </w:rPr>
        <w:t>s</w:t>
      </w:r>
      <w:r w:rsidR="00242E45">
        <w:rPr>
          <w:rFonts w:asciiTheme="majorBidi" w:hAnsiTheme="majorBidi" w:cstheme="majorBidi"/>
          <w:bCs/>
          <w:iCs/>
          <w:szCs w:val="22"/>
        </w:rPr>
        <w:t>/HCTs with guidance on more coherent use of existing planning tools, the potential for new planning tools, ensuring monitoring and evaluation systems focused on outcomes, clarifying/strengthening the role of RC</w:t>
      </w:r>
      <w:r w:rsidR="00B2011F">
        <w:rPr>
          <w:rFonts w:asciiTheme="majorBidi" w:hAnsiTheme="majorBidi" w:cstheme="majorBidi"/>
          <w:bCs/>
          <w:iCs/>
          <w:szCs w:val="22"/>
        </w:rPr>
        <w:t>/HCs, engaging with the SG/DSG’</w:t>
      </w:r>
      <w:r w:rsidR="00242E45">
        <w:rPr>
          <w:rFonts w:asciiTheme="majorBidi" w:hAnsiTheme="majorBidi" w:cstheme="majorBidi"/>
          <w:bCs/>
          <w:iCs/>
          <w:szCs w:val="22"/>
        </w:rPr>
        <w:t xml:space="preserve">s system-wide internal displacement initiative, </w:t>
      </w:r>
      <w:r w:rsidR="00CE6A91">
        <w:rPr>
          <w:rFonts w:asciiTheme="majorBidi" w:hAnsiTheme="majorBidi" w:cstheme="majorBidi"/>
          <w:bCs/>
          <w:iCs/>
          <w:szCs w:val="22"/>
        </w:rPr>
        <w:t xml:space="preserve">revising the SG’s 2011/20 decision on durable solutions </w:t>
      </w:r>
      <w:r w:rsidR="00242E45">
        <w:rPr>
          <w:rFonts w:asciiTheme="majorBidi" w:hAnsiTheme="majorBidi" w:cstheme="majorBidi"/>
          <w:bCs/>
          <w:iCs/>
          <w:szCs w:val="22"/>
        </w:rPr>
        <w:t xml:space="preserve">and considering a 2018 high-level event. </w:t>
      </w:r>
    </w:p>
    <w:p w14:paraId="2527A38B" w14:textId="77777777" w:rsidR="005A44DD" w:rsidRDefault="005A44DD" w:rsidP="00751BCA">
      <w:pPr>
        <w:tabs>
          <w:tab w:val="clear" w:pos="567"/>
          <w:tab w:val="clear" w:pos="992"/>
        </w:tabs>
        <w:spacing w:before="0" w:line="240" w:lineRule="auto"/>
        <w:rPr>
          <w:rFonts w:asciiTheme="majorBidi" w:hAnsiTheme="majorBidi" w:cstheme="majorBidi"/>
          <w:b/>
          <w:bCs/>
          <w:i/>
          <w:iCs/>
          <w:color w:val="0070C0"/>
          <w:szCs w:val="22"/>
        </w:rPr>
      </w:pPr>
    </w:p>
    <w:p w14:paraId="7CB9CFE7" w14:textId="77777777" w:rsidR="005A44DD" w:rsidRPr="00C53E55" w:rsidRDefault="00C53E55" w:rsidP="00751BCA">
      <w:pPr>
        <w:tabs>
          <w:tab w:val="clear" w:pos="567"/>
          <w:tab w:val="clear" w:pos="992"/>
        </w:tabs>
        <w:spacing w:before="0" w:line="240" w:lineRule="auto"/>
        <w:rPr>
          <w:rFonts w:asciiTheme="majorBidi" w:hAnsiTheme="majorBidi" w:cstheme="majorBidi"/>
          <w:bCs/>
          <w:iCs/>
          <w:szCs w:val="22"/>
        </w:rPr>
      </w:pPr>
      <w:r>
        <w:rPr>
          <w:rFonts w:asciiTheme="majorBidi" w:hAnsiTheme="majorBidi" w:cstheme="majorBidi"/>
          <w:b/>
          <w:bCs/>
          <w:i/>
          <w:iCs/>
          <w:color w:val="0070C0"/>
          <w:szCs w:val="22"/>
        </w:rPr>
        <w:t xml:space="preserve">Ms. Cecilia Jimenez-Damary, the </w:t>
      </w:r>
      <w:r w:rsidRPr="00C92E95">
        <w:rPr>
          <w:rFonts w:asciiTheme="majorBidi" w:hAnsiTheme="majorBidi" w:cstheme="majorBidi"/>
          <w:b/>
          <w:bCs/>
          <w:i/>
          <w:iCs/>
          <w:color w:val="0070C0"/>
          <w:szCs w:val="22"/>
        </w:rPr>
        <w:t>S</w:t>
      </w:r>
      <w:r>
        <w:rPr>
          <w:rFonts w:asciiTheme="majorBidi" w:hAnsiTheme="majorBidi" w:cstheme="majorBidi"/>
          <w:b/>
          <w:bCs/>
          <w:i/>
          <w:iCs/>
          <w:color w:val="0070C0"/>
          <w:szCs w:val="22"/>
        </w:rPr>
        <w:t xml:space="preserve">pecial </w:t>
      </w:r>
      <w:r w:rsidRPr="00C92E95">
        <w:rPr>
          <w:rFonts w:asciiTheme="majorBidi" w:hAnsiTheme="majorBidi" w:cstheme="majorBidi"/>
          <w:b/>
          <w:bCs/>
          <w:i/>
          <w:iCs/>
          <w:color w:val="0070C0"/>
          <w:szCs w:val="22"/>
        </w:rPr>
        <w:t>R</w:t>
      </w:r>
      <w:r>
        <w:rPr>
          <w:rFonts w:asciiTheme="majorBidi" w:hAnsiTheme="majorBidi" w:cstheme="majorBidi"/>
          <w:b/>
          <w:bCs/>
          <w:i/>
          <w:iCs/>
          <w:color w:val="0070C0"/>
          <w:szCs w:val="22"/>
        </w:rPr>
        <w:t>apporteur on the Human Rights of IDPs</w:t>
      </w:r>
      <w:r>
        <w:rPr>
          <w:rFonts w:asciiTheme="majorBidi" w:hAnsiTheme="majorBidi" w:cstheme="majorBidi"/>
          <w:bCs/>
          <w:iCs/>
          <w:color w:val="0070C0"/>
          <w:szCs w:val="22"/>
        </w:rPr>
        <w:t xml:space="preserve"> </w:t>
      </w:r>
      <w:r w:rsidR="005F4E37">
        <w:rPr>
          <w:rFonts w:asciiTheme="majorBidi" w:hAnsiTheme="majorBidi" w:cstheme="majorBidi"/>
          <w:bCs/>
          <w:iCs/>
          <w:szCs w:val="22"/>
        </w:rPr>
        <w:t xml:space="preserve">also emphasized the need for a comprehensive and agreed-upon evidence-base for measuring progress towards durable solutions and noted the work already undertaken to operationalise the </w:t>
      </w:r>
      <w:r w:rsidR="005F4E37" w:rsidRPr="00BD4901">
        <w:rPr>
          <w:rFonts w:asciiTheme="majorBidi" w:hAnsiTheme="majorBidi" w:cstheme="majorBidi"/>
          <w:bCs/>
          <w:i/>
          <w:iCs/>
          <w:szCs w:val="22"/>
        </w:rPr>
        <w:t>2010 IASC Framework on Durable Solutions for IDPs</w:t>
      </w:r>
      <w:r w:rsidR="005F4E37">
        <w:rPr>
          <w:rFonts w:asciiTheme="majorBidi" w:hAnsiTheme="majorBidi" w:cstheme="majorBidi"/>
          <w:bCs/>
          <w:iCs/>
          <w:szCs w:val="22"/>
        </w:rPr>
        <w:t>, the work being done by the Joint IDP profiling service (JIPS), and on-going development of indicators to measure progress and develop guidance and capacity-building material for governments. With the project now in piloting phase</w:t>
      </w:r>
      <w:r w:rsidR="008A7C83">
        <w:rPr>
          <w:rFonts w:asciiTheme="majorBidi" w:hAnsiTheme="majorBidi" w:cstheme="majorBidi"/>
          <w:bCs/>
          <w:iCs/>
          <w:szCs w:val="22"/>
        </w:rPr>
        <w:t xml:space="preserve">, </w:t>
      </w:r>
      <w:r w:rsidR="00BD4901">
        <w:rPr>
          <w:rFonts w:asciiTheme="majorBidi" w:hAnsiTheme="majorBidi" w:cstheme="majorBidi"/>
          <w:bCs/>
          <w:iCs/>
          <w:szCs w:val="22"/>
        </w:rPr>
        <w:t>which will inform the evidence-base</w:t>
      </w:r>
      <w:r w:rsidR="005F4E37">
        <w:rPr>
          <w:rFonts w:asciiTheme="majorBidi" w:hAnsiTheme="majorBidi" w:cstheme="majorBidi"/>
          <w:bCs/>
          <w:iCs/>
          <w:szCs w:val="22"/>
        </w:rPr>
        <w:t xml:space="preserve">, </w:t>
      </w:r>
      <w:r w:rsidR="00BD4901">
        <w:rPr>
          <w:rFonts w:asciiTheme="majorBidi" w:hAnsiTheme="majorBidi" w:cstheme="majorBidi"/>
          <w:bCs/>
          <w:iCs/>
          <w:szCs w:val="22"/>
        </w:rPr>
        <w:t>pilots</w:t>
      </w:r>
      <w:r w:rsidR="005F4E37">
        <w:rPr>
          <w:rFonts w:asciiTheme="majorBidi" w:hAnsiTheme="majorBidi" w:cstheme="majorBidi"/>
          <w:bCs/>
          <w:iCs/>
          <w:szCs w:val="22"/>
        </w:rPr>
        <w:t xml:space="preserve"> are planned in Colombia, Georgia, Iraq, Kosovo, Myanmar, Ukraine and Sudan. </w:t>
      </w:r>
      <w:r w:rsidR="00BD4901">
        <w:rPr>
          <w:rFonts w:asciiTheme="majorBidi" w:hAnsiTheme="majorBidi" w:cstheme="majorBidi"/>
          <w:bCs/>
          <w:iCs/>
          <w:szCs w:val="22"/>
        </w:rPr>
        <w:t xml:space="preserve"> She noted the importance of a ‘whole-of-Government’ approach and of ensuring IDP participation in decision-making. Project work should be completed by end December 2017, with endorsement sought from IASC Principals for the guidance and indicator library in 2018. </w:t>
      </w:r>
    </w:p>
    <w:p w14:paraId="7F69CAE6" w14:textId="77777777" w:rsidR="00C53E55" w:rsidRDefault="00C53E55" w:rsidP="00751BCA">
      <w:pPr>
        <w:tabs>
          <w:tab w:val="clear" w:pos="567"/>
          <w:tab w:val="clear" w:pos="992"/>
        </w:tabs>
        <w:spacing w:before="0" w:line="240" w:lineRule="auto"/>
        <w:rPr>
          <w:rFonts w:asciiTheme="majorBidi" w:hAnsiTheme="majorBidi" w:cstheme="majorBidi"/>
          <w:b/>
          <w:bCs/>
          <w:i/>
          <w:iCs/>
          <w:color w:val="0070C0"/>
          <w:szCs w:val="22"/>
        </w:rPr>
      </w:pPr>
    </w:p>
    <w:p w14:paraId="1899CEAC" w14:textId="2B92B3A0" w:rsidR="00C53E55" w:rsidRPr="00BD4901" w:rsidRDefault="00BD4901" w:rsidP="00AB07ED">
      <w:pPr>
        <w:tabs>
          <w:tab w:val="clear" w:pos="567"/>
          <w:tab w:val="clear" w:pos="992"/>
        </w:tabs>
        <w:spacing w:before="0" w:line="240" w:lineRule="auto"/>
        <w:rPr>
          <w:rFonts w:asciiTheme="majorBidi" w:hAnsiTheme="majorBidi" w:cstheme="majorBidi"/>
          <w:bCs/>
          <w:iCs/>
          <w:szCs w:val="22"/>
        </w:rPr>
      </w:pPr>
      <w:r w:rsidRPr="00C92E95">
        <w:rPr>
          <w:rFonts w:asciiTheme="majorBidi" w:hAnsiTheme="majorBidi" w:cstheme="majorBidi"/>
          <w:b/>
          <w:bCs/>
          <w:i/>
          <w:iCs/>
          <w:color w:val="0070C0"/>
          <w:szCs w:val="22"/>
        </w:rPr>
        <w:t>Ms. Tristan Burnett (IOM)</w:t>
      </w:r>
      <w:r>
        <w:rPr>
          <w:rFonts w:asciiTheme="majorBidi" w:hAnsiTheme="majorBidi" w:cstheme="majorBidi"/>
          <w:b/>
          <w:bCs/>
          <w:i/>
          <w:iCs/>
          <w:color w:val="0070C0"/>
          <w:szCs w:val="22"/>
        </w:rPr>
        <w:t xml:space="preserve"> </w:t>
      </w:r>
      <w:r>
        <w:rPr>
          <w:rFonts w:asciiTheme="majorBidi" w:hAnsiTheme="majorBidi" w:cstheme="majorBidi"/>
          <w:bCs/>
          <w:iCs/>
          <w:szCs w:val="22"/>
        </w:rPr>
        <w:t xml:space="preserve">outlined IOM’s new </w:t>
      </w:r>
      <w:r w:rsidRPr="00BD4901">
        <w:rPr>
          <w:rFonts w:asciiTheme="majorBidi" w:hAnsiTheme="majorBidi" w:cstheme="majorBidi"/>
          <w:bCs/>
          <w:i/>
          <w:iCs/>
          <w:szCs w:val="22"/>
        </w:rPr>
        <w:t>Framework for Addressing Internal Displacement</w:t>
      </w:r>
      <w:r>
        <w:rPr>
          <w:rFonts w:asciiTheme="majorBidi" w:hAnsiTheme="majorBidi" w:cstheme="majorBidi"/>
          <w:bCs/>
          <w:iCs/>
          <w:szCs w:val="22"/>
        </w:rPr>
        <w:t>, currently being consulted with key stakeholders to ensure transparency on the approach, and</w:t>
      </w:r>
      <w:r w:rsidR="00AB07ED">
        <w:rPr>
          <w:rFonts w:asciiTheme="majorBidi" w:hAnsiTheme="majorBidi" w:cstheme="majorBidi"/>
          <w:bCs/>
          <w:iCs/>
          <w:szCs w:val="22"/>
        </w:rPr>
        <w:t xml:space="preserve"> gather</w:t>
      </w:r>
      <w:r>
        <w:rPr>
          <w:rFonts w:asciiTheme="majorBidi" w:hAnsiTheme="majorBidi" w:cstheme="majorBidi"/>
          <w:bCs/>
          <w:iCs/>
          <w:szCs w:val="22"/>
        </w:rPr>
        <w:t xml:space="preserve"> insights </w:t>
      </w:r>
      <w:r w:rsidR="00AB07ED">
        <w:rPr>
          <w:rFonts w:asciiTheme="majorBidi" w:hAnsiTheme="majorBidi" w:cstheme="majorBidi"/>
          <w:bCs/>
          <w:iCs/>
          <w:szCs w:val="22"/>
        </w:rPr>
        <w:t xml:space="preserve">to ensure that the Framework reflects how IOM can best support States in their efforts to address internal displacement challenges and its </w:t>
      </w:r>
      <w:r w:rsidR="00AB07ED" w:rsidRPr="00E53F64">
        <w:rPr>
          <w:rFonts w:asciiTheme="majorBidi" w:hAnsiTheme="majorBidi" w:cstheme="majorBidi"/>
          <w:bCs/>
          <w:iCs/>
          <w:szCs w:val="22"/>
        </w:rPr>
        <w:t>ro</w:t>
      </w:r>
      <w:r w:rsidR="00AB07ED">
        <w:rPr>
          <w:rFonts w:asciiTheme="majorBidi" w:hAnsiTheme="majorBidi" w:cstheme="majorBidi"/>
          <w:bCs/>
          <w:iCs/>
          <w:szCs w:val="22"/>
        </w:rPr>
        <w:t>le within the collective system</w:t>
      </w:r>
      <w:r>
        <w:rPr>
          <w:rFonts w:asciiTheme="majorBidi" w:hAnsiTheme="majorBidi" w:cstheme="majorBidi"/>
          <w:bCs/>
          <w:iCs/>
          <w:szCs w:val="22"/>
        </w:rPr>
        <w:t xml:space="preserve">. She noted that IOM is already a consistent actor in the collective response to IDPs, and addressing displacement is a significant part </w:t>
      </w:r>
      <w:r w:rsidR="00925072">
        <w:rPr>
          <w:rFonts w:asciiTheme="majorBidi" w:hAnsiTheme="majorBidi" w:cstheme="majorBidi"/>
          <w:bCs/>
          <w:iCs/>
          <w:szCs w:val="22"/>
        </w:rPr>
        <w:t xml:space="preserve">of its emergency response work. In the face of changes in the contemporary landscape, IOM’s framework sets out its organisational priorities, the principles for its engagement, including its support to national and local authorities, and a people-centred approach, respecting humanitarian principles, work to increase resilience and self-sufficiency of IDPs and a call for greater preparedness and risk reduction. </w:t>
      </w:r>
      <w:r w:rsidR="00AB07ED">
        <w:rPr>
          <w:rFonts w:asciiTheme="majorBidi" w:hAnsiTheme="majorBidi" w:cstheme="majorBidi"/>
          <w:bCs/>
          <w:iCs/>
          <w:szCs w:val="22"/>
        </w:rPr>
        <w:t xml:space="preserve">The Framework was developed in order </w:t>
      </w:r>
      <w:r w:rsidR="00AB07ED" w:rsidRPr="00E53F64">
        <w:rPr>
          <w:rFonts w:asciiTheme="majorBidi" w:hAnsiTheme="majorBidi" w:cstheme="majorBidi"/>
          <w:bCs/>
          <w:iCs/>
          <w:szCs w:val="22"/>
        </w:rPr>
        <w:t>to ensure that IOM operations follow strategic approaches that are contextual, comprehensive, collaborative, innovative</w:t>
      </w:r>
      <w:r w:rsidR="00AB07ED">
        <w:rPr>
          <w:rFonts w:asciiTheme="majorBidi" w:hAnsiTheme="majorBidi" w:cstheme="majorBidi"/>
          <w:bCs/>
          <w:iCs/>
          <w:szCs w:val="22"/>
        </w:rPr>
        <w:t>, and</w:t>
      </w:r>
      <w:r w:rsidR="00AB07ED" w:rsidRPr="00E858A0">
        <w:rPr>
          <w:rFonts w:asciiTheme="majorBidi" w:hAnsiTheme="majorBidi" w:cstheme="majorBidi"/>
          <w:bCs/>
          <w:iCs/>
          <w:szCs w:val="22"/>
        </w:rPr>
        <w:t xml:space="preserve"> </w:t>
      </w:r>
      <w:r w:rsidR="00AB07ED" w:rsidRPr="00E53F64">
        <w:rPr>
          <w:rFonts w:asciiTheme="majorBidi" w:hAnsiTheme="majorBidi" w:cstheme="majorBidi"/>
          <w:bCs/>
          <w:iCs/>
          <w:szCs w:val="22"/>
        </w:rPr>
        <w:lastRenderedPageBreak/>
        <w:t>evidence-based</w:t>
      </w:r>
      <w:r w:rsidR="00AB07ED">
        <w:rPr>
          <w:rFonts w:asciiTheme="majorBidi" w:hAnsiTheme="majorBidi" w:cstheme="majorBidi"/>
          <w:bCs/>
          <w:iCs/>
          <w:szCs w:val="22"/>
        </w:rPr>
        <w:t xml:space="preserve">. The latter entails using data and analysis to understand mobility in crisis situations, including the extent of displacement and the changing needs and locations of IDPs through the IOM Displacement Tracking Matrix. </w:t>
      </w:r>
      <w:r w:rsidR="00925072">
        <w:rPr>
          <w:rFonts w:asciiTheme="majorBidi" w:hAnsiTheme="majorBidi" w:cstheme="majorBidi"/>
          <w:bCs/>
          <w:iCs/>
          <w:szCs w:val="22"/>
        </w:rPr>
        <w:t>Roll-out of the Framework will be part of a broader process</w:t>
      </w:r>
      <w:r w:rsidR="00AB07ED" w:rsidRPr="00AB07ED">
        <w:rPr>
          <w:rFonts w:asciiTheme="majorBidi" w:hAnsiTheme="majorBidi" w:cstheme="majorBidi"/>
          <w:bCs/>
          <w:iCs/>
          <w:szCs w:val="22"/>
        </w:rPr>
        <w:t xml:space="preserve"> </w:t>
      </w:r>
      <w:r w:rsidR="00AB07ED" w:rsidRPr="00177772">
        <w:rPr>
          <w:rFonts w:asciiTheme="majorBidi" w:hAnsiTheme="majorBidi" w:cstheme="majorBidi"/>
          <w:bCs/>
          <w:iCs/>
          <w:szCs w:val="22"/>
        </w:rPr>
        <w:t xml:space="preserve">to continually review IOM’s capacities and operations on </w:t>
      </w:r>
      <w:r w:rsidR="00AB07ED">
        <w:rPr>
          <w:rFonts w:asciiTheme="majorBidi" w:hAnsiTheme="majorBidi" w:cstheme="majorBidi"/>
          <w:bCs/>
          <w:iCs/>
          <w:szCs w:val="22"/>
        </w:rPr>
        <w:t>internal displacement</w:t>
      </w:r>
      <w:r w:rsidR="00925072">
        <w:rPr>
          <w:rFonts w:asciiTheme="majorBidi" w:hAnsiTheme="majorBidi" w:cstheme="majorBidi"/>
          <w:bCs/>
          <w:iCs/>
          <w:szCs w:val="22"/>
        </w:rPr>
        <w:t xml:space="preserve">.  </w:t>
      </w:r>
    </w:p>
    <w:p w14:paraId="5F9A4C5D" w14:textId="77777777" w:rsidR="00BD4901" w:rsidRDefault="00BD4901" w:rsidP="00751BCA">
      <w:pPr>
        <w:tabs>
          <w:tab w:val="clear" w:pos="567"/>
          <w:tab w:val="clear" w:pos="992"/>
        </w:tabs>
        <w:spacing w:before="0" w:line="240" w:lineRule="auto"/>
        <w:rPr>
          <w:rFonts w:asciiTheme="majorBidi" w:hAnsiTheme="majorBidi" w:cstheme="majorBidi"/>
          <w:b/>
          <w:bCs/>
          <w:i/>
          <w:iCs/>
          <w:color w:val="0070C0"/>
          <w:szCs w:val="22"/>
        </w:rPr>
      </w:pPr>
    </w:p>
    <w:p w14:paraId="3D70683F" w14:textId="19A17DAC" w:rsidR="00751BCA" w:rsidRDefault="00C92E95" w:rsidP="00CE6A91">
      <w:pPr>
        <w:tabs>
          <w:tab w:val="clear" w:pos="567"/>
          <w:tab w:val="clear" w:pos="992"/>
        </w:tabs>
        <w:spacing w:before="0" w:line="240" w:lineRule="auto"/>
        <w:rPr>
          <w:rFonts w:asciiTheme="majorBidi" w:hAnsiTheme="majorBidi" w:cstheme="majorBidi"/>
          <w:bCs/>
          <w:iCs/>
          <w:szCs w:val="22"/>
        </w:rPr>
      </w:pPr>
      <w:r w:rsidRPr="00C92E95">
        <w:rPr>
          <w:rFonts w:asciiTheme="majorBidi" w:hAnsiTheme="majorBidi" w:cstheme="majorBidi"/>
          <w:b/>
          <w:bCs/>
          <w:i/>
          <w:iCs/>
          <w:color w:val="0070C0"/>
          <w:szCs w:val="22"/>
        </w:rPr>
        <w:t>Mr. A</w:t>
      </w:r>
      <w:r w:rsidR="00597B11">
        <w:rPr>
          <w:rFonts w:asciiTheme="majorBidi" w:hAnsiTheme="majorBidi" w:cstheme="majorBidi"/>
          <w:b/>
          <w:bCs/>
          <w:i/>
          <w:iCs/>
          <w:color w:val="0070C0"/>
          <w:szCs w:val="22"/>
        </w:rPr>
        <w:t>rafat Jamal (UNHCR)</w:t>
      </w:r>
      <w:r w:rsidR="00925072">
        <w:rPr>
          <w:rFonts w:asciiTheme="majorBidi" w:hAnsiTheme="majorBidi" w:cstheme="majorBidi"/>
          <w:b/>
          <w:bCs/>
          <w:i/>
          <w:iCs/>
          <w:color w:val="0070C0"/>
          <w:szCs w:val="22"/>
        </w:rPr>
        <w:t xml:space="preserve"> </w:t>
      </w:r>
      <w:r w:rsidR="00925072">
        <w:rPr>
          <w:rFonts w:asciiTheme="majorBidi" w:hAnsiTheme="majorBidi" w:cstheme="majorBidi"/>
          <w:bCs/>
          <w:iCs/>
          <w:szCs w:val="22"/>
        </w:rPr>
        <w:t>outlined the focus of UNHCR</w:t>
      </w:r>
      <w:r w:rsidR="00D854C5">
        <w:rPr>
          <w:rFonts w:asciiTheme="majorBidi" w:hAnsiTheme="majorBidi" w:cstheme="majorBidi"/>
          <w:bCs/>
          <w:iCs/>
          <w:szCs w:val="22"/>
        </w:rPr>
        <w:t>’s</w:t>
      </w:r>
      <w:r w:rsidR="00925072">
        <w:rPr>
          <w:rFonts w:asciiTheme="majorBidi" w:hAnsiTheme="majorBidi" w:cstheme="majorBidi"/>
          <w:bCs/>
          <w:iCs/>
          <w:szCs w:val="22"/>
        </w:rPr>
        <w:t xml:space="preserve"> on-going internal review of its operations as a strong responder on displacement, including in its cluster role. </w:t>
      </w:r>
      <w:r w:rsidR="00853760">
        <w:rPr>
          <w:rFonts w:asciiTheme="majorBidi" w:hAnsiTheme="majorBidi" w:cstheme="majorBidi"/>
          <w:bCs/>
          <w:iCs/>
          <w:szCs w:val="22"/>
        </w:rPr>
        <w:t>Drawing from six geographically representative field situations</w:t>
      </w:r>
      <w:r w:rsidR="00597B11">
        <w:rPr>
          <w:rFonts w:asciiTheme="majorBidi" w:hAnsiTheme="majorBidi" w:cstheme="majorBidi"/>
          <w:bCs/>
          <w:iCs/>
          <w:szCs w:val="22"/>
        </w:rPr>
        <w:t xml:space="preserve"> (Iraq, Ukraine, South Sudan, CAR, Myanmar, Syria)</w:t>
      </w:r>
      <w:r w:rsidR="00853760">
        <w:rPr>
          <w:rFonts w:asciiTheme="majorBidi" w:hAnsiTheme="majorBidi" w:cstheme="majorBidi"/>
          <w:bCs/>
          <w:iCs/>
          <w:szCs w:val="22"/>
        </w:rPr>
        <w:t xml:space="preserve">, capturing the whole cycle of displacement, the </w:t>
      </w:r>
      <w:r w:rsidR="00CE6A91">
        <w:rPr>
          <w:rFonts w:asciiTheme="majorBidi" w:hAnsiTheme="majorBidi" w:cstheme="majorBidi"/>
          <w:bCs/>
          <w:iCs/>
          <w:szCs w:val="22"/>
        </w:rPr>
        <w:t xml:space="preserve">review </w:t>
      </w:r>
      <w:r w:rsidR="00853760">
        <w:rPr>
          <w:rFonts w:asciiTheme="majorBidi" w:hAnsiTheme="majorBidi" w:cstheme="majorBidi"/>
          <w:bCs/>
          <w:iCs/>
          <w:szCs w:val="22"/>
        </w:rPr>
        <w:t>analyses how UNHCR’s response can be more effective, predictable and coherent</w:t>
      </w:r>
      <w:r w:rsidR="009A0F63">
        <w:rPr>
          <w:rFonts w:asciiTheme="majorBidi" w:hAnsiTheme="majorBidi" w:cstheme="majorBidi"/>
          <w:bCs/>
          <w:iCs/>
          <w:szCs w:val="22"/>
        </w:rPr>
        <w:t xml:space="preserve">. The </w:t>
      </w:r>
      <w:r w:rsidR="00CE6A91">
        <w:rPr>
          <w:rFonts w:asciiTheme="majorBidi" w:hAnsiTheme="majorBidi" w:cstheme="majorBidi"/>
          <w:bCs/>
          <w:iCs/>
          <w:szCs w:val="22"/>
        </w:rPr>
        <w:t xml:space="preserve">review </w:t>
      </w:r>
      <w:r w:rsidR="009A0F63">
        <w:rPr>
          <w:rFonts w:asciiTheme="majorBidi" w:hAnsiTheme="majorBidi" w:cstheme="majorBidi"/>
          <w:bCs/>
          <w:iCs/>
          <w:szCs w:val="22"/>
        </w:rPr>
        <w:t>recognises some challenges in cluster leadership, funding and capacity, reaffirms the centrality of protection, the importance of national development plans and legal frameworks</w:t>
      </w:r>
      <w:r w:rsidR="009A0F63" w:rsidRPr="009A0F63">
        <w:rPr>
          <w:rFonts w:asciiTheme="majorBidi" w:hAnsiTheme="majorBidi" w:cstheme="majorBidi"/>
          <w:bCs/>
          <w:iCs/>
          <w:szCs w:val="22"/>
        </w:rPr>
        <w:t xml:space="preserve">, and the lack of focus on durable solutions from the outset of a crisis. </w:t>
      </w:r>
      <w:r w:rsidR="009A0F63">
        <w:rPr>
          <w:rFonts w:asciiTheme="majorBidi" w:hAnsiTheme="majorBidi" w:cstheme="majorBidi"/>
          <w:bCs/>
          <w:iCs/>
          <w:szCs w:val="22"/>
        </w:rPr>
        <w:t>He noted the need for the right staff on the ground, a sound evidence base, and an enhanced inter-agency response</w:t>
      </w:r>
      <w:r w:rsidR="00DA0B36">
        <w:rPr>
          <w:rFonts w:asciiTheme="majorBidi" w:hAnsiTheme="majorBidi" w:cstheme="majorBidi"/>
          <w:bCs/>
          <w:iCs/>
          <w:szCs w:val="22"/>
        </w:rPr>
        <w:t>.</w:t>
      </w:r>
      <w:r w:rsidR="00C6388F">
        <w:rPr>
          <w:rFonts w:asciiTheme="majorBidi" w:hAnsiTheme="majorBidi" w:cstheme="majorBidi"/>
          <w:bCs/>
          <w:iCs/>
          <w:szCs w:val="22"/>
        </w:rPr>
        <w:t xml:space="preserve"> </w:t>
      </w:r>
      <w:r w:rsidR="009A0F63">
        <w:rPr>
          <w:rFonts w:asciiTheme="majorBidi" w:hAnsiTheme="majorBidi" w:cstheme="majorBidi"/>
          <w:bCs/>
          <w:iCs/>
          <w:szCs w:val="22"/>
        </w:rPr>
        <w:t xml:space="preserve">Looking forward, there will be an emphasis on operational delivery, leadership on protection, responsible humanitarian disengagement/handover to other actors and mechanisms, and involving IDPs themselves in the search for solutions. </w:t>
      </w:r>
    </w:p>
    <w:p w14:paraId="1C5C1846" w14:textId="77777777" w:rsidR="007D4FAD" w:rsidRDefault="007D4FAD" w:rsidP="00751BCA">
      <w:pPr>
        <w:tabs>
          <w:tab w:val="clear" w:pos="567"/>
          <w:tab w:val="clear" w:pos="992"/>
        </w:tabs>
        <w:spacing w:before="0" w:line="240" w:lineRule="auto"/>
        <w:rPr>
          <w:rFonts w:asciiTheme="majorBidi" w:hAnsiTheme="majorBidi" w:cstheme="majorBidi"/>
          <w:bCs/>
          <w:iCs/>
          <w:szCs w:val="22"/>
        </w:rPr>
      </w:pPr>
    </w:p>
    <w:p w14:paraId="141BF1AD" w14:textId="23337C03" w:rsidR="0086703D" w:rsidRDefault="007D4FAD" w:rsidP="00064185">
      <w:pPr>
        <w:tabs>
          <w:tab w:val="clear" w:pos="567"/>
          <w:tab w:val="clear" w:pos="992"/>
        </w:tabs>
        <w:spacing w:before="0" w:line="240" w:lineRule="auto"/>
        <w:rPr>
          <w:rFonts w:asciiTheme="majorBidi" w:hAnsiTheme="majorBidi" w:cstheme="majorBidi"/>
          <w:bCs/>
          <w:iCs/>
          <w:szCs w:val="22"/>
        </w:rPr>
      </w:pPr>
      <w:r>
        <w:rPr>
          <w:rFonts w:asciiTheme="majorBidi" w:hAnsiTheme="majorBidi" w:cstheme="majorBidi"/>
          <w:bCs/>
          <w:iCs/>
          <w:szCs w:val="22"/>
        </w:rPr>
        <w:t xml:space="preserve">In discussion, WG participants </w:t>
      </w:r>
      <w:r w:rsidR="00F35C7F">
        <w:rPr>
          <w:rFonts w:asciiTheme="majorBidi" w:hAnsiTheme="majorBidi" w:cstheme="majorBidi"/>
          <w:bCs/>
          <w:iCs/>
          <w:szCs w:val="22"/>
        </w:rPr>
        <w:t xml:space="preserve">noted the considerable similarities, and potential complementarity between the respective initiatives, including the focus on </w:t>
      </w:r>
      <w:r w:rsidR="00E81915">
        <w:rPr>
          <w:rFonts w:asciiTheme="majorBidi" w:hAnsiTheme="majorBidi" w:cstheme="majorBidi"/>
          <w:bCs/>
          <w:iCs/>
          <w:szCs w:val="22"/>
        </w:rPr>
        <w:t xml:space="preserve">protection, </w:t>
      </w:r>
      <w:r w:rsidR="008A7C83">
        <w:rPr>
          <w:rFonts w:asciiTheme="majorBidi" w:hAnsiTheme="majorBidi" w:cstheme="majorBidi"/>
          <w:bCs/>
          <w:iCs/>
          <w:szCs w:val="22"/>
        </w:rPr>
        <w:t>a clear evidence-</w:t>
      </w:r>
      <w:r w:rsidR="00F35C7F">
        <w:rPr>
          <w:rFonts w:asciiTheme="majorBidi" w:hAnsiTheme="majorBidi" w:cstheme="majorBidi"/>
          <w:bCs/>
          <w:iCs/>
          <w:szCs w:val="22"/>
        </w:rPr>
        <w:t xml:space="preserve">base, engagement with government, </w:t>
      </w:r>
      <w:r w:rsidR="005C1241">
        <w:rPr>
          <w:rFonts w:asciiTheme="majorBidi" w:hAnsiTheme="majorBidi" w:cstheme="majorBidi"/>
          <w:bCs/>
          <w:iCs/>
          <w:szCs w:val="22"/>
        </w:rPr>
        <w:t xml:space="preserve">the link to the SDGs </w:t>
      </w:r>
      <w:r w:rsidR="00F35C7F">
        <w:rPr>
          <w:rFonts w:asciiTheme="majorBidi" w:hAnsiTheme="majorBidi" w:cstheme="majorBidi"/>
          <w:bCs/>
          <w:iCs/>
          <w:szCs w:val="22"/>
        </w:rPr>
        <w:t xml:space="preserve">and emphasis </w:t>
      </w:r>
      <w:r w:rsidR="00E81915">
        <w:rPr>
          <w:rFonts w:asciiTheme="majorBidi" w:hAnsiTheme="majorBidi" w:cstheme="majorBidi"/>
          <w:bCs/>
          <w:iCs/>
          <w:szCs w:val="22"/>
        </w:rPr>
        <w:t>on developmental approaches and</w:t>
      </w:r>
      <w:r w:rsidR="00F35C7F">
        <w:rPr>
          <w:rFonts w:asciiTheme="majorBidi" w:hAnsiTheme="majorBidi" w:cstheme="majorBidi"/>
          <w:bCs/>
          <w:iCs/>
          <w:szCs w:val="22"/>
        </w:rPr>
        <w:t xml:space="preserve"> durable solutions</w:t>
      </w:r>
      <w:r w:rsidR="005C1241">
        <w:rPr>
          <w:rFonts w:asciiTheme="majorBidi" w:hAnsiTheme="majorBidi" w:cstheme="majorBidi"/>
          <w:bCs/>
          <w:iCs/>
          <w:szCs w:val="22"/>
        </w:rPr>
        <w:t>, as well as</w:t>
      </w:r>
      <w:r w:rsidR="00E81915">
        <w:rPr>
          <w:rFonts w:asciiTheme="majorBidi" w:hAnsiTheme="majorBidi" w:cstheme="majorBidi"/>
          <w:bCs/>
          <w:iCs/>
          <w:szCs w:val="22"/>
        </w:rPr>
        <w:t xml:space="preserve"> attention to host communities</w:t>
      </w:r>
      <w:r w:rsidR="00F35C7F">
        <w:rPr>
          <w:rFonts w:asciiTheme="majorBidi" w:hAnsiTheme="majorBidi" w:cstheme="majorBidi"/>
          <w:bCs/>
          <w:iCs/>
          <w:szCs w:val="22"/>
        </w:rPr>
        <w:t xml:space="preserve">. </w:t>
      </w:r>
      <w:r w:rsidR="00E81915">
        <w:rPr>
          <w:rFonts w:asciiTheme="majorBidi" w:hAnsiTheme="majorBidi" w:cstheme="majorBidi"/>
          <w:bCs/>
          <w:iCs/>
          <w:szCs w:val="22"/>
        </w:rPr>
        <w:t xml:space="preserve">Participants cautioned on the number of pilots, often in the same countries, noting also similar pilots on the Comprehensive Refugee </w:t>
      </w:r>
      <w:r w:rsidR="00CE6A91">
        <w:rPr>
          <w:rFonts w:asciiTheme="majorBidi" w:hAnsiTheme="majorBidi" w:cstheme="majorBidi"/>
          <w:bCs/>
          <w:iCs/>
          <w:szCs w:val="22"/>
        </w:rPr>
        <w:t xml:space="preserve">Response </w:t>
      </w:r>
      <w:r w:rsidR="00E81915">
        <w:rPr>
          <w:rFonts w:asciiTheme="majorBidi" w:hAnsiTheme="majorBidi" w:cstheme="majorBidi"/>
          <w:bCs/>
          <w:iCs/>
          <w:szCs w:val="22"/>
        </w:rPr>
        <w:t>Framework. The value of donor engagement was stressed, as well as with Governments themselves</w:t>
      </w:r>
      <w:r w:rsidR="00E62428">
        <w:rPr>
          <w:rFonts w:asciiTheme="majorBidi" w:hAnsiTheme="majorBidi" w:cstheme="majorBidi"/>
          <w:bCs/>
          <w:iCs/>
          <w:szCs w:val="22"/>
        </w:rPr>
        <w:t>, both for visib</w:t>
      </w:r>
      <w:r w:rsidR="008A7C83">
        <w:rPr>
          <w:rFonts w:asciiTheme="majorBidi" w:hAnsiTheme="majorBidi" w:cstheme="majorBidi"/>
          <w:bCs/>
          <w:iCs/>
          <w:szCs w:val="22"/>
        </w:rPr>
        <w:t>ility on the issue as well as for more</w:t>
      </w:r>
      <w:r w:rsidR="00E62428">
        <w:rPr>
          <w:rFonts w:asciiTheme="majorBidi" w:hAnsiTheme="majorBidi" w:cstheme="majorBidi"/>
          <w:bCs/>
          <w:iCs/>
          <w:szCs w:val="22"/>
        </w:rPr>
        <w:t xml:space="preserve"> flexible financing</w:t>
      </w:r>
      <w:r w:rsidR="008A7C83">
        <w:rPr>
          <w:rFonts w:asciiTheme="majorBidi" w:hAnsiTheme="majorBidi" w:cstheme="majorBidi"/>
          <w:bCs/>
          <w:iCs/>
          <w:szCs w:val="22"/>
        </w:rPr>
        <w:t>. A</w:t>
      </w:r>
      <w:r w:rsidR="00E81915">
        <w:rPr>
          <w:rFonts w:asciiTheme="majorBidi" w:hAnsiTheme="majorBidi" w:cstheme="majorBidi"/>
          <w:bCs/>
          <w:iCs/>
          <w:szCs w:val="22"/>
        </w:rPr>
        <w:t xml:space="preserve"> nuanced, context-specific local approach was emphasised, given the particular challenges of conflict-induced displacement and the need to maintain humanitarian space to respond. As a key driver of displacement, advocacy on the prevention of conflict</w:t>
      </w:r>
      <w:r w:rsidR="00064185">
        <w:rPr>
          <w:rFonts w:asciiTheme="majorBidi" w:hAnsiTheme="majorBidi" w:cstheme="majorBidi"/>
          <w:bCs/>
          <w:iCs/>
          <w:szCs w:val="22"/>
        </w:rPr>
        <w:t>, respect for IHL</w:t>
      </w:r>
      <w:r w:rsidR="00E81915">
        <w:rPr>
          <w:rFonts w:asciiTheme="majorBidi" w:hAnsiTheme="majorBidi" w:cstheme="majorBidi"/>
          <w:bCs/>
          <w:iCs/>
          <w:szCs w:val="22"/>
        </w:rPr>
        <w:t xml:space="preserve"> and cessation of hostilities was strongly </w:t>
      </w:r>
      <w:r w:rsidR="00E62428">
        <w:rPr>
          <w:rFonts w:asciiTheme="majorBidi" w:hAnsiTheme="majorBidi" w:cstheme="majorBidi"/>
          <w:bCs/>
          <w:iCs/>
          <w:szCs w:val="22"/>
        </w:rPr>
        <w:t>recommended</w:t>
      </w:r>
      <w:r w:rsidR="00064185">
        <w:rPr>
          <w:rFonts w:asciiTheme="majorBidi" w:hAnsiTheme="majorBidi" w:cstheme="majorBidi"/>
          <w:bCs/>
          <w:iCs/>
          <w:szCs w:val="22"/>
        </w:rPr>
        <w:t>.</w:t>
      </w:r>
      <w:r w:rsidR="00C42C0D">
        <w:rPr>
          <w:rFonts w:asciiTheme="majorBidi" w:hAnsiTheme="majorBidi" w:cstheme="majorBidi"/>
          <w:bCs/>
          <w:iCs/>
          <w:szCs w:val="22"/>
        </w:rPr>
        <w:t xml:space="preserve"> </w:t>
      </w:r>
      <w:r w:rsidR="00064185">
        <w:rPr>
          <w:rFonts w:asciiTheme="majorBidi" w:hAnsiTheme="majorBidi" w:cstheme="majorBidi"/>
          <w:bCs/>
          <w:iCs/>
          <w:szCs w:val="22"/>
        </w:rPr>
        <w:t>T</w:t>
      </w:r>
      <w:r w:rsidR="00E62428">
        <w:rPr>
          <w:rFonts w:asciiTheme="majorBidi" w:hAnsiTheme="majorBidi" w:cstheme="majorBidi"/>
          <w:bCs/>
          <w:iCs/>
          <w:szCs w:val="22"/>
        </w:rPr>
        <w:t>he potential of a high-level event was recognised</w:t>
      </w:r>
      <w:r w:rsidR="00064185">
        <w:rPr>
          <w:rFonts w:asciiTheme="majorBidi" w:hAnsiTheme="majorBidi" w:cstheme="majorBidi"/>
          <w:bCs/>
          <w:iCs/>
          <w:szCs w:val="22"/>
        </w:rPr>
        <w:t>; the need to further develop</w:t>
      </w:r>
      <w:r w:rsidR="00E62428">
        <w:rPr>
          <w:rFonts w:asciiTheme="majorBidi" w:hAnsiTheme="majorBidi" w:cstheme="majorBidi"/>
          <w:bCs/>
          <w:iCs/>
          <w:szCs w:val="22"/>
        </w:rPr>
        <w:t xml:space="preserve"> </w:t>
      </w:r>
      <w:r w:rsidR="00064185">
        <w:rPr>
          <w:rFonts w:asciiTheme="majorBidi" w:hAnsiTheme="majorBidi" w:cstheme="majorBidi"/>
          <w:bCs/>
          <w:iCs/>
          <w:szCs w:val="22"/>
        </w:rPr>
        <w:t>clear objectives</w:t>
      </w:r>
      <w:r w:rsidR="00E62428">
        <w:rPr>
          <w:rFonts w:asciiTheme="majorBidi" w:hAnsiTheme="majorBidi" w:cstheme="majorBidi"/>
          <w:bCs/>
          <w:iCs/>
          <w:szCs w:val="22"/>
        </w:rPr>
        <w:t xml:space="preserve"> and proposed outcomes</w:t>
      </w:r>
      <w:r w:rsidR="00064185">
        <w:rPr>
          <w:rFonts w:asciiTheme="majorBidi" w:hAnsiTheme="majorBidi" w:cstheme="majorBidi"/>
          <w:bCs/>
          <w:iCs/>
          <w:szCs w:val="22"/>
        </w:rPr>
        <w:t xml:space="preserve"> was stressed</w:t>
      </w:r>
      <w:r w:rsidR="00E62428">
        <w:rPr>
          <w:rFonts w:asciiTheme="majorBidi" w:hAnsiTheme="majorBidi" w:cstheme="majorBidi"/>
          <w:bCs/>
          <w:iCs/>
          <w:szCs w:val="22"/>
        </w:rPr>
        <w:t xml:space="preserve">, as well as </w:t>
      </w:r>
      <w:r w:rsidR="00064185">
        <w:rPr>
          <w:rFonts w:asciiTheme="majorBidi" w:hAnsiTheme="majorBidi" w:cstheme="majorBidi"/>
          <w:bCs/>
          <w:iCs/>
          <w:szCs w:val="22"/>
        </w:rPr>
        <w:t xml:space="preserve">the importance of </w:t>
      </w:r>
      <w:r w:rsidR="00E62428">
        <w:rPr>
          <w:rFonts w:asciiTheme="majorBidi" w:hAnsiTheme="majorBidi" w:cstheme="majorBidi"/>
          <w:bCs/>
          <w:iCs/>
          <w:szCs w:val="22"/>
        </w:rPr>
        <w:t xml:space="preserve">ensuring </w:t>
      </w:r>
      <w:r w:rsidR="005C1241">
        <w:rPr>
          <w:rFonts w:asciiTheme="majorBidi" w:hAnsiTheme="majorBidi" w:cstheme="majorBidi"/>
          <w:bCs/>
          <w:iCs/>
          <w:szCs w:val="22"/>
        </w:rPr>
        <w:t>complementarity with other events (e.g. on migration)</w:t>
      </w:r>
      <w:r w:rsidR="00064185">
        <w:rPr>
          <w:rFonts w:asciiTheme="majorBidi" w:hAnsiTheme="majorBidi" w:cstheme="majorBidi"/>
          <w:bCs/>
          <w:iCs/>
          <w:szCs w:val="22"/>
        </w:rPr>
        <w:t xml:space="preserve"> including possible field based events</w:t>
      </w:r>
      <w:r w:rsidR="005C1241">
        <w:rPr>
          <w:rFonts w:asciiTheme="majorBidi" w:hAnsiTheme="majorBidi" w:cstheme="majorBidi"/>
          <w:bCs/>
          <w:iCs/>
          <w:szCs w:val="22"/>
        </w:rPr>
        <w:t>.</w:t>
      </w:r>
      <w:r w:rsidR="00E81915">
        <w:rPr>
          <w:rFonts w:asciiTheme="majorBidi" w:hAnsiTheme="majorBidi" w:cstheme="majorBidi"/>
          <w:bCs/>
          <w:iCs/>
          <w:szCs w:val="22"/>
        </w:rPr>
        <w:t xml:space="preserve"> </w:t>
      </w:r>
    </w:p>
    <w:p w14:paraId="0F132ED3" w14:textId="77777777" w:rsidR="0086703D" w:rsidRDefault="0086703D" w:rsidP="00751BCA">
      <w:pPr>
        <w:tabs>
          <w:tab w:val="clear" w:pos="567"/>
          <w:tab w:val="clear" w:pos="992"/>
        </w:tabs>
        <w:spacing w:before="0" w:line="240" w:lineRule="auto"/>
        <w:rPr>
          <w:rFonts w:asciiTheme="majorBidi" w:hAnsiTheme="majorBidi" w:cstheme="majorBidi"/>
          <w:bCs/>
          <w:iCs/>
          <w:szCs w:val="22"/>
        </w:rPr>
      </w:pPr>
    </w:p>
    <w:p w14:paraId="6DF8183C" w14:textId="6703BAFC" w:rsidR="007D4FAD" w:rsidRPr="009A0F63" w:rsidRDefault="005C1241" w:rsidP="000946B4">
      <w:pPr>
        <w:tabs>
          <w:tab w:val="clear" w:pos="567"/>
          <w:tab w:val="clear" w:pos="992"/>
        </w:tabs>
        <w:spacing w:before="0" w:line="240" w:lineRule="auto"/>
        <w:rPr>
          <w:rFonts w:asciiTheme="majorBidi" w:hAnsiTheme="majorBidi" w:cstheme="majorBidi"/>
          <w:bCs/>
          <w:iCs/>
          <w:szCs w:val="22"/>
        </w:rPr>
      </w:pPr>
      <w:r>
        <w:rPr>
          <w:rFonts w:asciiTheme="majorBidi" w:hAnsiTheme="majorBidi" w:cstheme="majorBidi"/>
          <w:bCs/>
          <w:iCs/>
          <w:szCs w:val="22"/>
        </w:rPr>
        <w:t>Given the proliferation of on-going IDP initiatives, and extensive studies already being undertaken, the role and focus of the current Reference Group on Protract</w:t>
      </w:r>
      <w:r w:rsidR="0086703D">
        <w:rPr>
          <w:rFonts w:asciiTheme="majorBidi" w:hAnsiTheme="majorBidi" w:cstheme="majorBidi"/>
          <w:bCs/>
          <w:iCs/>
          <w:szCs w:val="22"/>
        </w:rPr>
        <w:t>ed Displacement was questioned</w:t>
      </w:r>
      <w:r w:rsidR="00A7118F">
        <w:rPr>
          <w:rFonts w:asciiTheme="majorBidi" w:hAnsiTheme="majorBidi" w:cstheme="majorBidi"/>
          <w:bCs/>
          <w:iCs/>
          <w:szCs w:val="22"/>
        </w:rPr>
        <w:t xml:space="preserve"> by a number of WG members. </w:t>
      </w:r>
      <w:r w:rsidR="00CD18A5">
        <w:rPr>
          <w:rFonts w:asciiTheme="majorBidi" w:hAnsiTheme="majorBidi" w:cstheme="majorBidi"/>
          <w:bCs/>
          <w:iCs/>
          <w:szCs w:val="22"/>
        </w:rPr>
        <w:t xml:space="preserve">Some referred to the group having faced challenges in </w:t>
      </w:r>
      <w:r w:rsidR="00A7118F">
        <w:rPr>
          <w:rFonts w:asciiTheme="majorBidi" w:hAnsiTheme="majorBidi" w:cstheme="majorBidi"/>
          <w:bCs/>
          <w:iCs/>
          <w:szCs w:val="22"/>
        </w:rPr>
        <w:t>fully develop</w:t>
      </w:r>
      <w:r w:rsidR="00CD18A5">
        <w:rPr>
          <w:rFonts w:asciiTheme="majorBidi" w:hAnsiTheme="majorBidi" w:cstheme="majorBidi"/>
          <w:bCs/>
          <w:iCs/>
          <w:szCs w:val="22"/>
        </w:rPr>
        <w:t>ing</w:t>
      </w:r>
      <w:r w:rsidR="00A7118F">
        <w:rPr>
          <w:rFonts w:asciiTheme="majorBidi" w:hAnsiTheme="majorBidi" w:cstheme="majorBidi"/>
          <w:bCs/>
          <w:iCs/>
          <w:szCs w:val="22"/>
        </w:rPr>
        <w:t xml:space="preserve"> ToR</w:t>
      </w:r>
      <w:r w:rsidR="00CD18A5">
        <w:rPr>
          <w:rFonts w:asciiTheme="majorBidi" w:hAnsiTheme="majorBidi" w:cstheme="majorBidi"/>
          <w:bCs/>
          <w:iCs/>
          <w:szCs w:val="22"/>
        </w:rPr>
        <w:t>s</w:t>
      </w:r>
      <w:r w:rsidR="00A7118F">
        <w:rPr>
          <w:rFonts w:asciiTheme="majorBidi" w:hAnsiTheme="majorBidi" w:cstheme="majorBidi"/>
          <w:bCs/>
          <w:iCs/>
          <w:szCs w:val="22"/>
        </w:rPr>
        <w:t>, define a clear task, or proceed pending completion of the various studies underway. Given agreement on an IASC WG/EDG focussed discussion on IDPs, with potential support from Professor Kaelin, the RG was not formally required by the IASC WG until or unless next steps and tasks could be clarified by the WG itself.</w:t>
      </w:r>
      <w:r w:rsidR="00D56818">
        <w:t xml:space="preserve"> </w:t>
      </w:r>
      <w:r w:rsidR="008828A6">
        <w:rPr>
          <w:rFonts w:asciiTheme="majorBidi" w:hAnsiTheme="majorBidi" w:cstheme="majorBidi"/>
          <w:bCs/>
          <w:iCs/>
          <w:szCs w:val="22"/>
        </w:rPr>
        <w:t>It was also suggested that the WG C</w:t>
      </w:r>
      <w:r w:rsidR="00CD18A5">
        <w:rPr>
          <w:rFonts w:asciiTheme="majorBidi" w:hAnsiTheme="majorBidi" w:cstheme="majorBidi"/>
          <w:bCs/>
          <w:iCs/>
          <w:szCs w:val="22"/>
        </w:rPr>
        <w:t>hair would seek the direct engagement of the Deputy Secretary-General in mounting a system</w:t>
      </w:r>
      <w:r w:rsidR="008828A6">
        <w:rPr>
          <w:rFonts w:asciiTheme="majorBidi" w:hAnsiTheme="majorBidi" w:cstheme="majorBidi"/>
          <w:bCs/>
          <w:iCs/>
          <w:szCs w:val="22"/>
        </w:rPr>
        <w:t>-</w:t>
      </w:r>
      <w:r w:rsidR="00CD18A5">
        <w:rPr>
          <w:rFonts w:asciiTheme="majorBidi" w:hAnsiTheme="majorBidi" w:cstheme="majorBidi"/>
          <w:bCs/>
          <w:iCs/>
          <w:szCs w:val="22"/>
        </w:rPr>
        <w:t>wide response given her earlier interest and engagement in the cause.</w:t>
      </w:r>
    </w:p>
    <w:p w14:paraId="61C6AFDA" w14:textId="77777777" w:rsidR="009257CB" w:rsidRPr="00566A12" w:rsidRDefault="009257CB" w:rsidP="009257CB">
      <w:pPr>
        <w:rPr>
          <w:rFonts w:asciiTheme="majorBidi" w:hAnsiTheme="majorBidi" w:cstheme="majorBidi"/>
          <w:b/>
        </w:rPr>
      </w:pPr>
      <w:r w:rsidRPr="00566A12">
        <w:rPr>
          <w:rFonts w:asciiTheme="majorBidi" w:hAnsiTheme="majorBidi" w:cstheme="majorBidi"/>
          <w:b/>
        </w:rPr>
        <w:t xml:space="preserve">The Working Group: </w:t>
      </w:r>
    </w:p>
    <w:p w14:paraId="1E553A5B" w14:textId="1CAB882C" w:rsidR="0089439C" w:rsidRPr="0089439C" w:rsidRDefault="00597B11" w:rsidP="00A7118F">
      <w:pPr>
        <w:numPr>
          <w:ilvl w:val="0"/>
          <w:numId w:val="12"/>
        </w:numPr>
        <w:spacing w:line="240" w:lineRule="auto"/>
        <w:contextualSpacing/>
        <w:jc w:val="left"/>
        <w:rPr>
          <w:rFonts w:asciiTheme="majorBidi" w:hAnsiTheme="majorBidi" w:cstheme="majorBidi"/>
        </w:rPr>
      </w:pPr>
      <w:r>
        <w:rPr>
          <w:rFonts w:asciiTheme="majorBidi" w:hAnsiTheme="majorBidi" w:cstheme="majorBidi"/>
        </w:rPr>
        <w:t>Requested</w:t>
      </w:r>
      <w:r w:rsidR="0089439C">
        <w:rPr>
          <w:rFonts w:asciiTheme="majorBidi" w:hAnsiTheme="majorBidi" w:cstheme="majorBidi"/>
        </w:rPr>
        <w:t xml:space="preserve"> the </w:t>
      </w:r>
      <w:r w:rsidR="00E0124B" w:rsidRPr="008828A6">
        <w:rPr>
          <w:rFonts w:asciiTheme="majorBidi" w:hAnsiTheme="majorBidi" w:cstheme="majorBidi"/>
          <w:bCs/>
          <w:iCs/>
          <w:szCs w:val="22"/>
        </w:rPr>
        <w:t>Chair of the IASC WG</w:t>
      </w:r>
      <w:r w:rsidR="00CD18A5" w:rsidRPr="008828A6">
        <w:rPr>
          <w:rFonts w:asciiTheme="majorBidi" w:hAnsiTheme="majorBidi" w:cstheme="majorBidi"/>
        </w:rPr>
        <w:t xml:space="preserve"> </w:t>
      </w:r>
      <w:r w:rsidR="0089439C" w:rsidRPr="0089439C">
        <w:rPr>
          <w:rFonts w:asciiTheme="majorBidi" w:hAnsiTheme="majorBidi" w:cstheme="majorBidi"/>
        </w:rPr>
        <w:t>to seek the support of the Deputy Secretary-General, and engage with the AS</w:t>
      </w:r>
      <w:r>
        <w:rPr>
          <w:rFonts w:asciiTheme="majorBidi" w:hAnsiTheme="majorBidi" w:cstheme="majorBidi"/>
        </w:rPr>
        <w:t>G for Strategic Coordination, on the mobilisation of</w:t>
      </w:r>
      <w:r w:rsidR="0089439C" w:rsidRPr="0089439C">
        <w:rPr>
          <w:rFonts w:asciiTheme="majorBidi" w:hAnsiTheme="majorBidi" w:cstheme="majorBidi"/>
        </w:rPr>
        <w:t xml:space="preserve"> a system-wide response for IDPs</w:t>
      </w:r>
      <w:r w:rsidR="0089439C" w:rsidRPr="00782D62">
        <w:rPr>
          <w:rFonts w:asciiTheme="majorBidi" w:hAnsiTheme="majorBidi" w:cstheme="majorBidi"/>
        </w:rPr>
        <w:t xml:space="preserve">. </w:t>
      </w:r>
      <w:r w:rsidR="0089439C" w:rsidRPr="00035F32">
        <w:rPr>
          <w:rFonts w:asciiTheme="majorBidi" w:hAnsiTheme="majorBidi" w:cstheme="majorBidi"/>
          <w:b/>
          <w:bCs/>
          <w:i/>
          <w:iCs/>
        </w:rPr>
        <w:t xml:space="preserve">Action by: </w:t>
      </w:r>
      <w:r w:rsidR="00E0124B" w:rsidRPr="008828A6">
        <w:rPr>
          <w:rFonts w:asciiTheme="majorBidi" w:hAnsiTheme="majorBidi" w:cstheme="majorBidi"/>
          <w:b/>
          <w:bCs/>
          <w:i/>
          <w:iCs/>
          <w:szCs w:val="22"/>
        </w:rPr>
        <w:t>Chair of the IASC WG</w:t>
      </w:r>
      <w:r w:rsidR="0089439C" w:rsidRPr="008828A6">
        <w:rPr>
          <w:rFonts w:asciiTheme="majorBidi" w:hAnsiTheme="majorBidi" w:cstheme="majorBidi"/>
          <w:b/>
          <w:bCs/>
          <w:i/>
          <w:iCs/>
        </w:rPr>
        <w:t xml:space="preserve"> </w:t>
      </w:r>
      <w:r w:rsidR="0089439C">
        <w:rPr>
          <w:rFonts w:asciiTheme="majorBidi" w:hAnsiTheme="majorBidi" w:cstheme="majorBidi"/>
          <w:b/>
          <w:bCs/>
          <w:i/>
          <w:iCs/>
        </w:rPr>
        <w:t>by mid</w:t>
      </w:r>
      <w:r w:rsidR="00A7118F">
        <w:rPr>
          <w:rFonts w:asciiTheme="majorBidi" w:hAnsiTheme="majorBidi" w:cstheme="majorBidi"/>
          <w:b/>
          <w:bCs/>
          <w:i/>
          <w:iCs/>
        </w:rPr>
        <w:t>-</w:t>
      </w:r>
      <w:r w:rsidR="0089439C">
        <w:rPr>
          <w:rFonts w:asciiTheme="majorBidi" w:hAnsiTheme="majorBidi" w:cstheme="majorBidi"/>
          <w:b/>
          <w:bCs/>
          <w:i/>
          <w:iCs/>
        </w:rPr>
        <w:t>April 2017.</w:t>
      </w:r>
    </w:p>
    <w:p w14:paraId="46AC67B6" w14:textId="683F784F" w:rsidR="009257CB" w:rsidRPr="0089439C" w:rsidRDefault="0089439C" w:rsidP="00A7118F">
      <w:pPr>
        <w:numPr>
          <w:ilvl w:val="0"/>
          <w:numId w:val="12"/>
        </w:numPr>
        <w:spacing w:before="0" w:line="240" w:lineRule="auto"/>
        <w:contextualSpacing/>
        <w:jc w:val="left"/>
        <w:rPr>
          <w:rFonts w:asciiTheme="majorBidi" w:hAnsiTheme="majorBidi" w:cstheme="majorBidi"/>
        </w:rPr>
      </w:pPr>
      <w:r w:rsidRPr="0089439C">
        <w:rPr>
          <w:rFonts w:asciiTheme="majorBidi" w:hAnsiTheme="majorBidi" w:cstheme="majorBidi"/>
        </w:rPr>
        <w:t>Agre</w:t>
      </w:r>
      <w:r>
        <w:rPr>
          <w:rFonts w:asciiTheme="majorBidi" w:hAnsiTheme="majorBidi" w:cstheme="majorBidi"/>
        </w:rPr>
        <w:t>e</w:t>
      </w:r>
      <w:r w:rsidR="00A55D72">
        <w:rPr>
          <w:rFonts w:asciiTheme="majorBidi" w:hAnsiTheme="majorBidi" w:cstheme="majorBidi"/>
        </w:rPr>
        <w:t>d</w:t>
      </w:r>
      <w:r w:rsidRPr="0089439C">
        <w:rPr>
          <w:rFonts w:asciiTheme="majorBidi" w:hAnsiTheme="majorBidi" w:cstheme="majorBidi"/>
        </w:rPr>
        <w:t xml:space="preserve"> to undertake an </w:t>
      </w:r>
      <w:r w:rsidR="009257CB" w:rsidRPr="0089439C">
        <w:rPr>
          <w:rFonts w:asciiTheme="majorBidi" w:hAnsiTheme="majorBidi" w:cstheme="majorBidi"/>
        </w:rPr>
        <w:t>analysis and mapping of on-going IDP initiatives to identify gaps, common/complementary approaches, and po</w:t>
      </w:r>
      <w:r w:rsidRPr="0089439C">
        <w:rPr>
          <w:rFonts w:asciiTheme="majorBidi" w:hAnsiTheme="majorBidi" w:cstheme="majorBidi"/>
        </w:rPr>
        <w:t xml:space="preserve">ssible collective ways forward </w:t>
      </w:r>
      <w:r w:rsidR="009257CB" w:rsidRPr="0089439C">
        <w:rPr>
          <w:rFonts w:asciiTheme="majorBidi" w:hAnsiTheme="majorBidi" w:cstheme="majorBidi"/>
        </w:rPr>
        <w:t xml:space="preserve">to inform IASC Principals discussions on </w:t>
      </w:r>
      <w:r w:rsidRPr="0089439C">
        <w:rPr>
          <w:rFonts w:asciiTheme="majorBidi" w:hAnsiTheme="majorBidi" w:cstheme="majorBidi"/>
        </w:rPr>
        <w:t xml:space="preserve">IDPs and a system-wide response. </w:t>
      </w:r>
      <w:r w:rsidRPr="0089439C">
        <w:rPr>
          <w:rFonts w:asciiTheme="majorBidi" w:hAnsiTheme="majorBidi" w:cstheme="majorBidi"/>
          <w:b/>
          <w:bCs/>
          <w:i/>
          <w:iCs/>
        </w:rPr>
        <w:t>For Action: IASC secretariat to consult with WG to identify lead/task team</w:t>
      </w:r>
      <w:r w:rsidR="008828A6">
        <w:rPr>
          <w:rFonts w:asciiTheme="majorBidi" w:hAnsiTheme="majorBidi" w:cstheme="majorBidi"/>
          <w:b/>
          <w:bCs/>
          <w:i/>
          <w:iCs/>
        </w:rPr>
        <w:t>,</w:t>
      </w:r>
      <w:r w:rsidR="00D56818">
        <w:rPr>
          <w:rFonts w:asciiTheme="majorBidi" w:hAnsiTheme="majorBidi" w:cstheme="majorBidi"/>
          <w:b/>
          <w:bCs/>
          <w:i/>
          <w:iCs/>
        </w:rPr>
        <w:t xml:space="preserve"> in cooperation with Prof. Kaelin</w:t>
      </w:r>
      <w:r w:rsidR="008828A6">
        <w:rPr>
          <w:rFonts w:asciiTheme="majorBidi" w:hAnsiTheme="majorBidi" w:cstheme="majorBidi"/>
          <w:b/>
          <w:bCs/>
          <w:i/>
          <w:iCs/>
        </w:rPr>
        <w:t>,</w:t>
      </w:r>
      <w:r w:rsidRPr="0089439C">
        <w:rPr>
          <w:rFonts w:asciiTheme="majorBidi" w:hAnsiTheme="majorBidi" w:cstheme="majorBidi"/>
          <w:b/>
          <w:bCs/>
          <w:i/>
          <w:iCs/>
        </w:rPr>
        <w:t xml:space="preserve"> by second quarter of 2017.</w:t>
      </w:r>
    </w:p>
    <w:p w14:paraId="5F1382DD" w14:textId="78474002" w:rsidR="009257CB" w:rsidRPr="0089439C" w:rsidRDefault="0089439C" w:rsidP="00A7118F">
      <w:pPr>
        <w:pStyle w:val="ListParagraph"/>
        <w:numPr>
          <w:ilvl w:val="0"/>
          <w:numId w:val="15"/>
        </w:numPr>
        <w:tabs>
          <w:tab w:val="clear" w:pos="567"/>
          <w:tab w:val="clear" w:pos="992"/>
        </w:tabs>
        <w:spacing w:before="0" w:line="240" w:lineRule="auto"/>
        <w:jc w:val="left"/>
        <w:rPr>
          <w:rFonts w:asciiTheme="majorBidi" w:hAnsiTheme="majorBidi" w:cstheme="majorBidi"/>
        </w:rPr>
      </w:pPr>
      <w:r>
        <w:rPr>
          <w:rFonts w:asciiTheme="majorBidi" w:hAnsiTheme="majorBidi" w:cstheme="majorBidi"/>
        </w:rPr>
        <w:t>Agree</w:t>
      </w:r>
      <w:r w:rsidR="00A55D72">
        <w:rPr>
          <w:rFonts w:asciiTheme="majorBidi" w:hAnsiTheme="majorBidi" w:cstheme="majorBidi"/>
        </w:rPr>
        <w:t>d</w:t>
      </w:r>
      <w:r>
        <w:rPr>
          <w:rFonts w:asciiTheme="majorBidi" w:hAnsiTheme="majorBidi" w:cstheme="majorBidi"/>
        </w:rPr>
        <w:t xml:space="preserve"> to draft and issue</w:t>
      </w:r>
      <w:r w:rsidR="009257CB" w:rsidRPr="0089439C">
        <w:rPr>
          <w:rFonts w:asciiTheme="majorBidi" w:hAnsiTheme="majorBidi" w:cstheme="majorBidi"/>
        </w:rPr>
        <w:t xml:space="preserve"> an IASC statement advocating for political and other action to </w:t>
      </w:r>
      <w:r w:rsidR="00AB07ED">
        <w:rPr>
          <w:rFonts w:asciiTheme="majorBidi" w:hAnsiTheme="majorBidi" w:cstheme="majorBidi"/>
        </w:rPr>
        <w:t xml:space="preserve">better prevent and </w:t>
      </w:r>
      <w:r w:rsidR="009257CB" w:rsidRPr="0089439C">
        <w:rPr>
          <w:rFonts w:asciiTheme="majorBidi" w:hAnsiTheme="majorBidi" w:cstheme="majorBidi"/>
        </w:rPr>
        <w:t>resolve conflict as one of the key drivers of displacement, emphasizing respect for IHL, human rights and</w:t>
      </w:r>
      <w:r>
        <w:rPr>
          <w:rFonts w:asciiTheme="majorBidi" w:hAnsiTheme="majorBidi" w:cstheme="majorBidi"/>
        </w:rPr>
        <w:t xml:space="preserve"> the Guiding Principles on IDPs. </w:t>
      </w:r>
      <w:r w:rsidRPr="009C1D25">
        <w:rPr>
          <w:rFonts w:asciiTheme="majorBidi" w:hAnsiTheme="majorBidi" w:cstheme="majorBidi"/>
          <w:b/>
          <w:bCs/>
          <w:i/>
          <w:iCs/>
        </w:rPr>
        <w:t xml:space="preserve">For Action: </w:t>
      </w:r>
      <w:r w:rsidR="00A55D72" w:rsidRPr="009C1D25">
        <w:rPr>
          <w:rFonts w:asciiTheme="majorBidi" w:hAnsiTheme="majorBidi" w:cstheme="majorBidi"/>
          <w:b/>
          <w:bCs/>
          <w:i/>
          <w:iCs/>
        </w:rPr>
        <w:t>IOM in cooperation with UNHCR by second quarter of 2017.</w:t>
      </w:r>
    </w:p>
    <w:p w14:paraId="0A9038A6" w14:textId="65F74AA2" w:rsidR="009257CB" w:rsidRDefault="00597B11" w:rsidP="00064185">
      <w:pPr>
        <w:pStyle w:val="ListParagraph"/>
        <w:numPr>
          <w:ilvl w:val="0"/>
          <w:numId w:val="15"/>
        </w:numPr>
        <w:tabs>
          <w:tab w:val="clear" w:pos="567"/>
          <w:tab w:val="clear" w:pos="992"/>
        </w:tabs>
        <w:spacing w:before="0" w:line="240" w:lineRule="auto"/>
        <w:jc w:val="left"/>
        <w:rPr>
          <w:rFonts w:asciiTheme="majorBidi" w:hAnsiTheme="majorBidi" w:cstheme="majorBidi"/>
          <w:b/>
          <w:bCs/>
          <w:i/>
          <w:iCs/>
        </w:rPr>
      </w:pPr>
      <w:r>
        <w:rPr>
          <w:rFonts w:asciiTheme="majorBidi" w:hAnsiTheme="majorBidi" w:cstheme="majorBidi"/>
        </w:rPr>
        <w:t>Recognized the potential for a</w:t>
      </w:r>
      <w:r w:rsidR="009257CB" w:rsidRPr="0089439C">
        <w:rPr>
          <w:rFonts w:asciiTheme="majorBidi" w:hAnsiTheme="majorBidi" w:cstheme="majorBidi"/>
        </w:rPr>
        <w:t xml:space="preserve"> high-level event on IDPs</w:t>
      </w:r>
      <w:r w:rsidR="00064185">
        <w:rPr>
          <w:rFonts w:asciiTheme="majorBidi" w:hAnsiTheme="majorBidi" w:cstheme="majorBidi"/>
        </w:rPr>
        <w:t xml:space="preserve"> and asked to further develop </w:t>
      </w:r>
      <w:r w:rsidR="008828A6">
        <w:rPr>
          <w:rFonts w:asciiTheme="majorBidi" w:hAnsiTheme="majorBidi" w:cstheme="majorBidi"/>
        </w:rPr>
        <w:t xml:space="preserve">the </w:t>
      </w:r>
      <w:r w:rsidR="00064185">
        <w:rPr>
          <w:rFonts w:asciiTheme="majorBidi" w:hAnsiTheme="majorBidi" w:cstheme="majorBidi"/>
        </w:rPr>
        <w:t>proposed outcome</w:t>
      </w:r>
      <w:r w:rsidR="009257CB" w:rsidRPr="0089439C">
        <w:rPr>
          <w:rFonts w:asciiTheme="majorBidi" w:hAnsiTheme="majorBidi" w:cstheme="majorBidi"/>
        </w:rPr>
        <w:t xml:space="preserve">, audience, location </w:t>
      </w:r>
      <w:r w:rsidR="00064185">
        <w:rPr>
          <w:rFonts w:asciiTheme="majorBidi" w:hAnsiTheme="majorBidi" w:cstheme="majorBidi"/>
        </w:rPr>
        <w:t>while also noting a</w:t>
      </w:r>
      <w:r w:rsidR="00CD18A5">
        <w:rPr>
          <w:rFonts w:asciiTheme="majorBidi" w:hAnsiTheme="majorBidi" w:cstheme="majorBidi"/>
        </w:rPr>
        <w:t xml:space="preserve"> risk of crowding the agenda for 2018</w:t>
      </w:r>
      <w:r w:rsidR="009257CB" w:rsidRPr="0089439C">
        <w:rPr>
          <w:rFonts w:asciiTheme="majorBidi" w:hAnsiTheme="majorBidi" w:cstheme="majorBidi"/>
        </w:rPr>
        <w:t>.</w:t>
      </w:r>
      <w:r w:rsidR="00A55D72">
        <w:rPr>
          <w:rFonts w:asciiTheme="majorBidi" w:hAnsiTheme="majorBidi" w:cstheme="majorBidi"/>
        </w:rPr>
        <w:t xml:space="preserve"> </w:t>
      </w:r>
      <w:r w:rsidR="00A55D72" w:rsidRPr="00B3519D">
        <w:rPr>
          <w:rFonts w:asciiTheme="majorBidi" w:hAnsiTheme="majorBidi" w:cstheme="majorBidi"/>
          <w:b/>
          <w:bCs/>
          <w:i/>
          <w:iCs/>
        </w:rPr>
        <w:t>For Action: OCHA</w:t>
      </w:r>
      <w:r>
        <w:rPr>
          <w:rFonts w:asciiTheme="majorBidi" w:hAnsiTheme="majorBidi" w:cstheme="majorBidi"/>
          <w:b/>
          <w:bCs/>
          <w:i/>
          <w:iCs/>
        </w:rPr>
        <w:t xml:space="preserve"> to consult with</w:t>
      </w:r>
      <w:r w:rsidR="00A55D72" w:rsidRPr="00B3519D">
        <w:rPr>
          <w:rFonts w:asciiTheme="majorBidi" w:hAnsiTheme="majorBidi" w:cstheme="majorBidi"/>
          <w:b/>
          <w:bCs/>
          <w:i/>
          <w:iCs/>
        </w:rPr>
        <w:t xml:space="preserve"> WG colleagues by end of 2017.</w:t>
      </w:r>
      <w:r w:rsidR="009257CB" w:rsidRPr="00B3519D">
        <w:rPr>
          <w:rFonts w:asciiTheme="majorBidi" w:hAnsiTheme="majorBidi" w:cstheme="majorBidi"/>
          <w:b/>
          <w:bCs/>
          <w:i/>
          <w:iCs/>
        </w:rPr>
        <w:t xml:space="preserve"> </w:t>
      </w:r>
    </w:p>
    <w:p w14:paraId="59D9DC0B" w14:textId="77777777" w:rsidR="009C1D25" w:rsidRPr="00553A23" w:rsidRDefault="00597B11" w:rsidP="00A7118F">
      <w:pPr>
        <w:pStyle w:val="ListParagraph"/>
        <w:numPr>
          <w:ilvl w:val="0"/>
          <w:numId w:val="15"/>
        </w:numPr>
        <w:tabs>
          <w:tab w:val="clear" w:pos="567"/>
          <w:tab w:val="clear" w:pos="992"/>
        </w:tabs>
        <w:spacing w:before="0" w:line="240" w:lineRule="auto"/>
        <w:jc w:val="left"/>
        <w:rPr>
          <w:rFonts w:asciiTheme="majorBidi" w:hAnsiTheme="majorBidi" w:cstheme="majorBidi"/>
        </w:rPr>
      </w:pPr>
      <w:r>
        <w:rPr>
          <w:rFonts w:asciiTheme="majorBidi" w:hAnsiTheme="majorBidi" w:cstheme="majorBidi"/>
        </w:rPr>
        <w:lastRenderedPageBreak/>
        <w:t>Subject to endorsement of the combined meeting by IASC Principals, a</w:t>
      </w:r>
      <w:r w:rsidR="009C1D25" w:rsidRPr="00471ED1">
        <w:rPr>
          <w:rFonts w:asciiTheme="majorBidi" w:hAnsiTheme="majorBidi" w:cstheme="majorBidi"/>
        </w:rPr>
        <w:t>gree</w:t>
      </w:r>
      <w:r w:rsidR="009C1D25">
        <w:rPr>
          <w:rFonts w:asciiTheme="majorBidi" w:hAnsiTheme="majorBidi" w:cstheme="majorBidi"/>
        </w:rPr>
        <w:t>d</w:t>
      </w:r>
      <w:r w:rsidR="009C1D25" w:rsidRPr="00471ED1">
        <w:rPr>
          <w:rFonts w:asciiTheme="majorBidi" w:hAnsiTheme="majorBidi" w:cstheme="majorBidi"/>
        </w:rPr>
        <w:t xml:space="preserve"> </w:t>
      </w:r>
      <w:r>
        <w:rPr>
          <w:rFonts w:asciiTheme="majorBidi" w:hAnsiTheme="majorBidi" w:cstheme="majorBidi"/>
        </w:rPr>
        <w:t xml:space="preserve">that the policy and operational response on IDPs be the focus of the proposed IASC WG – EDG </w:t>
      </w:r>
      <w:r w:rsidR="009C1D25" w:rsidRPr="00471ED1">
        <w:rPr>
          <w:rFonts w:asciiTheme="majorBidi" w:hAnsiTheme="majorBidi" w:cstheme="majorBidi"/>
        </w:rPr>
        <w:t>meeting</w:t>
      </w:r>
      <w:r>
        <w:rPr>
          <w:rFonts w:asciiTheme="majorBidi" w:hAnsiTheme="majorBidi" w:cstheme="majorBidi"/>
        </w:rPr>
        <w:t xml:space="preserve"> or retreat, serving to inform IASC Principals discussions, the more holistic system-wide response, and engagement with donors/member states on this issue</w:t>
      </w:r>
      <w:r w:rsidR="009C1D25" w:rsidRPr="00471ED1">
        <w:rPr>
          <w:rFonts w:asciiTheme="majorBidi" w:hAnsiTheme="majorBidi" w:cstheme="majorBidi"/>
        </w:rPr>
        <w:t>.</w:t>
      </w:r>
      <w:r w:rsidR="009C1D25">
        <w:rPr>
          <w:rFonts w:asciiTheme="majorBidi" w:hAnsiTheme="majorBidi" w:cstheme="majorBidi"/>
          <w:b/>
          <w:bCs/>
        </w:rPr>
        <w:t xml:space="preserve"> </w:t>
      </w:r>
      <w:r w:rsidR="009C1D25" w:rsidRPr="0089439C">
        <w:rPr>
          <w:rFonts w:asciiTheme="majorBidi" w:hAnsiTheme="majorBidi" w:cstheme="majorBidi"/>
          <w:b/>
          <w:bCs/>
          <w:i/>
          <w:iCs/>
        </w:rPr>
        <w:t xml:space="preserve">Action by: </w:t>
      </w:r>
      <w:r>
        <w:rPr>
          <w:rFonts w:asciiTheme="majorBidi" w:hAnsiTheme="majorBidi" w:cstheme="majorBidi"/>
          <w:b/>
          <w:bCs/>
          <w:i/>
          <w:iCs/>
        </w:rPr>
        <w:t xml:space="preserve">Meeting to be scheduled by </w:t>
      </w:r>
      <w:r w:rsidR="009C1D25" w:rsidRPr="0089439C">
        <w:rPr>
          <w:rFonts w:asciiTheme="majorBidi" w:hAnsiTheme="majorBidi" w:cstheme="majorBidi"/>
          <w:b/>
          <w:bCs/>
          <w:i/>
          <w:iCs/>
        </w:rPr>
        <w:t>DERC</w:t>
      </w:r>
      <w:r>
        <w:rPr>
          <w:rFonts w:asciiTheme="majorBidi" w:hAnsiTheme="majorBidi" w:cstheme="majorBidi"/>
          <w:b/>
          <w:bCs/>
          <w:i/>
          <w:iCs/>
        </w:rPr>
        <w:t>,</w:t>
      </w:r>
      <w:r w:rsidR="009C1D25" w:rsidRPr="0089439C">
        <w:rPr>
          <w:rFonts w:asciiTheme="majorBidi" w:hAnsiTheme="majorBidi" w:cstheme="majorBidi"/>
          <w:b/>
          <w:bCs/>
          <w:i/>
          <w:iCs/>
        </w:rPr>
        <w:t xml:space="preserve"> </w:t>
      </w:r>
      <w:r w:rsidR="00553A23">
        <w:rPr>
          <w:rFonts w:asciiTheme="majorBidi" w:hAnsiTheme="majorBidi" w:cstheme="majorBidi"/>
          <w:b/>
          <w:bCs/>
          <w:i/>
          <w:iCs/>
        </w:rPr>
        <w:t>supported by IASC secretariat</w:t>
      </w:r>
      <w:r>
        <w:rPr>
          <w:rFonts w:asciiTheme="majorBidi" w:hAnsiTheme="majorBidi" w:cstheme="majorBidi"/>
          <w:b/>
          <w:bCs/>
          <w:i/>
          <w:iCs/>
        </w:rPr>
        <w:t xml:space="preserve"> </w:t>
      </w:r>
      <w:r w:rsidR="009C1D25" w:rsidRPr="0089439C">
        <w:rPr>
          <w:rFonts w:asciiTheme="majorBidi" w:hAnsiTheme="majorBidi" w:cstheme="majorBidi"/>
          <w:b/>
          <w:bCs/>
          <w:i/>
          <w:iCs/>
        </w:rPr>
        <w:t>(by second quarter of 2017).</w:t>
      </w:r>
    </w:p>
    <w:p w14:paraId="15DB847D" w14:textId="5B44E3DD" w:rsidR="009C1D25" w:rsidRPr="005C1241" w:rsidRDefault="00553A23" w:rsidP="00CE6A91">
      <w:pPr>
        <w:pStyle w:val="ListParagraph"/>
        <w:numPr>
          <w:ilvl w:val="0"/>
          <w:numId w:val="15"/>
        </w:numPr>
        <w:tabs>
          <w:tab w:val="clear" w:pos="567"/>
          <w:tab w:val="clear" w:pos="992"/>
        </w:tabs>
        <w:spacing w:before="0" w:line="240" w:lineRule="auto"/>
        <w:jc w:val="left"/>
        <w:rPr>
          <w:rFonts w:asciiTheme="majorBidi" w:hAnsiTheme="majorBidi" w:cstheme="majorBidi"/>
        </w:rPr>
      </w:pPr>
      <w:r>
        <w:rPr>
          <w:rFonts w:asciiTheme="majorBidi" w:hAnsiTheme="majorBidi" w:cstheme="majorBidi"/>
        </w:rPr>
        <w:t xml:space="preserve">Agreed to </w:t>
      </w:r>
      <w:r w:rsidR="00CE6A91">
        <w:rPr>
          <w:rFonts w:asciiTheme="majorBidi" w:hAnsiTheme="majorBidi" w:cstheme="majorBidi"/>
        </w:rPr>
        <w:t xml:space="preserve">consider the purpose of </w:t>
      </w:r>
      <w:r>
        <w:rPr>
          <w:rFonts w:asciiTheme="majorBidi" w:hAnsiTheme="majorBidi" w:cstheme="majorBidi"/>
        </w:rPr>
        <w:t>the IASC Reference Group on Protracted Displacement</w:t>
      </w:r>
      <w:r w:rsidR="00CE6A91">
        <w:rPr>
          <w:rFonts w:asciiTheme="majorBidi" w:hAnsiTheme="majorBidi" w:cstheme="majorBidi"/>
        </w:rPr>
        <w:t xml:space="preserve"> in the context of the broader review of relevance and mandates of all IASC Subsidiary Bodies, as suggested by the DERC.</w:t>
      </w:r>
      <w:r w:rsidR="00A7118F">
        <w:rPr>
          <w:rFonts w:asciiTheme="majorBidi" w:hAnsiTheme="majorBidi" w:cstheme="majorBidi"/>
        </w:rPr>
        <w:t xml:space="preserve"> </w:t>
      </w:r>
      <w:r>
        <w:rPr>
          <w:rFonts w:asciiTheme="majorBidi" w:hAnsiTheme="majorBidi" w:cstheme="majorBidi"/>
          <w:b/>
          <w:bCs/>
          <w:i/>
          <w:iCs/>
        </w:rPr>
        <w:t>For Action</w:t>
      </w:r>
      <w:r w:rsidR="00674950">
        <w:rPr>
          <w:rFonts w:asciiTheme="majorBidi" w:hAnsiTheme="majorBidi" w:cstheme="majorBidi"/>
          <w:b/>
          <w:bCs/>
          <w:i/>
          <w:iCs/>
        </w:rPr>
        <w:t xml:space="preserve">: IASC secretariat </w:t>
      </w:r>
      <w:r w:rsidR="00A7118F">
        <w:rPr>
          <w:rFonts w:asciiTheme="majorBidi" w:hAnsiTheme="majorBidi" w:cstheme="majorBidi"/>
          <w:b/>
          <w:bCs/>
          <w:i/>
          <w:iCs/>
        </w:rPr>
        <w:t xml:space="preserve">to inform the RG Co-Chairs </w:t>
      </w:r>
      <w:r w:rsidR="00674950">
        <w:rPr>
          <w:rFonts w:asciiTheme="majorBidi" w:hAnsiTheme="majorBidi" w:cstheme="majorBidi"/>
          <w:b/>
          <w:bCs/>
          <w:i/>
          <w:iCs/>
        </w:rPr>
        <w:t xml:space="preserve">(by 17 April </w:t>
      </w:r>
      <w:r>
        <w:rPr>
          <w:rFonts w:asciiTheme="majorBidi" w:hAnsiTheme="majorBidi" w:cstheme="majorBidi"/>
          <w:b/>
          <w:bCs/>
          <w:i/>
          <w:iCs/>
        </w:rPr>
        <w:t>2017).</w:t>
      </w:r>
    </w:p>
    <w:p w14:paraId="217677DE" w14:textId="77777777" w:rsidR="005C1241" w:rsidRPr="005C1241" w:rsidRDefault="005C1241" w:rsidP="005C1241">
      <w:pPr>
        <w:pStyle w:val="ListParagraph"/>
        <w:tabs>
          <w:tab w:val="clear" w:pos="567"/>
          <w:tab w:val="clear" w:pos="992"/>
        </w:tabs>
        <w:spacing w:before="0" w:line="240" w:lineRule="auto"/>
        <w:ind w:left="360"/>
        <w:jc w:val="left"/>
        <w:rPr>
          <w:rFonts w:asciiTheme="majorBidi" w:hAnsiTheme="majorBidi" w:cstheme="majorBidi"/>
        </w:rPr>
      </w:pPr>
    </w:p>
    <w:p w14:paraId="58E14BED" w14:textId="77777777" w:rsidR="00F01D99" w:rsidRDefault="00F01D99" w:rsidP="004343D8">
      <w:pPr>
        <w:pStyle w:val="ListParagraph"/>
        <w:numPr>
          <w:ilvl w:val="0"/>
          <w:numId w:val="13"/>
        </w:numPr>
        <w:spacing w:before="0" w:after="240" w:line="240" w:lineRule="auto"/>
        <w:rPr>
          <w:rFonts w:asciiTheme="majorBidi" w:hAnsiTheme="majorBidi" w:cstheme="majorBidi"/>
          <w:b/>
          <w:bCs/>
          <w:szCs w:val="22"/>
        </w:rPr>
      </w:pPr>
      <w:r w:rsidRPr="00F01D99">
        <w:rPr>
          <w:rFonts w:asciiTheme="majorBidi" w:hAnsiTheme="majorBidi" w:cstheme="majorBidi"/>
          <w:b/>
          <w:bCs/>
          <w:szCs w:val="22"/>
        </w:rPr>
        <w:t>Sustaining Peace and The New Way of Working</w:t>
      </w:r>
    </w:p>
    <w:p w14:paraId="562A997D" w14:textId="77777777" w:rsidR="00012AB9" w:rsidRPr="00BD05E5" w:rsidRDefault="008A7C83" w:rsidP="004343D8">
      <w:pPr>
        <w:spacing w:before="0" w:line="240" w:lineRule="auto"/>
        <w:rPr>
          <w:rFonts w:asciiTheme="majorBidi" w:hAnsiTheme="majorBidi" w:cstheme="majorBidi"/>
          <w:bCs/>
          <w:iCs/>
          <w:szCs w:val="22"/>
        </w:rPr>
      </w:pPr>
      <w:r>
        <w:rPr>
          <w:rFonts w:asciiTheme="majorBidi" w:hAnsiTheme="majorBidi" w:cstheme="majorBidi"/>
          <w:bCs/>
          <w:iCs/>
          <w:szCs w:val="22"/>
        </w:rPr>
        <w:t xml:space="preserve">The session provided an opportunity for participants to be updated on the work of the </w:t>
      </w:r>
      <w:r w:rsidR="00BD05E5">
        <w:rPr>
          <w:rFonts w:asciiTheme="majorBidi" w:hAnsiTheme="majorBidi" w:cstheme="majorBidi"/>
          <w:bCs/>
          <w:iCs/>
          <w:szCs w:val="22"/>
        </w:rPr>
        <w:t xml:space="preserve">Task Team on the Humanitarian-Development Nexus. Introducing the session, </w:t>
      </w:r>
      <w:r w:rsidR="00BD05E5">
        <w:rPr>
          <w:rFonts w:asciiTheme="majorBidi" w:hAnsiTheme="majorBidi" w:cstheme="majorBidi"/>
          <w:b/>
          <w:bCs/>
          <w:i/>
          <w:iCs/>
          <w:color w:val="0070C0"/>
          <w:szCs w:val="22"/>
        </w:rPr>
        <w:t xml:space="preserve">Mr. Daniel Gustafson, Deputy Director-General, </w:t>
      </w:r>
      <w:r w:rsidR="00BD05E5" w:rsidRPr="006C7A05">
        <w:rPr>
          <w:rFonts w:asciiTheme="majorBidi" w:hAnsiTheme="majorBidi" w:cstheme="majorBidi"/>
          <w:b/>
          <w:bCs/>
          <w:i/>
          <w:iCs/>
          <w:color w:val="0070C0"/>
          <w:szCs w:val="22"/>
        </w:rPr>
        <w:t>FAO</w:t>
      </w:r>
      <w:r w:rsidR="00BD05E5">
        <w:rPr>
          <w:rFonts w:asciiTheme="majorBidi" w:hAnsiTheme="majorBidi" w:cstheme="majorBidi"/>
          <w:b/>
          <w:bCs/>
          <w:i/>
          <w:iCs/>
          <w:color w:val="0070C0"/>
          <w:szCs w:val="22"/>
        </w:rPr>
        <w:t>,</w:t>
      </w:r>
      <w:r w:rsidR="00BD05E5">
        <w:rPr>
          <w:rFonts w:asciiTheme="majorBidi" w:hAnsiTheme="majorBidi" w:cstheme="majorBidi"/>
          <w:bCs/>
          <w:iCs/>
          <w:szCs w:val="22"/>
        </w:rPr>
        <w:t xml:space="preserve"> noted the explicit linkage between freedom from want and peace in its founding charter from 1945, while highlighting the need to provide guidance to the Task Team on how to position itself and focus its workplan in the context of the broader engagement on the New Way of Working, as well as vis-à-vis the Sustaining Peace agenda.</w:t>
      </w:r>
    </w:p>
    <w:p w14:paraId="3B4F3ACF" w14:textId="77777777" w:rsidR="00012AB9" w:rsidRPr="00012AB9" w:rsidRDefault="00012AB9" w:rsidP="004343D8">
      <w:pPr>
        <w:spacing w:before="0" w:line="240" w:lineRule="auto"/>
        <w:rPr>
          <w:rFonts w:asciiTheme="majorBidi" w:hAnsiTheme="majorBidi" w:cstheme="majorBidi"/>
          <w:bCs/>
          <w:iCs/>
          <w:szCs w:val="22"/>
        </w:rPr>
      </w:pPr>
    </w:p>
    <w:p w14:paraId="698FEE57" w14:textId="4BDCA606" w:rsidR="00751BCA" w:rsidRDefault="00C92E95" w:rsidP="005E2471">
      <w:pPr>
        <w:spacing w:before="0" w:line="240" w:lineRule="auto"/>
        <w:rPr>
          <w:rFonts w:asciiTheme="majorBidi" w:hAnsiTheme="majorBidi" w:cstheme="majorBidi"/>
          <w:bCs/>
          <w:iCs/>
          <w:szCs w:val="22"/>
        </w:rPr>
      </w:pPr>
      <w:r w:rsidRPr="00C92E95">
        <w:rPr>
          <w:rFonts w:asciiTheme="majorBidi" w:hAnsiTheme="majorBidi" w:cstheme="majorBidi"/>
          <w:b/>
          <w:bCs/>
          <w:i/>
          <w:iCs/>
          <w:color w:val="0070C0"/>
          <w:szCs w:val="22"/>
        </w:rPr>
        <w:t xml:space="preserve">Mr. Bruno Lemarquis (UNDP) </w:t>
      </w:r>
      <w:r w:rsidR="00BD05E5">
        <w:rPr>
          <w:rFonts w:asciiTheme="majorBidi" w:hAnsiTheme="majorBidi" w:cstheme="majorBidi"/>
          <w:b/>
          <w:bCs/>
          <w:i/>
          <w:iCs/>
          <w:color w:val="0070C0"/>
          <w:szCs w:val="22"/>
        </w:rPr>
        <w:t xml:space="preserve">on behalf of the TT on the Humanitarian-Development Nexus, </w:t>
      </w:r>
      <w:r w:rsidR="00BD05E5">
        <w:rPr>
          <w:rFonts w:asciiTheme="majorBidi" w:hAnsiTheme="majorBidi" w:cstheme="majorBidi"/>
          <w:bCs/>
          <w:iCs/>
          <w:szCs w:val="22"/>
        </w:rPr>
        <w:t>helped to demystif</w:t>
      </w:r>
      <w:r w:rsidR="004343D8">
        <w:rPr>
          <w:rFonts w:asciiTheme="majorBidi" w:hAnsiTheme="majorBidi" w:cstheme="majorBidi"/>
          <w:bCs/>
          <w:iCs/>
          <w:szCs w:val="22"/>
        </w:rPr>
        <w:t xml:space="preserve">y the New Way of Working (NWOW), noting the paradigm shift this represents for how we work, while it is not new in its essentials. </w:t>
      </w:r>
      <w:r w:rsidR="003E497D">
        <w:rPr>
          <w:rFonts w:asciiTheme="majorBidi" w:hAnsiTheme="majorBidi" w:cstheme="majorBidi"/>
          <w:bCs/>
          <w:iCs/>
          <w:szCs w:val="22"/>
        </w:rPr>
        <w:t xml:space="preserve">He noted that the NWOW is above all about common sense. </w:t>
      </w:r>
      <w:r w:rsidR="004343D8">
        <w:rPr>
          <w:rFonts w:asciiTheme="majorBidi" w:hAnsiTheme="majorBidi" w:cstheme="majorBidi"/>
          <w:bCs/>
          <w:iCs/>
          <w:szCs w:val="22"/>
        </w:rPr>
        <w:t xml:space="preserve">He noted the focus, in line with the </w:t>
      </w:r>
      <w:r w:rsidR="00CD18A5">
        <w:rPr>
          <w:rFonts w:asciiTheme="majorBidi" w:hAnsiTheme="majorBidi" w:cstheme="majorBidi"/>
          <w:bCs/>
          <w:iCs/>
          <w:szCs w:val="22"/>
        </w:rPr>
        <w:t xml:space="preserve">WHS </w:t>
      </w:r>
      <w:r w:rsidR="004343D8">
        <w:rPr>
          <w:rFonts w:asciiTheme="majorBidi" w:hAnsiTheme="majorBidi" w:cstheme="majorBidi"/>
          <w:bCs/>
          <w:iCs/>
          <w:szCs w:val="22"/>
        </w:rPr>
        <w:t xml:space="preserve">Commitment to Action, to reduce needs, risks and vulnerabilities, requiring new institutional measures, a multi-dimensional approach and political commitment to change. He stressed that the approach must be context-specific, one size does </w:t>
      </w:r>
      <w:r w:rsidR="00CD18A5">
        <w:rPr>
          <w:rFonts w:asciiTheme="majorBidi" w:hAnsiTheme="majorBidi" w:cstheme="majorBidi"/>
          <w:bCs/>
          <w:iCs/>
          <w:szCs w:val="22"/>
        </w:rPr>
        <w:t>n</w:t>
      </w:r>
      <w:r w:rsidR="004343D8">
        <w:rPr>
          <w:rFonts w:asciiTheme="majorBidi" w:hAnsiTheme="majorBidi" w:cstheme="majorBidi"/>
          <w:bCs/>
          <w:iCs/>
          <w:szCs w:val="22"/>
        </w:rPr>
        <w:t xml:space="preserve">ot fit all, and – in conflict situations – a clearer division </w:t>
      </w:r>
      <w:r w:rsidR="00CD18A5">
        <w:rPr>
          <w:rFonts w:asciiTheme="majorBidi" w:hAnsiTheme="majorBidi" w:cstheme="majorBidi"/>
          <w:bCs/>
          <w:iCs/>
          <w:szCs w:val="22"/>
        </w:rPr>
        <w:t xml:space="preserve">may be </w:t>
      </w:r>
      <w:r w:rsidR="004343D8">
        <w:rPr>
          <w:rFonts w:asciiTheme="majorBidi" w:hAnsiTheme="majorBidi" w:cstheme="majorBidi"/>
          <w:bCs/>
          <w:iCs/>
          <w:szCs w:val="22"/>
        </w:rPr>
        <w:t>required, with the humanitarian imperative, respect for IHL and c</w:t>
      </w:r>
      <w:r w:rsidR="00636E91">
        <w:rPr>
          <w:rFonts w:asciiTheme="majorBidi" w:hAnsiTheme="majorBidi" w:cstheme="majorBidi"/>
          <w:bCs/>
          <w:iCs/>
          <w:szCs w:val="22"/>
        </w:rPr>
        <w:t xml:space="preserve">entrality of protection </w:t>
      </w:r>
      <w:r w:rsidR="009E363B">
        <w:rPr>
          <w:rFonts w:asciiTheme="majorBidi" w:hAnsiTheme="majorBidi" w:cstheme="majorBidi"/>
          <w:bCs/>
          <w:iCs/>
          <w:szCs w:val="22"/>
        </w:rPr>
        <w:t xml:space="preserve">as </w:t>
      </w:r>
      <w:r w:rsidR="00636E91">
        <w:rPr>
          <w:rFonts w:asciiTheme="majorBidi" w:hAnsiTheme="majorBidi" w:cstheme="majorBidi"/>
          <w:bCs/>
          <w:iCs/>
          <w:szCs w:val="22"/>
        </w:rPr>
        <w:t>key, while in other situations engagement with government and r</w:t>
      </w:r>
      <w:r w:rsidR="002C6705">
        <w:rPr>
          <w:rFonts w:asciiTheme="majorBidi" w:hAnsiTheme="majorBidi" w:cstheme="majorBidi"/>
          <w:bCs/>
          <w:iCs/>
          <w:szCs w:val="22"/>
        </w:rPr>
        <w:t>esilience-building is possible.</w:t>
      </w:r>
      <w:r w:rsidR="00636E91">
        <w:rPr>
          <w:rFonts w:asciiTheme="majorBidi" w:hAnsiTheme="majorBidi" w:cstheme="majorBidi"/>
          <w:bCs/>
          <w:iCs/>
          <w:szCs w:val="22"/>
        </w:rPr>
        <w:t xml:space="preserve"> He noted that the field, and field leadership, must drive the approach, with HQs translating this into a more system-wide response and guidance</w:t>
      </w:r>
      <w:r w:rsidR="003E497D">
        <w:rPr>
          <w:rFonts w:asciiTheme="majorBidi" w:hAnsiTheme="majorBidi" w:cstheme="majorBidi"/>
          <w:bCs/>
          <w:iCs/>
          <w:szCs w:val="22"/>
        </w:rPr>
        <w:t xml:space="preserve"> and making the necessary changes (policy, tools, accountability, incentives, etc.) to unlock the blockages and foster </w:t>
      </w:r>
      <w:r w:rsidR="00DB431B">
        <w:rPr>
          <w:rFonts w:asciiTheme="majorBidi" w:hAnsiTheme="majorBidi" w:cstheme="majorBidi"/>
          <w:bCs/>
          <w:iCs/>
          <w:szCs w:val="22"/>
        </w:rPr>
        <w:t>joined-up</w:t>
      </w:r>
      <w:r w:rsidR="003E497D">
        <w:rPr>
          <w:rFonts w:asciiTheme="majorBidi" w:hAnsiTheme="majorBidi" w:cstheme="majorBidi"/>
          <w:bCs/>
          <w:iCs/>
          <w:szCs w:val="22"/>
        </w:rPr>
        <w:t xml:space="preserve"> approaches</w:t>
      </w:r>
      <w:r w:rsidR="00636E91">
        <w:rPr>
          <w:rFonts w:asciiTheme="majorBidi" w:hAnsiTheme="majorBidi" w:cstheme="majorBidi"/>
          <w:bCs/>
          <w:iCs/>
          <w:szCs w:val="22"/>
        </w:rPr>
        <w:t xml:space="preserve">. He highlighted key </w:t>
      </w:r>
      <w:r w:rsidR="002C6705">
        <w:rPr>
          <w:rFonts w:asciiTheme="majorBidi" w:hAnsiTheme="majorBidi" w:cstheme="majorBidi"/>
          <w:bCs/>
          <w:iCs/>
          <w:szCs w:val="22"/>
        </w:rPr>
        <w:t xml:space="preserve">elements of the </w:t>
      </w:r>
      <w:r w:rsidR="00C17B7C">
        <w:rPr>
          <w:rFonts w:asciiTheme="majorBidi" w:hAnsiTheme="majorBidi" w:cstheme="majorBidi"/>
          <w:bCs/>
          <w:iCs/>
          <w:szCs w:val="22"/>
        </w:rPr>
        <w:t>NWOW</w:t>
      </w:r>
      <w:r w:rsidR="00636E91">
        <w:rPr>
          <w:rFonts w:asciiTheme="majorBidi" w:hAnsiTheme="majorBidi" w:cstheme="majorBidi"/>
          <w:bCs/>
          <w:iCs/>
          <w:szCs w:val="22"/>
        </w:rPr>
        <w:t xml:space="preserve">, including the call for more coherent, joint analysis, possible in most contexts; </w:t>
      </w:r>
      <w:r w:rsidR="002C6705">
        <w:rPr>
          <w:rFonts w:asciiTheme="majorBidi" w:hAnsiTheme="majorBidi" w:cstheme="majorBidi"/>
          <w:bCs/>
          <w:iCs/>
          <w:szCs w:val="22"/>
        </w:rPr>
        <w:t xml:space="preserve">the need to look at more joined-up and aligned planning (dependent on context), with the SDGs as the broader framework, and looking to multi-year </w:t>
      </w:r>
      <w:r w:rsidR="00064185">
        <w:rPr>
          <w:rFonts w:asciiTheme="majorBidi" w:hAnsiTheme="majorBidi" w:cstheme="majorBidi"/>
          <w:bCs/>
          <w:iCs/>
          <w:szCs w:val="22"/>
        </w:rPr>
        <w:t xml:space="preserve">collective </w:t>
      </w:r>
      <w:r w:rsidR="002C6705">
        <w:rPr>
          <w:rFonts w:asciiTheme="majorBidi" w:hAnsiTheme="majorBidi" w:cstheme="majorBidi"/>
          <w:bCs/>
          <w:iCs/>
          <w:szCs w:val="22"/>
        </w:rPr>
        <w:t xml:space="preserve">outcomes. He suggested that UNDAFs and HRPs must be able to speak to each other. Country-level leadership must be empowered to move the agenda forward, and given the required support; </w:t>
      </w:r>
      <w:r w:rsidR="009E363B">
        <w:rPr>
          <w:rFonts w:asciiTheme="majorBidi" w:hAnsiTheme="majorBidi" w:cstheme="majorBidi"/>
          <w:bCs/>
          <w:iCs/>
          <w:szCs w:val="22"/>
        </w:rPr>
        <w:t xml:space="preserve">support </w:t>
      </w:r>
      <w:r w:rsidR="002C6705">
        <w:rPr>
          <w:rFonts w:asciiTheme="majorBidi" w:hAnsiTheme="majorBidi" w:cstheme="majorBidi"/>
          <w:bCs/>
          <w:iCs/>
          <w:szCs w:val="22"/>
        </w:rPr>
        <w:t>teams/people ‘multilingual’ in the logic and culture of diverse systems, should be developed</w:t>
      </w:r>
      <w:r w:rsidR="00CB491B">
        <w:rPr>
          <w:rStyle w:val="FootnoteReference"/>
          <w:rFonts w:asciiTheme="majorBidi" w:hAnsiTheme="majorBidi" w:cstheme="majorBidi"/>
          <w:bCs/>
          <w:iCs/>
          <w:szCs w:val="22"/>
        </w:rPr>
        <w:footnoteReference w:id="2"/>
      </w:r>
      <w:r w:rsidR="002C6705">
        <w:rPr>
          <w:rFonts w:asciiTheme="majorBidi" w:hAnsiTheme="majorBidi" w:cstheme="majorBidi"/>
          <w:bCs/>
          <w:iCs/>
          <w:szCs w:val="22"/>
        </w:rPr>
        <w:t xml:space="preserve">; context-specific </w:t>
      </w:r>
      <w:r w:rsidR="003E497D">
        <w:rPr>
          <w:rFonts w:asciiTheme="majorBidi" w:hAnsiTheme="majorBidi" w:cstheme="majorBidi"/>
          <w:bCs/>
          <w:iCs/>
          <w:szCs w:val="22"/>
        </w:rPr>
        <w:t xml:space="preserve">coordination </w:t>
      </w:r>
      <w:r w:rsidR="002C6705">
        <w:rPr>
          <w:rFonts w:asciiTheme="majorBidi" w:hAnsiTheme="majorBidi" w:cstheme="majorBidi"/>
          <w:bCs/>
          <w:iCs/>
          <w:szCs w:val="22"/>
        </w:rPr>
        <w:t>architecture must be fit for purpose</w:t>
      </w:r>
      <w:r w:rsidR="00AE0B81">
        <w:rPr>
          <w:rFonts w:asciiTheme="majorBidi" w:hAnsiTheme="majorBidi" w:cstheme="majorBidi"/>
          <w:bCs/>
          <w:iCs/>
          <w:szCs w:val="22"/>
        </w:rPr>
        <w:t xml:space="preserve"> including</w:t>
      </w:r>
      <w:r w:rsidR="003E497D">
        <w:rPr>
          <w:rFonts w:asciiTheme="majorBidi" w:hAnsiTheme="majorBidi" w:cstheme="majorBidi"/>
          <w:bCs/>
          <w:iCs/>
          <w:szCs w:val="22"/>
        </w:rPr>
        <w:t xml:space="preserve"> to foster coherence</w:t>
      </w:r>
      <w:r w:rsidR="00AE0B81">
        <w:rPr>
          <w:rFonts w:asciiTheme="majorBidi" w:hAnsiTheme="majorBidi" w:cstheme="majorBidi"/>
          <w:bCs/>
          <w:iCs/>
          <w:szCs w:val="22"/>
        </w:rPr>
        <w:t xml:space="preserve"> where relevant</w:t>
      </w:r>
      <w:r w:rsidR="002C6705">
        <w:rPr>
          <w:rFonts w:asciiTheme="majorBidi" w:hAnsiTheme="majorBidi" w:cstheme="majorBidi"/>
          <w:bCs/>
          <w:iCs/>
          <w:szCs w:val="22"/>
        </w:rPr>
        <w:t xml:space="preserve">; and there remains a need for better integrated financing </w:t>
      </w:r>
      <w:r w:rsidR="003E497D">
        <w:rPr>
          <w:rFonts w:asciiTheme="majorBidi" w:hAnsiTheme="majorBidi" w:cstheme="majorBidi"/>
          <w:bCs/>
          <w:iCs/>
          <w:szCs w:val="22"/>
        </w:rPr>
        <w:t>instruments</w:t>
      </w:r>
      <w:r w:rsidR="002C6705">
        <w:rPr>
          <w:rFonts w:asciiTheme="majorBidi" w:hAnsiTheme="majorBidi" w:cstheme="majorBidi"/>
          <w:bCs/>
          <w:iCs/>
          <w:szCs w:val="22"/>
        </w:rPr>
        <w:t xml:space="preserve">, and to </w:t>
      </w:r>
      <w:r w:rsidR="00CB491B">
        <w:rPr>
          <w:rFonts w:asciiTheme="majorBidi" w:hAnsiTheme="majorBidi" w:cstheme="majorBidi"/>
          <w:bCs/>
          <w:iCs/>
          <w:szCs w:val="22"/>
        </w:rPr>
        <w:t xml:space="preserve">build </w:t>
      </w:r>
      <w:r w:rsidR="002C6705">
        <w:rPr>
          <w:rFonts w:asciiTheme="majorBidi" w:hAnsiTheme="majorBidi" w:cstheme="majorBidi"/>
          <w:bCs/>
          <w:iCs/>
          <w:szCs w:val="22"/>
        </w:rPr>
        <w:t xml:space="preserve">donor support for </w:t>
      </w:r>
      <w:r w:rsidR="009E363B">
        <w:rPr>
          <w:rFonts w:asciiTheme="majorBidi" w:hAnsiTheme="majorBidi" w:cstheme="majorBidi"/>
          <w:bCs/>
          <w:iCs/>
          <w:szCs w:val="22"/>
        </w:rPr>
        <w:t xml:space="preserve">them to </w:t>
      </w:r>
      <w:r w:rsidR="002C6705">
        <w:rPr>
          <w:rFonts w:asciiTheme="majorBidi" w:hAnsiTheme="majorBidi" w:cstheme="majorBidi"/>
          <w:bCs/>
          <w:iCs/>
          <w:szCs w:val="22"/>
        </w:rPr>
        <w:t xml:space="preserve">resolve their internal </w:t>
      </w:r>
      <w:r w:rsidR="009E363B">
        <w:rPr>
          <w:rFonts w:asciiTheme="majorBidi" w:hAnsiTheme="majorBidi" w:cstheme="majorBidi"/>
          <w:bCs/>
          <w:iCs/>
          <w:szCs w:val="22"/>
        </w:rPr>
        <w:t xml:space="preserve">architectural </w:t>
      </w:r>
      <w:r w:rsidR="002C6705">
        <w:rPr>
          <w:rFonts w:asciiTheme="majorBidi" w:hAnsiTheme="majorBidi" w:cstheme="majorBidi"/>
          <w:bCs/>
          <w:iCs/>
          <w:szCs w:val="22"/>
        </w:rPr>
        <w:t xml:space="preserve">silos between </w:t>
      </w:r>
      <w:r w:rsidR="009E363B">
        <w:rPr>
          <w:rFonts w:asciiTheme="majorBidi" w:hAnsiTheme="majorBidi" w:cstheme="majorBidi"/>
          <w:bCs/>
          <w:iCs/>
          <w:szCs w:val="22"/>
        </w:rPr>
        <w:t xml:space="preserve">traditional </w:t>
      </w:r>
      <w:r w:rsidR="002C6705">
        <w:rPr>
          <w:rFonts w:asciiTheme="majorBidi" w:hAnsiTheme="majorBidi" w:cstheme="majorBidi"/>
          <w:bCs/>
          <w:iCs/>
          <w:szCs w:val="22"/>
        </w:rPr>
        <w:t xml:space="preserve">funding streams. The Copenhagen meeting </w:t>
      </w:r>
      <w:r w:rsidR="00064185">
        <w:rPr>
          <w:rFonts w:asciiTheme="majorBidi" w:hAnsiTheme="majorBidi" w:cstheme="majorBidi"/>
          <w:bCs/>
          <w:iCs/>
          <w:szCs w:val="22"/>
        </w:rPr>
        <w:t xml:space="preserve">on the NWoW, organised by Denmark, OCHA, UNDP and the World Bank in March 2017 </w:t>
      </w:r>
      <w:r w:rsidR="002C6705">
        <w:rPr>
          <w:rFonts w:asciiTheme="majorBidi" w:hAnsiTheme="majorBidi" w:cstheme="majorBidi"/>
          <w:bCs/>
          <w:iCs/>
          <w:szCs w:val="22"/>
        </w:rPr>
        <w:t>further raised the profile of this agenda, with further meetings planned in the margins of the April World Bank</w:t>
      </w:r>
      <w:r w:rsidR="00064185">
        <w:rPr>
          <w:rFonts w:asciiTheme="majorBidi" w:hAnsiTheme="majorBidi" w:cstheme="majorBidi"/>
          <w:bCs/>
          <w:iCs/>
          <w:szCs w:val="22"/>
        </w:rPr>
        <w:t xml:space="preserve"> Spring</w:t>
      </w:r>
      <w:r w:rsidR="002C6705">
        <w:rPr>
          <w:rFonts w:asciiTheme="majorBidi" w:hAnsiTheme="majorBidi" w:cstheme="majorBidi"/>
          <w:bCs/>
          <w:iCs/>
          <w:szCs w:val="22"/>
        </w:rPr>
        <w:t xml:space="preserve"> </w:t>
      </w:r>
      <w:r w:rsidR="00064185">
        <w:rPr>
          <w:rFonts w:asciiTheme="majorBidi" w:hAnsiTheme="majorBidi" w:cstheme="majorBidi"/>
          <w:bCs/>
          <w:iCs/>
          <w:szCs w:val="22"/>
        </w:rPr>
        <w:t>M</w:t>
      </w:r>
      <w:r w:rsidR="002C6705">
        <w:rPr>
          <w:rFonts w:asciiTheme="majorBidi" w:hAnsiTheme="majorBidi" w:cstheme="majorBidi"/>
          <w:bCs/>
          <w:iCs/>
          <w:szCs w:val="22"/>
        </w:rPr>
        <w:t>eeting, and in Turkey in May</w:t>
      </w:r>
      <w:r w:rsidR="003E497D">
        <w:rPr>
          <w:rFonts w:asciiTheme="majorBidi" w:hAnsiTheme="majorBidi" w:cstheme="majorBidi"/>
          <w:bCs/>
          <w:iCs/>
          <w:szCs w:val="22"/>
        </w:rPr>
        <w:t>, to maintain the political momentum</w:t>
      </w:r>
      <w:r w:rsidR="002C6705">
        <w:rPr>
          <w:rFonts w:asciiTheme="majorBidi" w:hAnsiTheme="majorBidi" w:cstheme="majorBidi"/>
          <w:bCs/>
          <w:iCs/>
          <w:szCs w:val="22"/>
        </w:rPr>
        <w:t xml:space="preserve">. </w:t>
      </w:r>
    </w:p>
    <w:p w14:paraId="51B762F6" w14:textId="77777777" w:rsidR="002C6705" w:rsidRDefault="002C6705" w:rsidP="004343D8">
      <w:pPr>
        <w:spacing w:before="0" w:line="240" w:lineRule="auto"/>
        <w:rPr>
          <w:rFonts w:asciiTheme="majorBidi" w:hAnsiTheme="majorBidi" w:cstheme="majorBidi"/>
          <w:bCs/>
          <w:iCs/>
          <w:szCs w:val="22"/>
        </w:rPr>
      </w:pPr>
    </w:p>
    <w:p w14:paraId="035C4BAA" w14:textId="783CFC3E" w:rsidR="002C6705" w:rsidRPr="00BD05E5" w:rsidRDefault="005A7C4F" w:rsidP="00B26FE2">
      <w:pPr>
        <w:spacing w:before="0" w:line="240" w:lineRule="auto"/>
        <w:rPr>
          <w:rFonts w:asciiTheme="majorBidi" w:hAnsiTheme="majorBidi" w:cstheme="majorBidi"/>
          <w:bCs/>
          <w:iCs/>
          <w:szCs w:val="22"/>
        </w:rPr>
      </w:pPr>
      <w:r>
        <w:rPr>
          <w:rFonts w:asciiTheme="majorBidi" w:hAnsiTheme="majorBidi" w:cstheme="majorBidi"/>
          <w:bCs/>
          <w:iCs/>
          <w:szCs w:val="22"/>
        </w:rPr>
        <w:t>In discussion, p</w:t>
      </w:r>
      <w:r w:rsidR="002C6705">
        <w:rPr>
          <w:rFonts w:asciiTheme="majorBidi" w:hAnsiTheme="majorBidi" w:cstheme="majorBidi"/>
          <w:bCs/>
          <w:iCs/>
          <w:szCs w:val="22"/>
        </w:rPr>
        <w:t xml:space="preserve">articipants </w:t>
      </w:r>
      <w:r>
        <w:rPr>
          <w:rFonts w:asciiTheme="majorBidi" w:hAnsiTheme="majorBidi" w:cstheme="majorBidi"/>
          <w:bCs/>
          <w:iCs/>
          <w:szCs w:val="22"/>
        </w:rPr>
        <w:t xml:space="preserve">noted the importance of focusing on what is happening at country level, better communicating what the NWOW means, the role of the NGO community, and achieving greater clarity on the relationship with the humanitarian element. </w:t>
      </w:r>
      <w:r w:rsidR="003E497D">
        <w:rPr>
          <w:rFonts w:asciiTheme="majorBidi" w:hAnsiTheme="majorBidi" w:cstheme="majorBidi"/>
          <w:bCs/>
          <w:iCs/>
          <w:szCs w:val="22"/>
        </w:rPr>
        <w:t>Clarity was sought on roles and responsibilities in providing field support to the NWOW (IASC TT</w:t>
      </w:r>
      <w:r w:rsidR="004D3814">
        <w:rPr>
          <w:rFonts w:asciiTheme="majorBidi" w:hAnsiTheme="majorBidi" w:cstheme="majorBidi"/>
          <w:bCs/>
          <w:iCs/>
          <w:szCs w:val="22"/>
        </w:rPr>
        <w:t>, also with its collaboration with the UNDG</w:t>
      </w:r>
      <w:r w:rsidR="003E497D">
        <w:rPr>
          <w:rFonts w:asciiTheme="majorBidi" w:hAnsiTheme="majorBidi" w:cstheme="majorBidi"/>
          <w:bCs/>
          <w:iCs/>
          <w:szCs w:val="22"/>
        </w:rPr>
        <w:t xml:space="preserve">; EDG; UNDP/OCHA; STAIT), the current lack of clarity leading to some level of confusion at field level. </w:t>
      </w:r>
      <w:r>
        <w:rPr>
          <w:rFonts w:asciiTheme="majorBidi" w:hAnsiTheme="majorBidi" w:cstheme="majorBidi"/>
          <w:bCs/>
          <w:iCs/>
          <w:szCs w:val="22"/>
        </w:rPr>
        <w:t>Some noted that issues such as budgetary siloes required high-level institutional, rather than country</w:t>
      </w:r>
      <w:r w:rsidR="004C4BF7">
        <w:rPr>
          <w:rFonts w:asciiTheme="majorBidi" w:hAnsiTheme="majorBidi" w:cstheme="majorBidi"/>
          <w:bCs/>
          <w:iCs/>
          <w:szCs w:val="22"/>
        </w:rPr>
        <w:t>,</w:t>
      </w:r>
      <w:r>
        <w:rPr>
          <w:rFonts w:asciiTheme="majorBidi" w:hAnsiTheme="majorBidi" w:cstheme="majorBidi"/>
          <w:bCs/>
          <w:iCs/>
          <w:szCs w:val="22"/>
        </w:rPr>
        <w:t xml:space="preserve"> solutions, and reinforced the critical role of States, as well as donors, in th</w:t>
      </w:r>
      <w:r w:rsidR="004C4BF7">
        <w:rPr>
          <w:rFonts w:asciiTheme="majorBidi" w:hAnsiTheme="majorBidi" w:cstheme="majorBidi"/>
          <w:bCs/>
          <w:iCs/>
          <w:szCs w:val="22"/>
        </w:rPr>
        <w:t xml:space="preserve">e </w:t>
      </w:r>
      <w:r>
        <w:rPr>
          <w:rFonts w:asciiTheme="majorBidi" w:hAnsiTheme="majorBidi" w:cstheme="majorBidi"/>
          <w:bCs/>
          <w:iCs/>
          <w:szCs w:val="22"/>
        </w:rPr>
        <w:t xml:space="preserve">discussion. At the same time, </w:t>
      </w:r>
      <w:r w:rsidR="004C4BF7">
        <w:rPr>
          <w:rFonts w:asciiTheme="majorBidi" w:hAnsiTheme="majorBidi" w:cstheme="majorBidi"/>
          <w:bCs/>
          <w:iCs/>
          <w:szCs w:val="22"/>
        </w:rPr>
        <w:t xml:space="preserve">multi-disciplinary approaches were welcomed, and the need to be open to experimentation and potential to change, stepping out of the strait-jacket of one year planning and financing, and to explicitly give RC/HCs the space to define their context-specific way forward. </w:t>
      </w:r>
      <w:r w:rsidR="009E363B">
        <w:rPr>
          <w:rFonts w:asciiTheme="majorBidi" w:hAnsiTheme="majorBidi" w:cstheme="majorBidi"/>
          <w:bCs/>
          <w:iCs/>
          <w:szCs w:val="22"/>
        </w:rPr>
        <w:t>Given the shortage of time</w:t>
      </w:r>
      <w:r w:rsidR="00CB491B">
        <w:rPr>
          <w:rFonts w:asciiTheme="majorBidi" w:hAnsiTheme="majorBidi" w:cstheme="majorBidi"/>
          <w:bCs/>
          <w:iCs/>
          <w:szCs w:val="22"/>
        </w:rPr>
        <w:t xml:space="preserve"> to discuss in the meeting</w:t>
      </w:r>
      <w:r w:rsidR="009E363B">
        <w:rPr>
          <w:rFonts w:asciiTheme="majorBidi" w:hAnsiTheme="majorBidi" w:cstheme="majorBidi"/>
          <w:bCs/>
          <w:iCs/>
          <w:szCs w:val="22"/>
        </w:rPr>
        <w:t>, t</w:t>
      </w:r>
      <w:r w:rsidR="004C4BF7">
        <w:rPr>
          <w:rFonts w:asciiTheme="majorBidi" w:hAnsiTheme="majorBidi" w:cstheme="majorBidi"/>
          <w:bCs/>
          <w:iCs/>
          <w:szCs w:val="22"/>
        </w:rPr>
        <w:t xml:space="preserve">he WG did not feel able to provide the required guidance to the Task Team. It was felt the </w:t>
      </w:r>
      <w:r>
        <w:rPr>
          <w:rFonts w:asciiTheme="majorBidi" w:hAnsiTheme="majorBidi" w:cstheme="majorBidi"/>
          <w:bCs/>
          <w:iCs/>
          <w:szCs w:val="22"/>
        </w:rPr>
        <w:t xml:space="preserve">relationship with the peace agenda remained unclear and required further </w:t>
      </w:r>
      <w:r>
        <w:rPr>
          <w:rFonts w:asciiTheme="majorBidi" w:hAnsiTheme="majorBidi" w:cstheme="majorBidi"/>
          <w:bCs/>
          <w:iCs/>
          <w:szCs w:val="22"/>
        </w:rPr>
        <w:lastRenderedPageBreak/>
        <w:t>unpacking</w:t>
      </w:r>
      <w:r w:rsidR="009E363B">
        <w:rPr>
          <w:rFonts w:asciiTheme="majorBidi" w:hAnsiTheme="majorBidi" w:cstheme="majorBidi"/>
          <w:bCs/>
          <w:iCs/>
          <w:szCs w:val="22"/>
        </w:rPr>
        <w:t xml:space="preserve"> as it appeared to divide the group</w:t>
      </w:r>
      <w:r w:rsidR="004C4BF7">
        <w:rPr>
          <w:rFonts w:asciiTheme="majorBidi" w:hAnsiTheme="majorBidi" w:cstheme="majorBidi"/>
          <w:bCs/>
          <w:iCs/>
          <w:szCs w:val="22"/>
        </w:rPr>
        <w:t>, but a lack of clarity on the drivers for these, and continuation</w:t>
      </w:r>
      <w:r w:rsidR="00B26FE2">
        <w:rPr>
          <w:rFonts w:asciiTheme="majorBidi" w:hAnsiTheme="majorBidi" w:cstheme="majorBidi"/>
          <w:bCs/>
          <w:iCs/>
          <w:szCs w:val="22"/>
        </w:rPr>
        <w:t xml:space="preserve"> of the Task Team</w:t>
      </w:r>
      <w:r w:rsidR="004C4BF7">
        <w:rPr>
          <w:rFonts w:asciiTheme="majorBidi" w:hAnsiTheme="majorBidi" w:cstheme="majorBidi"/>
          <w:bCs/>
          <w:iCs/>
          <w:szCs w:val="22"/>
        </w:rPr>
        <w:t xml:space="preserve"> (beyond the March 2018) would have to be dependent on a clear tasking. In this context, a more robust discussion at a later date was recommended. </w:t>
      </w:r>
    </w:p>
    <w:p w14:paraId="06CF7980" w14:textId="77777777" w:rsidR="00FD3B2A" w:rsidRPr="00566A12" w:rsidRDefault="00FD3B2A" w:rsidP="00674950">
      <w:pPr>
        <w:spacing w:line="240" w:lineRule="auto"/>
        <w:rPr>
          <w:rFonts w:asciiTheme="majorBidi" w:hAnsiTheme="majorBidi" w:cstheme="majorBidi"/>
          <w:b/>
        </w:rPr>
      </w:pPr>
      <w:r w:rsidRPr="00566A12">
        <w:rPr>
          <w:rFonts w:asciiTheme="majorBidi" w:hAnsiTheme="majorBidi" w:cstheme="majorBidi"/>
          <w:b/>
        </w:rPr>
        <w:t xml:space="preserve">The Working Group: </w:t>
      </w:r>
    </w:p>
    <w:p w14:paraId="6074D494" w14:textId="56A5DE11" w:rsidR="00FD3B2A" w:rsidRPr="00FD3B2A" w:rsidRDefault="00FD3B2A" w:rsidP="00674950">
      <w:pPr>
        <w:pStyle w:val="ListParagraph"/>
        <w:numPr>
          <w:ilvl w:val="0"/>
          <w:numId w:val="15"/>
        </w:numPr>
        <w:tabs>
          <w:tab w:val="clear" w:pos="567"/>
          <w:tab w:val="clear" w:pos="992"/>
        </w:tabs>
        <w:spacing w:before="0" w:line="240" w:lineRule="auto"/>
        <w:jc w:val="left"/>
        <w:rPr>
          <w:b/>
          <w:bCs/>
          <w:i/>
          <w:iCs/>
          <w:lang w:val="en-US"/>
        </w:rPr>
      </w:pPr>
      <w:r>
        <w:rPr>
          <w:lang w:val="en-US"/>
        </w:rPr>
        <w:t xml:space="preserve">Agreed to schedule an ad-hoc IASC WG dedicated discussion </w:t>
      </w:r>
      <w:r>
        <w:t>on the New Way of Working and the challenges at field, HQ and capital levels</w:t>
      </w:r>
      <w:r w:rsidR="004343D8">
        <w:t xml:space="preserve"> to</w:t>
      </w:r>
      <w:r>
        <w:t xml:space="preserve"> provide the </w:t>
      </w:r>
      <w:r w:rsidR="009E363B">
        <w:t xml:space="preserve">Task Team on the </w:t>
      </w:r>
      <w:r>
        <w:t>Humanitarian-Development and Peace Nexus with concrete guidance on their time-bound tasks.  In preparation, request</w:t>
      </w:r>
      <w:r w:rsidR="004343D8">
        <w:t>ed</w:t>
      </w:r>
      <w:r>
        <w:t xml:space="preserve"> the TT to review their background paper and increase the clarity of their request</w:t>
      </w:r>
      <w:r w:rsidR="004343D8">
        <w:t>, as well as</w:t>
      </w:r>
      <w:r>
        <w:t xml:space="preserve"> reach out to </w:t>
      </w:r>
      <w:r w:rsidR="003E497D">
        <w:t>RC/</w:t>
      </w:r>
      <w:r>
        <w:t>HCs with the objective of clarifying gaps and required guidance</w:t>
      </w:r>
      <w:r w:rsidRPr="00FD3B2A">
        <w:rPr>
          <w:b/>
          <w:bCs/>
          <w:i/>
          <w:iCs/>
        </w:rPr>
        <w:t>. For Action: IASC secretariat</w:t>
      </w:r>
      <w:r w:rsidR="004343D8">
        <w:rPr>
          <w:b/>
          <w:bCs/>
          <w:i/>
          <w:iCs/>
        </w:rPr>
        <w:t xml:space="preserve"> and TT on HDN</w:t>
      </w:r>
      <w:r w:rsidRPr="00FD3B2A">
        <w:rPr>
          <w:b/>
          <w:bCs/>
          <w:i/>
          <w:iCs/>
        </w:rPr>
        <w:t xml:space="preserve"> by end of May 2017. </w:t>
      </w:r>
    </w:p>
    <w:p w14:paraId="7D0C0AA1" w14:textId="77777777" w:rsidR="00FD3B2A" w:rsidRPr="00FD3B2A" w:rsidRDefault="00FD3B2A" w:rsidP="004343D8">
      <w:pPr>
        <w:tabs>
          <w:tab w:val="clear" w:pos="567"/>
          <w:tab w:val="clear" w:pos="992"/>
        </w:tabs>
        <w:spacing w:before="0" w:line="240" w:lineRule="auto"/>
        <w:rPr>
          <w:rFonts w:asciiTheme="majorBidi" w:hAnsiTheme="majorBidi" w:cstheme="majorBidi"/>
          <w:szCs w:val="22"/>
          <w:lang w:val="en-US"/>
        </w:rPr>
      </w:pPr>
    </w:p>
    <w:p w14:paraId="5200ACA9" w14:textId="77777777" w:rsidR="00F01D99" w:rsidRPr="00AB4CD9" w:rsidRDefault="00F01D99" w:rsidP="004343D8">
      <w:pPr>
        <w:pStyle w:val="ListParagraph"/>
        <w:numPr>
          <w:ilvl w:val="0"/>
          <w:numId w:val="13"/>
        </w:numPr>
        <w:spacing w:before="0" w:after="240" w:line="240" w:lineRule="auto"/>
        <w:rPr>
          <w:rFonts w:asciiTheme="majorBidi" w:hAnsiTheme="majorBidi" w:cstheme="majorBidi"/>
          <w:b/>
          <w:bCs/>
          <w:szCs w:val="22"/>
        </w:rPr>
      </w:pPr>
      <w:r w:rsidRPr="00F01D99">
        <w:rPr>
          <w:rFonts w:asciiTheme="majorBidi" w:hAnsiTheme="majorBidi" w:cstheme="majorBidi"/>
          <w:b/>
          <w:bCs/>
          <w:szCs w:val="22"/>
        </w:rPr>
        <w:t>Strengthening Communication for the IASC through Social Media</w:t>
      </w:r>
    </w:p>
    <w:p w14:paraId="7EECB811" w14:textId="784F9530" w:rsidR="00C17B7C" w:rsidRDefault="001D3B8E" w:rsidP="00200275">
      <w:pPr>
        <w:tabs>
          <w:tab w:val="clear" w:pos="567"/>
          <w:tab w:val="clear" w:pos="992"/>
        </w:tabs>
        <w:spacing w:before="0" w:line="240" w:lineRule="auto"/>
      </w:pPr>
      <w:r w:rsidRPr="001A79CC">
        <w:rPr>
          <w:rFonts w:asciiTheme="majorBidi" w:hAnsiTheme="majorBidi" w:cstheme="majorBidi"/>
          <w:b/>
          <w:bCs/>
          <w:i/>
          <w:iCs/>
          <w:color w:val="0070C0"/>
          <w:szCs w:val="22"/>
        </w:rPr>
        <w:t>Ursula Mueller, Chair of the IASC WG</w:t>
      </w:r>
      <w:r w:rsidR="00E0124B">
        <w:rPr>
          <w:rFonts w:asciiTheme="majorBidi" w:hAnsiTheme="majorBidi" w:cstheme="majorBidi"/>
          <w:b/>
          <w:bCs/>
          <w:i/>
          <w:iCs/>
          <w:color w:val="0070C0"/>
          <w:szCs w:val="22"/>
        </w:rPr>
        <w:t xml:space="preserve"> </w:t>
      </w:r>
      <w:r w:rsidR="00E0124B" w:rsidRPr="00E0124B">
        <w:rPr>
          <w:b/>
          <w:i/>
        </w:rPr>
        <w:t>and</w:t>
      </w:r>
      <w:r w:rsidR="00E0124B">
        <w:t xml:space="preserve"> </w:t>
      </w:r>
      <w:r w:rsidR="00E0124B">
        <w:rPr>
          <w:rFonts w:asciiTheme="majorBidi" w:hAnsiTheme="majorBidi" w:cstheme="majorBidi"/>
          <w:b/>
          <w:bCs/>
          <w:i/>
          <w:iCs/>
          <w:color w:val="0070C0"/>
          <w:szCs w:val="22"/>
        </w:rPr>
        <w:t>DERC</w:t>
      </w:r>
      <w:r w:rsidR="00200275">
        <w:rPr>
          <w:rFonts w:asciiTheme="majorBidi" w:hAnsiTheme="majorBidi" w:cstheme="majorBidi"/>
          <w:b/>
          <w:bCs/>
          <w:i/>
          <w:iCs/>
          <w:color w:val="0070C0"/>
          <w:szCs w:val="22"/>
        </w:rPr>
        <w:t xml:space="preserve"> </w:t>
      </w:r>
      <w:r w:rsidR="00C17B7C">
        <w:t>facilitated a conversation with the</w:t>
      </w:r>
      <w:r>
        <w:t xml:space="preserve"> WG on </w:t>
      </w:r>
      <w:r w:rsidR="00C17B7C">
        <w:t xml:space="preserve">the </w:t>
      </w:r>
      <w:r>
        <w:t>opportunities for strengthening the voice and advocacy of the IASC</w:t>
      </w:r>
      <w:r w:rsidR="00B2011F">
        <w:t xml:space="preserve"> through more collaborative use of social media</w:t>
      </w:r>
      <w:r>
        <w:t>. She noted</w:t>
      </w:r>
      <w:r w:rsidRPr="001D3B8E">
        <w:t xml:space="preserve"> that</w:t>
      </w:r>
      <w:r w:rsidR="00B2011F">
        <w:t>, building on the key role played by the WG in strengthening the IASC’s collective voice,</w:t>
      </w:r>
      <w:r w:rsidRPr="001D3B8E">
        <w:t xml:space="preserve"> more systematic engagement on and reflection of key messaging and products </w:t>
      </w:r>
      <w:r w:rsidR="00C17B7C">
        <w:t>could</w:t>
      </w:r>
      <w:r w:rsidRPr="001D3B8E">
        <w:t xml:space="preserve"> highlight, and act as a multiplier, for the considerable advocacy, work and impact of IASC partners individually and collectively, </w:t>
      </w:r>
      <w:r w:rsidR="009A011C">
        <w:t>in support of effective humanitarian assistance</w:t>
      </w:r>
      <w:r w:rsidRPr="001D3B8E">
        <w:t xml:space="preserve">. </w:t>
      </w:r>
      <w:r w:rsidR="00352646">
        <w:t xml:space="preserve">Some recent, positive collaboration was noted within the UN Communications Group on common messaging around the ‘Four Famines’, intended to sound the alarm, motivate donors, communicate the humanitarian impact, secure unimpeded access, and foster stronger alignment between humanitarian and development actors. </w:t>
      </w:r>
      <w:r w:rsidR="00B2011F" w:rsidRPr="001D3B8E">
        <w:t>Strengthened collaborative social media engagement and content creation would also increase understanding of what the IASC is and does</w:t>
      </w:r>
      <w:r w:rsidR="00B2011F">
        <w:t>, develop its ‘brand’</w:t>
      </w:r>
      <w:r w:rsidR="00B2011F" w:rsidRPr="001D3B8E">
        <w:t xml:space="preserve">, </w:t>
      </w:r>
      <w:r w:rsidR="00B2011F">
        <w:t>and highlight</w:t>
      </w:r>
      <w:r w:rsidR="00B2011F" w:rsidRPr="001D3B8E">
        <w:t xml:space="preserve"> the work of the IASC members</w:t>
      </w:r>
      <w:r w:rsidR="00B2011F">
        <w:t xml:space="preserve">, as had been emphasised as essential during earlier discussion. </w:t>
      </w:r>
      <w:r w:rsidR="00B2011F" w:rsidRPr="001D3B8E">
        <w:t xml:space="preserve">By building on already existing and completed content and providing it with </w:t>
      </w:r>
      <w:r w:rsidR="00B2011F">
        <w:t>enhanced</w:t>
      </w:r>
      <w:r w:rsidR="00B2011F" w:rsidRPr="001D3B8E">
        <w:t xml:space="preserve"> platform for collaboration, value would be added with minim</w:t>
      </w:r>
      <w:r w:rsidR="00B2011F">
        <w:t xml:space="preserve">al additional costs or capacity. The IASC already does this to some extent, including through </w:t>
      </w:r>
      <w:r w:rsidR="00352646">
        <w:t xml:space="preserve">its existing Facebook and Twitter platforms, </w:t>
      </w:r>
      <w:r w:rsidR="00B2011F">
        <w:t xml:space="preserve">links to its website, </w:t>
      </w:r>
      <w:r w:rsidR="00352646">
        <w:t xml:space="preserve">and in its Newsletters, while many other organisations have actively enhanced their presence and engagement on social media. </w:t>
      </w:r>
    </w:p>
    <w:p w14:paraId="5A5E5ADC" w14:textId="77777777" w:rsidR="00352646" w:rsidRDefault="00352646" w:rsidP="00B2011F">
      <w:pPr>
        <w:tabs>
          <w:tab w:val="clear" w:pos="567"/>
          <w:tab w:val="clear" w:pos="992"/>
        </w:tabs>
        <w:spacing w:before="0" w:line="240" w:lineRule="auto"/>
      </w:pPr>
    </w:p>
    <w:p w14:paraId="70D09F55" w14:textId="77777777" w:rsidR="00352646" w:rsidRDefault="00352646" w:rsidP="0086703D">
      <w:pPr>
        <w:tabs>
          <w:tab w:val="clear" w:pos="567"/>
          <w:tab w:val="clear" w:pos="992"/>
        </w:tabs>
        <w:spacing w:before="0" w:line="240" w:lineRule="auto"/>
      </w:pPr>
      <w:r>
        <w:t xml:space="preserve">In discussion, WG participants noted previous </w:t>
      </w:r>
      <w:r w:rsidR="0086703D">
        <w:t>efforts</w:t>
      </w:r>
      <w:r>
        <w:t xml:space="preserve"> on ‘branding the IASC</w:t>
      </w:r>
      <w:r w:rsidR="007654E6">
        <w:t xml:space="preserve">’, attempts to project an image of togetherness and impact, and the limited success of this initiative.  While creating an ‘IASC brand’ and targeting specific audiences may be challenging at the higher level, there was recognition of the need for better and more consistent communication and information-exchange on the IASC, and the opportunities to leverage each other’s websites, communication groups and amplify existing work and content.  Noting that even minimal engagement on this can be resource-intensive and require dedicated staff, WG recommended ‘starting small’, being realistic about the level of visibility that can be achieved, and avoid creating Standard Operating Procedures (SoPs).  </w:t>
      </w:r>
    </w:p>
    <w:p w14:paraId="0E7D71EC" w14:textId="77777777" w:rsidR="00FD3B2A" w:rsidRPr="00566A12" w:rsidRDefault="00FD3B2A" w:rsidP="00FD3B2A">
      <w:pPr>
        <w:rPr>
          <w:rFonts w:asciiTheme="majorBidi" w:hAnsiTheme="majorBidi" w:cstheme="majorBidi"/>
          <w:b/>
        </w:rPr>
      </w:pPr>
      <w:r w:rsidRPr="00566A12">
        <w:rPr>
          <w:rFonts w:asciiTheme="majorBidi" w:hAnsiTheme="majorBidi" w:cstheme="majorBidi"/>
          <w:b/>
        </w:rPr>
        <w:t xml:space="preserve">The Working Group: </w:t>
      </w:r>
    </w:p>
    <w:p w14:paraId="7D882FE4" w14:textId="7583E064" w:rsidR="00FD3B2A" w:rsidRDefault="00FD3B2A" w:rsidP="00352646">
      <w:pPr>
        <w:pStyle w:val="ListParagraph"/>
        <w:numPr>
          <w:ilvl w:val="0"/>
          <w:numId w:val="15"/>
        </w:numPr>
        <w:tabs>
          <w:tab w:val="clear" w:pos="567"/>
          <w:tab w:val="clear" w:pos="992"/>
        </w:tabs>
        <w:spacing w:before="0" w:line="240" w:lineRule="auto"/>
        <w:jc w:val="left"/>
        <w:rPr>
          <w:lang w:val="en-US"/>
        </w:rPr>
      </w:pPr>
      <w:r w:rsidRPr="00FD3B2A">
        <w:rPr>
          <w:lang w:val="en-US"/>
        </w:rPr>
        <w:t xml:space="preserve">Agreed to </w:t>
      </w:r>
      <w:r w:rsidR="00352646">
        <w:rPr>
          <w:lang w:val="en-US"/>
        </w:rPr>
        <w:t xml:space="preserve">include IASC members logos on all its various social media platforms, including hyperlinks, and a collaborative approach to amplify existing messaging and content of IASC partners through these </w:t>
      </w:r>
      <w:r>
        <w:rPr>
          <w:lang w:val="en-US"/>
        </w:rPr>
        <w:t>social media platforms.</w:t>
      </w:r>
      <w:r w:rsidR="00412723">
        <w:rPr>
          <w:lang w:val="en-US"/>
        </w:rPr>
        <w:t xml:space="preserve"> </w:t>
      </w:r>
      <w:r w:rsidR="00412723" w:rsidRPr="00A6771B">
        <w:rPr>
          <w:b/>
          <w:bCs/>
          <w:lang w:val="en-US"/>
        </w:rPr>
        <w:t>Action by</w:t>
      </w:r>
      <w:r w:rsidR="00412723">
        <w:rPr>
          <w:lang w:val="en-US"/>
        </w:rPr>
        <w:t>: IASC secretariat, to engage with IASC Focal Points.</w:t>
      </w:r>
    </w:p>
    <w:p w14:paraId="6CA230C4" w14:textId="77777777" w:rsidR="00674950" w:rsidRPr="00AB4CD9" w:rsidRDefault="00674950" w:rsidP="00AB4CD9">
      <w:pPr>
        <w:tabs>
          <w:tab w:val="clear" w:pos="567"/>
          <w:tab w:val="clear" w:pos="992"/>
        </w:tabs>
        <w:spacing w:before="0" w:line="240" w:lineRule="auto"/>
        <w:rPr>
          <w:rFonts w:asciiTheme="majorBidi" w:hAnsiTheme="majorBidi" w:cstheme="majorBidi"/>
          <w:szCs w:val="22"/>
        </w:rPr>
      </w:pPr>
    </w:p>
    <w:p w14:paraId="2535C19F" w14:textId="77777777" w:rsidR="00AD0241" w:rsidRPr="00A91E6D" w:rsidRDefault="00674950" w:rsidP="00B52F17">
      <w:pPr>
        <w:pStyle w:val="ListParagraph"/>
        <w:numPr>
          <w:ilvl w:val="0"/>
          <w:numId w:val="13"/>
        </w:numPr>
        <w:spacing w:before="0" w:after="240"/>
        <w:rPr>
          <w:rFonts w:asciiTheme="majorBidi" w:hAnsiTheme="majorBidi" w:cstheme="majorBidi"/>
          <w:b/>
          <w:bCs/>
          <w:szCs w:val="22"/>
        </w:rPr>
      </w:pPr>
      <w:r>
        <w:rPr>
          <w:rFonts w:asciiTheme="majorBidi" w:hAnsiTheme="majorBidi" w:cstheme="majorBidi"/>
          <w:b/>
          <w:bCs/>
          <w:szCs w:val="22"/>
        </w:rPr>
        <w:t xml:space="preserve">Any Other Business and </w:t>
      </w:r>
      <w:r w:rsidR="00AD0241" w:rsidRPr="00A91E6D">
        <w:rPr>
          <w:rFonts w:asciiTheme="majorBidi" w:hAnsiTheme="majorBidi" w:cstheme="majorBidi"/>
          <w:b/>
          <w:bCs/>
          <w:szCs w:val="22"/>
        </w:rPr>
        <w:t>C</w:t>
      </w:r>
      <w:r w:rsidR="004204A5">
        <w:rPr>
          <w:rFonts w:asciiTheme="majorBidi" w:hAnsiTheme="majorBidi" w:cstheme="majorBidi"/>
          <w:b/>
          <w:bCs/>
          <w:szCs w:val="22"/>
        </w:rPr>
        <w:t>losing Remarks</w:t>
      </w:r>
    </w:p>
    <w:p w14:paraId="1A51B254" w14:textId="1238DDB4" w:rsidR="000316F1" w:rsidRDefault="00674950" w:rsidP="008A432E">
      <w:pPr>
        <w:tabs>
          <w:tab w:val="clear" w:pos="567"/>
          <w:tab w:val="clear" w:pos="992"/>
        </w:tabs>
        <w:spacing w:before="0" w:line="240" w:lineRule="auto"/>
      </w:pPr>
      <w:r>
        <w:rPr>
          <w:rFonts w:asciiTheme="majorBidi" w:hAnsiTheme="majorBidi" w:cstheme="majorBidi"/>
          <w:b/>
          <w:bCs/>
          <w:i/>
          <w:iCs/>
          <w:color w:val="0070C0"/>
          <w:szCs w:val="22"/>
        </w:rPr>
        <w:t xml:space="preserve">Ms. </w:t>
      </w:r>
      <w:r w:rsidR="00B72374" w:rsidRPr="001A79CC">
        <w:rPr>
          <w:rFonts w:asciiTheme="majorBidi" w:hAnsiTheme="majorBidi" w:cstheme="majorBidi"/>
          <w:b/>
          <w:bCs/>
          <w:i/>
          <w:iCs/>
          <w:color w:val="0070C0"/>
          <w:szCs w:val="22"/>
        </w:rPr>
        <w:t>Ursula Mueller, Chair of the IASC WG</w:t>
      </w:r>
      <w:r w:rsidR="008A432E">
        <w:rPr>
          <w:rFonts w:asciiTheme="majorBidi" w:hAnsiTheme="majorBidi" w:cstheme="majorBidi"/>
          <w:b/>
          <w:bCs/>
          <w:i/>
          <w:iCs/>
          <w:color w:val="0070C0"/>
          <w:szCs w:val="22"/>
        </w:rPr>
        <w:t xml:space="preserve"> and</w:t>
      </w:r>
      <w:r w:rsidR="00200275">
        <w:t xml:space="preserve"> </w:t>
      </w:r>
      <w:r w:rsidR="00200275">
        <w:rPr>
          <w:rFonts w:asciiTheme="majorBidi" w:hAnsiTheme="majorBidi" w:cstheme="majorBidi"/>
          <w:b/>
          <w:bCs/>
          <w:i/>
          <w:iCs/>
          <w:color w:val="0070C0"/>
          <w:szCs w:val="22"/>
        </w:rPr>
        <w:t xml:space="preserve">DERC </w:t>
      </w:r>
      <w:r>
        <w:t xml:space="preserve">advised participants of the </w:t>
      </w:r>
      <w:r w:rsidRPr="0086703D">
        <w:rPr>
          <w:b/>
          <w:bCs/>
          <w:color w:val="0070C0"/>
        </w:rPr>
        <w:t>update on the roll-</w:t>
      </w:r>
      <w:r w:rsidR="00B72374" w:rsidRPr="0086703D">
        <w:rPr>
          <w:b/>
          <w:bCs/>
          <w:color w:val="0070C0"/>
        </w:rPr>
        <w:t>out and implementation of the IASC Protection Policy</w:t>
      </w:r>
      <w:r w:rsidR="00B72374" w:rsidRPr="00C54BE2">
        <w:t xml:space="preserve"> provided by the GPC</w:t>
      </w:r>
      <w:r>
        <w:t xml:space="preserve"> and shared with the background documents, in accordance with the agreement that the GPC share regular updates on its work on this. </w:t>
      </w:r>
      <w:r w:rsidR="00B72374" w:rsidRPr="00C54BE2">
        <w:t xml:space="preserve">She also highlighted the </w:t>
      </w:r>
      <w:r w:rsidR="00B72374" w:rsidRPr="008A432E">
        <w:rPr>
          <w:b/>
          <w:bCs/>
          <w:color w:val="2E74B5" w:themeColor="accent1" w:themeShade="BF"/>
        </w:rPr>
        <w:t xml:space="preserve">update </w:t>
      </w:r>
      <w:r w:rsidR="000316F1" w:rsidRPr="008A432E">
        <w:rPr>
          <w:b/>
          <w:bCs/>
          <w:color w:val="2E74B5" w:themeColor="accent1" w:themeShade="BF"/>
        </w:rPr>
        <w:t xml:space="preserve">provided </w:t>
      </w:r>
      <w:r w:rsidR="00B72374" w:rsidRPr="008A432E">
        <w:rPr>
          <w:b/>
          <w:bCs/>
          <w:color w:val="2E74B5" w:themeColor="accent1" w:themeShade="BF"/>
        </w:rPr>
        <w:t>on the Grand Bargain</w:t>
      </w:r>
      <w:r w:rsidR="00B72374" w:rsidRPr="008A432E">
        <w:rPr>
          <w:color w:val="2E74B5" w:themeColor="accent1" w:themeShade="BF"/>
        </w:rPr>
        <w:t xml:space="preserve"> </w:t>
      </w:r>
      <w:r w:rsidR="00B72374" w:rsidRPr="00C54BE2">
        <w:t xml:space="preserve">by </w:t>
      </w:r>
      <w:r w:rsidR="000316F1">
        <w:t>the GB Secretariat, which is now</w:t>
      </w:r>
      <w:r w:rsidR="00B72374" w:rsidRPr="00C54BE2">
        <w:t xml:space="preserve"> hosted by the IASC secretariat.</w:t>
      </w:r>
      <w:r w:rsidR="000316F1">
        <w:t xml:space="preserve"> The C</w:t>
      </w:r>
      <w:r w:rsidR="000316F1" w:rsidRPr="00C54BE2">
        <w:t>hair in</w:t>
      </w:r>
      <w:r w:rsidR="000316F1">
        <w:t xml:space="preserve">dicated that previous </w:t>
      </w:r>
      <w:r w:rsidR="000316F1" w:rsidRPr="0086703D">
        <w:rPr>
          <w:b/>
          <w:bCs/>
          <w:color w:val="0070C0"/>
        </w:rPr>
        <w:t>Action Points</w:t>
      </w:r>
      <w:r w:rsidR="000316F1" w:rsidRPr="0086703D">
        <w:rPr>
          <w:color w:val="0070C0"/>
        </w:rPr>
        <w:t xml:space="preserve"> </w:t>
      </w:r>
      <w:r w:rsidR="000316F1">
        <w:t xml:space="preserve">would be shared with the IASC Working Group members with the Draft Summary Record for their feedback. She noted that, in future, </w:t>
      </w:r>
      <w:r w:rsidR="000316F1" w:rsidRPr="00C54BE2">
        <w:t>a new f</w:t>
      </w:r>
      <w:r w:rsidR="000316F1">
        <w:t xml:space="preserve">eature on the IASC website </w:t>
      </w:r>
      <w:r w:rsidR="000316F1" w:rsidRPr="00C54BE2">
        <w:t>will facilitate monitoring of Action Points endorsed by the Principals and Working Group</w:t>
      </w:r>
      <w:r w:rsidR="000316F1">
        <w:t xml:space="preserve">, </w:t>
      </w:r>
      <w:r w:rsidR="000316F1">
        <w:lastRenderedPageBreak/>
        <w:t>providing access</w:t>
      </w:r>
      <w:r w:rsidR="000316F1" w:rsidRPr="00C54BE2">
        <w:t xml:space="preserve"> to up-to-date information on </w:t>
      </w:r>
      <w:r w:rsidR="000316F1">
        <w:t xml:space="preserve">the </w:t>
      </w:r>
      <w:r w:rsidR="000316F1" w:rsidRPr="00C54BE2">
        <w:t xml:space="preserve">status of implementation of action points by IASC organizations. </w:t>
      </w:r>
    </w:p>
    <w:p w14:paraId="4B32F185" w14:textId="77777777" w:rsidR="007654E6" w:rsidRPr="00C54BE2" w:rsidRDefault="007654E6" w:rsidP="00674950">
      <w:pPr>
        <w:tabs>
          <w:tab w:val="clear" w:pos="567"/>
          <w:tab w:val="clear" w:pos="992"/>
        </w:tabs>
        <w:spacing w:before="0" w:line="240" w:lineRule="auto"/>
      </w:pPr>
    </w:p>
    <w:p w14:paraId="7C684D36" w14:textId="6D4B28EE" w:rsidR="009A2A89" w:rsidRDefault="00674950" w:rsidP="00B26FE2">
      <w:pPr>
        <w:tabs>
          <w:tab w:val="clear" w:pos="567"/>
          <w:tab w:val="clear" w:pos="992"/>
        </w:tabs>
        <w:spacing w:before="0" w:line="240" w:lineRule="auto"/>
        <w:rPr>
          <w:rFonts w:asciiTheme="majorBidi" w:hAnsiTheme="majorBidi" w:cstheme="majorBidi"/>
          <w:szCs w:val="22"/>
          <w:lang w:val="en-US" w:eastAsia="zh-CN"/>
        </w:rPr>
      </w:pPr>
      <w:r w:rsidRPr="009A2A89">
        <w:rPr>
          <w:rFonts w:asciiTheme="majorBidi" w:hAnsiTheme="majorBidi" w:cstheme="majorBidi"/>
          <w:b/>
          <w:bCs/>
          <w:i/>
          <w:iCs/>
          <w:color w:val="0070C0"/>
        </w:rPr>
        <w:t xml:space="preserve">Mr. Neil </w:t>
      </w:r>
      <w:r w:rsidR="000F2C52">
        <w:rPr>
          <w:rFonts w:asciiTheme="majorBidi" w:hAnsiTheme="majorBidi" w:cstheme="majorBidi"/>
          <w:b/>
          <w:bCs/>
          <w:i/>
          <w:iCs/>
          <w:color w:val="0070C0"/>
        </w:rPr>
        <w:t xml:space="preserve">Marsland, </w:t>
      </w:r>
      <w:r w:rsidR="009A2A89" w:rsidRPr="0086703D">
        <w:rPr>
          <w:rFonts w:asciiTheme="majorBidi" w:hAnsiTheme="majorBidi" w:cstheme="majorBidi"/>
          <w:b/>
          <w:bCs/>
          <w:color w:val="0070C0"/>
        </w:rPr>
        <w:t>updated the IASC WG on development of</w:t>
      </w:r>
      <w:r w:rsidR="008A432E">
        <w:rPr>
          <w:rFonts w:asciiTheme="majorBidi" w:hAnsiTheme="majorBidi" w:cstheme="majorBidi"/>
          <w:b/>
          <w:bCs/>
          <w:color w:val="0070C0"/>
          <w:szCs w:val="22"/>
          <w:lang w:val="en-US" w:eastAsia="zh-CN"/>
        </w:rPr>
        <w:t xml:space="preserve"> Inter-</w:t>
      </w:r>
      <w:r w:rsidR="009A2A89" w:rsidRPr="00B2011F">
        <w:rPr>
          <w:rFonts w:asciiTheme="majorBidi" w:hAnsiTheme="majorBidi" w:cstheme="majorBidi"/>
          <w:b/>
          <w:bCs/>
          <w:color w:val="0070C0"/>
          <w:szCs w:val="22"/>
          <w:lang w:val="en-US" w:eastAsia="zh-CN"/>
        </w:rPr>
        <w:t xml:space="preserve">Agency El Nino Southern Oscillation </w:t>
      </w:r>
      <w:r w:rsidR="009A2A89" w:rsidRPr="0086703D">
        <w:rPr>
          <w:rFonts w:asciiTheme="majorBidi" w:hAnsiTheme="majorBidi" w:cstheme="majorBidi"/>
          <w:b/>
          <w:bCs/>
          <w:color w:val="0070C0"/>
          <w:szCs w:val="22"/>
          <w:lang w:val="en-US" w:eastAsia="zh-CN"/>
        </w:rPr>
        <w:t>Standard Operating Procedures (</w:t>
      </w:r>
      <w:r w:rsidR="009A2A89" w:rsidRPr="00B2011F">
        <w:rPr>
          <w:rFonts w:asciiTheme="majorBidi" w:hAnsiTheme="majorBidi" w:cstheme="majorBidi"/>
          <w:b/>
          <w:bCs/>
          <w:color w:val="0070C0"/>
          <w:szCs w:val="22"/>
          <w:lang w:val="en-US" w:eastAsia="zh-CN"/>
        </w:rPr>
        <w:t>ENSO SOPs</w:t>
      </w:r>
      <w:r w:rsidR="009A2A89" w:rsidRPr="0086703D">
        <w:rPr>
          <w:rFonts w:asciiTheme="majorBidi" w:hAnsiTheme="majorBidi" w:cstheme="majorBidi"/>
          <w:b/>
          <w:bCs/>
          <w:color w:val="0070C0"/>
          <w:szCs w:val="22"/>
          <w:lang w:val="en-US" w:eastAsia="zh-CN"/>
        </w:rPr>
        <w:t>).</w:t>
      </w:r>
      <w:r w:rsidR="009A2A89" w:rsidRPr="0086703D">
        <w:rPr>
          <w:rFonts w:asciiTheme="majorBidi" w:hAnsiTheme="majorBidi" w:cstheme="majorBidi"/>
          <w:color w:val="0070C0"/>
          <w:szCs w:val="22"/>
          <w:lang w:val="en-US" w:eastAsia="zh-CN"/>
        </w:rPr>
        <w:t xml:space="preserve">  </w:t>
      </w:r>
      <w:r w:rsidR="00B2011F" w:rsidRPr="00B2011F">
        <w:rPr>
          <w:rFonts w:asciiTheme="majorBidi" w:hAnsiTheme="majorBidi" w:cstheme="majorBidi"/>
          <w:szCs w:val="22"/>
          <w:lang w:val="en-US" w:eastAsia="zh-CN"/>
        </w:rPr>
        <w:t xml:space="preserve">Following the 2015/16 El Nino event, a group of UN agencies and NGO partners have come together to work on </w:t>
      </w:r>
      <w:r w:rsidR="009A2A89" w:rsidRPr="009A2A89">
        <w:rPr>
          <w:rFonts w:asciiTheme="majorBidi" w:hAnsiTheme="majorBidi" w:cstheme="majorBidi"/>
          <w:szCs w:val="22"/>
          <w:lang w:val="en-US" w:eastAsia="zh-CN"/>
        </w:rPr>
        <w:t>a framework outlining how inter-</w:t>
      </w:r>
      <w:r w:rsidR="00B2011F" w:rsidRPr="00B2011F">
        <w:rPr>
          <w:rFonts w:asciiTheme="majorBidi" w:hAnsiTheme="majorBidi" w:cstheme="majorBidi"/>
          <w:szCs w:val="22"/>
          <w:lang w:val="en-US" w:eastAsia="zh-CN"/>
        </w:rPr>
        <w:t xml:space="preserve">agency partners can better coordinate and act earlier to such events in the future. Work has </w:t>
      </w:r>
      <w:r w:rsidR="00E0124B" w:rsidRPr="00B2011F">
        <w:rPr>
          <w:rFonts w:asciiTheme="majorBidi" w:hAnsiTheme="majorBidi" w:cstheme="majorBidi"/>
          <w:szCs w:val="22"/>
          <w:lang w:val="en-US" w:eastAsia="zh-CN"/>
        </w:rPr>
        <w:t>progress</w:t>
      </w:r>
      <w:r w:rsidR="00E0124B">
        <w:rPr>
          <w:rFonts w:asciiTheme="majorBidi" w:hAnsiTheme="majorBidi" w:cstheme="majorBidi"/>
          <w:szCs w:val="22"/>
          <w:lang w:val="en-US" w:eastAsia="zh-CN"/>
        </w:rPr>
        <w:t>ed</w:t>
      </w:r>
      <w:r w:rsidR="00E0124B" w:rsidRPr="00B2011F">
        <w:rPr>
          <w:rFonts w:asciiTheme="majorBidi" w:hAnsiTheme="majorBidi" w:cstheme="majorBidi"/>
          <w:szCs w:val="22"/>
          <w:lang w:val="en-US" w:eastAsia="zh-CN"/>
        </w:rPr>
        <w:t xml:space="preserve"> </w:t>
      </w:r>
      <w:r w:rsidR="00B2011F" w:rsidRPr="00B2011F">
        <w:rPr>
          <w:rFonts w:asciiTheme="majorBidi" w:hAnsiTheme="majorBidi" w:cstheme="majorBidi"/>
          <w:szCs w:val="22"/>
          <w:lang w:val="en-US" w:eastAsia="zh-CN"/>
        </w:rPr>
        <w:t>with its scope and audience recently re-defined</w:t>
      </w:r>
      <w:r w:rsidR="009A2A89" w:rsidRPr="009A2A89">
        <w:rPr>
          <w:rFonts w:asciiTheme="majorBidi" w:hAnsiTheme="majorBidi" w:cstheme="majorBidi"/>
          <w:szCs w:val="22"/>
          <w:lang w:val="en-US" w:eastAsia="zh-CN"/>
        </w:rPr>
        <w:t xml:space="preserve">, and with the revised </w:t>
      </w:r>
      <w:r w:rsidR="009A2A89" w:rsidRPr="00B2011F">
        <w:rPr>
          <w:rFonts w:asciiTheme="majorBidi" w:hAnsiTheme="majorBidi" w:cstheme="majorBidi"/>
          <w:szCs w:val="22"/>
          <w:lang w:val="en-US" w:eastAsia="zh-CN"/>
        </w:rPr>
        <w:t xml:space="preserve">SOP concept </w:t>
      </w:r>
      <w:r w:rsidR="009A2A89" w:rsidRPr="009A2A89">
        <w:rPr>
          <w:rFonts w:asciiTheme="majorBidi" w:hAnsiTheme="majorBidi" w:cstheme="majorBidi"/>
          <w:szCs w:val="22"/>
          <w:lang w:val="en-US" w:eastAsia="zh-CN"/>
        </w:rPr>
        <w:t>recently</w:t>
      </w:r>
      <w:r w:rsidR="009A2A89" w:rsidRPr="00B2011F">
        <w:rPr>
          <w:rFonts w:asciiTheme="majorBidi" w:hAnsiTheme="majorBidi" w:cstheme="majorBidi"/>
          <w:szCs w:val="22"/>
          <w:lang w:val="en-US" w:eastAsia="zh-CN"/>
        </w:rPr>
        <w:t xml:space="preserve"> presented </w:t>
      </w:r>
      <w:r w:rsidR="00E0124B">
        <w:rPr>
          <w:rFonts w:asciiTheme="majorBidi" w:hAnsiTheme="majorBidi" w:cstheme="majorBidi"/>
          <w:szCs w:val="22"/>
          <w:lang w:val="en-US" w:eastAsia="zh-CN"/>
        </w:rPr>
        <w:t>within the</w:t>
      </w:r>
      <w:r w:rsidR="009A2A89" w:rsidRPr="00B2011F">
        <w:rPr>
          <w:rFonts w:asciiTheme="majorBidi" w:hAnsiTheme="majorBidi" w:cstheme="majorBidi"/>
          <w:szCs w:val="22"/>
          <w:lang w:val="en-US" w:eastAsia="zh-CN"/>
        </w:rPr>
        <w:t xml:space="preserve"> IASC Reference </w:t>
      </w:r>
      <w:r w:rsidR="00E0124B">
        <w:rPr>
          <w:rFonts w:asciiTheme="majorBidi" w:hAnsiTheme="majorBidi" w:cstheme="majorBidi"/>
          <w:szCs w:val="22"/>
          <w:lang w:val="en-US" w:eastAsia="zh-CN"/>
        </w:rPr>
        <w:t>G</w:t>
      </w:r>
      <w:r w:rsidR="00E0124B" w:rsidRPr="00B2011F">
        <w:rPr>
          <w:rFonts w:asciiTheme="majorBidi" w:hAnsiTheme="majorBidi" w:cstheme="majorBidi"/>
          <w:szCs w:val="22"/>
          <w:lang w:val="en-US" w:eastAsia="zh-CN"/>
        </w:rPr>
        <w:t xml:space="preserve">roup </w:t>
      </w:r>
      <w:r w:rsidR="009A2A89" w:rsidRPr="00B2011F">
        <w:rPr>
          <w:rFonts w:asciiTheme="majorBidi" w:hAnsiTheme="majorBidi" w:cstheme="majorBidi"/>
          <w:szCs w:val="22"/>
          <w:lang w:val="en-US" w:eastAsia="zh-CN"/>
        </w:rPr>
        <w:t xml:space="preserve">on Early Warning Early Action </w:t>
      </w:r>
      <w:r w:rsidR="009A2A89" w:rsidRPr="009A2A89">
        <w:rPr>
          <w:rFonts w:asciiTheme="majorBidi" w:hAnsiTheme="majorBidi" w:cstheme="majorBidi"/>
          <w:szCs w:val="22"/>
          <w:lang w:val="en-US" w:eastAsia="zh-CN"/>
        </w:rPr>
        <w:t xml:space="preserve">and </w:t>
      </w:r>
      <w:r w:rsidR="009A2A89" w:rsidRPr="00B2011F">
        <w:rPr>
          <w:rFonts w:asciiTheme="majorBidi" w:hAnsiTheme="majorBidi" w:cstheme="majorBidi"/>
          <w:szCs w:val="22"/>
          <w:lang w:val="en-US" w:eastAsia="zh-CN"/>
        </w:rPr>
        <w:t>receiving positive feedback.</w:t>
      </w:r>
      <w:r w:rsidR="009A2A89" w:rsidRPr="009A2A89">
        <w:rPr>
          <w:rFonts w:asciiTheme="majorBidi" w:hAnsiTheme="majorBidi" w:cstheme="majorBidi"/>
          <w:szCs w:val="22"/>
          <w:lang w:val="en-US" w:eastAsia="zh-CN"/>
        </w:rPr>
        <w:t xml:space="preserve"> In the</w:t>
      </w:r>
      <w:r w:rsidR="00B2011F" w:rsidRPr="00B2011F">
        <w:rPr>
          <w:rFonts w:asciiTheme="majorBidi" w:hAnsiTheme="majorBidi" w:cstheme="majorBidi"/>
          <w:szCs w:val="22"/>
          <w:lang w:val="en-US" w:eastAsia="zh-CN"/>
        </w:rPr>
        <w:t xml:space="preserve"> revised outline, the target audience for the ENSO SOPs is IASC partners and relevant development agencies at global,</w:t>
      </w:r>
      <w:r w:rsidR="009A2A89" w:rsidRPr="009A2A89">
        <w:rPr>
          <w:rFonts w:asciiTheme="majorBidi" w:hAnsiTheme="majorBidi" w:cstheme="majorBidi"/>
          <w:szCs w:val="22"/>
          <w:lang w:val="en-US" w:eastAsia="zh-CN"/>
        </w:rPr>
        <w:t xml:space="preserve"> regional and national level, with the key objective being</w:t>
      </w:r>
      <w:r w:rsidR="00B2011F" w:rsidRPr="00B2011F">
        <w:rPr>
          <w:rFonts w:asciiTheme="majorBidi" w:hAnsiTheme="majorBidi" w:cstheme="majorBidi"/>
          <w:szCs w:val="22"/>
          <w:lang w:val="en-US" w:eastAsia="zh-CN"/>
        </w:rPr>
        <w:t xml:space="preserve"> to provide a practical and structured framework, </w:t>
      </w:r>
      <w:r w:rsidR="009A2A89">
        <w:rPr>
          <w:rFonts w:asciiTheme="majorBidi" w:hAnsiTheme="majorBidi" w:cstheme="majorBidi"/>
          <w:szCs w:val="22"/>
          <w:lang w:val="en-US" w:eastAsia="zh-CN"/>
        </w:rPr>
        <w:t xml:space="preserve">to be </w:t>
      </w:r>
      <w:r w:rsidR="00B2011F" w:rsidRPr="00B2011F">
        <w:rPr>
          <w:rFonts w:asciiTheme="majorBidi" w:hAnsiTheme="majorBidi" w:cstheme="majorBidi"/>
          <w:szCs w:val="22"/>
          <w:lang w:val="en-US" w:eastAsia="zh-CN"/>
        </w:rPr>
        <w:t xml:space="preserve">endorsed by the IASC Principals, for the initiation of early actions to mitigate the humanitarian and development impacts of extreme weather caused by ENSO events. </w:t>
      </w:r>
      <w:r w:rsidR="009A2A89" w:rsidRPr="009A2A89">
        <w:rPr>
          <w:rFonts w:asciiTheme="majorBidi" w:hAnsiTheme="majorBidi" w:cstheme="majorBidi"/>
          <w:szCs w:val="22"/>
          <w:lang w:val="en-US" w:eastAsia="zh-CN"/>
        </w:rPr>
        <w:t xml:space="preserve"> He noted that </w:t>
      </w:r>
      <w:r w:rsidR="00B2011F" w:rsidRPr="00B2011F">
        <w:rPr>
          <w:rFonts w:asciiTheme="majorBidi" w:hAnsiTheme="majorBidi" w:cstheme="majorBidi"/>
          <w:szCs w:val="22"/>
          <w:lang w:val="en-US" w:eastAsia="zh-CN"/>
        </w:rPr>
        <w:t xml:space="preserve">work on finalizing the SOPs is very timely in view of the latest ENSO forecasts which show a 50-70% probability of an ENSO event developing in the second half of 2017. </w:t>
      </w:r>
      <w:r w:rsidR="009A2A89">
        <w:rPr>
          <w:rFonts w:asciiTheme="majorBidi" w:hAnsiTheme="majorBidi" w:cstheme="majorBidi"/>
          <w:szCs w:val="22"/>
          <w:lang w:val="en-US" w:eastAsia="zh-CN"/>
        </w:rPr>
        <w:t xml:space="preserve">Redrafting is now underway in line with the revised concept, wide consultation will take place in May/June, before sharing with the WG for input and endorsement, </w:t>
      </w:r>
      <w:r w:rsidR="00E0124B">
        <w:rPr>
          <w:rFonts w:asciiTheme="majorBidi" w:hAnsiTheme="majorBidi" w:cstheme="majorBidi"/>
          <w:szCs w:val="22"/>
          <w:lang w:val="en-US" w:eastAsia="zh-CN"/>
        </w:rPr>
        <w:t xml:space="preserve">and further </w:t>
      </w:r>
      <w:r w:rsidR="009A2A89">
        <w:rPr>
          <w:rFonts w:asciiTheme="majorBidi" w:hAnsiTheme="majorBidi" w:cstheme="majorBidi"/>
          <w:szCs w:val="22"/>
          <w:lang w:val="en-US" w:eastAsia="zh-CN"/>
        </w:rPr>
        <w:t xml:space="preserve">submission to IASC Principals (proposed for September). </w:t>
      </w:r>
      <w:r w:rsidR="0086703D">
        <w:rPr>
          <w:rFonts w:asciiTheme="majorBidi" w:hAnsiTheme="majorBidi" w:cstheme="majorBidi"/>
          <w:szCs w:val="22"/>
          <w:lang w:val="en-US" w:eastAsia="zh-CN"/>
        </w:rPr>
        <w:t>Given different perspectives on how detailed the SoPs should be, the emphasis is on ensuring that they are kept relatively focused</w:t>
      </w:r>
      <w:r w:rsidR="00B26FE2">
        <w:rPr>
          <w:rFonts w:asciiTheme="majorBidi" w:hAnsiTheme="majorBidi" w:cstheme="majorBidi"/>
          <w:szCs w:val="22"/>
          <w:lang w:val="en-US" w:eastAsia="zh-CN"/>
        </w:rPr>
        <w:t xml:space="preserve"> for</w:t>
      </w:r>
      <w:r w:rsidR="0086703D">
        <w:rPr>
          <w:rFonts w:asciiTheme="majorBidi" w:hAnsiTheme="majorBidi" w:cstheme="majorBidi"/>
          <w:szCs w:val="22"/>
          <w:lang w:val="en-US" w:eastAsia="zh-CN"/>
        </w:rPr>
        <w:t xml:space="preserve"> now, with the potential to</w:t>
      </w:r>
      <w:r w:rsidR="00B26FE2">
        <w:rPr>
          <w:rFonts w:asciiTheme="majorBidi" w:hAnsiTheme="majorBidi" w:cstheme="majorBidi"/>
          <w:szCs w:val="22"/>
          <w:lang w:val="en-US" w:eastAsia="zh-CN"/>
        </w:rPr>
        <w:t xml:space="preserve"> be</w:t>
      </w:r>
      <w:r w:rsidR="0086703D">
        <w:rPr>
          <w:rFonts w:asciiTheme="majorBidi" w:hAnsiTheme="majorBidi" w:cstheme="majorBidi"/>
          <w:szCs w:val="22"/>
          <w:lang w:val="en-US" w:eastAsia="zh-CN"/>
        </w:rPr>
        <w:t xml:space="preserve"> further </w:t>
      </w:r>
      <w:r w:rsidR="00B26FE2">
        <w:rPr>
          <w:rFonts w:asciiTheme="majorBidi" w:hAnsiTheme="majorBidi" w:cstheme="majorBidi"/>
          <w:szCs w:val="22"/>
          <w:lang w:val="en-US" w:eastAsia="zh-CN"/>
        </w:rPr>
        <w:t xml:space="preserve">expanded </w:t>
      </w:r>
      <w:r w:rsidR="0086703D">
        <w:rPr>
          <w:rFonts w:asciiTheme="majorBidi" w:hAnsiTheme="majorBidi" w:cstheme="majorBidi"/>
          <w:szCs w:val="22"/>
          <w:lang w:val="en-US" w:eastAsia="zh-CN"/>
        </w:rPr>
        <w:t>later if required.</w:t>
      </w:r>
    </w:p>
    <w:p w14:paraId="4866FEE9" w14:textId="77777777" w:rsidR="009A2A89" w:rsidRPr="009A2A89" w:rsidRDefault="009A2A89" w:rsidP="009A2A89">
      <w:pPr>
        <w:tabs>
          <w:tab w:val="clear" w:pos="567"/>
          <w:tab w:val="clear" w:pos="992"/>
        </w:tabs>
        <w:spacing w:before="0" w:line="240" w:lineRule="auto"/>
        <w:rPr>
          <w:rFonts w:asciiTheme="majorBidi" w:hAnsiTheme="majorBidi" w:cstheme="majorBidi"/>
          <w:szCs w:val="22"/>
          <w:lang w:val="en-US" w:eastAsia="zh-CN"/>
        </w:rPr>
      </w:pPr>
    </w:p>
    <w:p w14:paraId="324E18DF" w14:textId="11EE6F68" w:rsidR="00B2011F" w:rsidRPr="00B2011F" w:rsidRDefault="009A2A89" w:rsidP="0046747D">
      <w:pPr>
        <w:tabs>
          <w:tab w:val="clear" w:pos="567"/>
          <w:tab w:val="clear" w:pos="992"/>
        </w:tabs>
        <w:spacing w:before="0" w:line="240" w:lineRule="auto"/>
        <w:rPr>
          <w:rFonts w:asciiTheme="majorBidi" w:hAnsiTheme="majorBidi" w:cstheme="majorBidi"/>
          <w:szCs w:val="22"/>
          <w:lang w:val="en-US" w:eastAsia="zh-CN"/>
        </w:rPr>
      </w:pPr>
      <w:r w:rsidRPr="009A2A89">
        <w:rPr>
          <w:rFonts w:asciiTheme="majorBidi" w:hAnsiTheme="majorBidi" w:cstheme="majorBidi"/>
          <w:szCs w:val="22"/>
          <w:lang w:val="en-US" w:eastAsia="zh-CN"/>
        </w:rPr>
        <w:t xml:space="preserve">Given the </w:t>
      </w:r>
      <w:r w:rsidR="00C42C0D">
        <w:rPr>
          <w:rFonts w:asciiTheme="majorBidi" w:hAnsiTheme="majorBidi" w:cstheme="majorBidi"/>
          <w:szCs w:val="22"/>
          <w:lang w:val="en-US" w:eastAsia="zh-CN"/>
        </w:rPr>
        <w:t>possibility</w:t>
      </w:r>
      <w:r w:rsidR="0066576E" w:rsidRPr="009A2A89">
        <w:rPr>
          <w:rFonts w:asciiTheme="majorBidi" w:hAnsiTheme="majorBidi" w:cstheme="majorBidi"/>
          <w:szCs w:val="22"/>
          <w:lang w:val="en-US" w:eastAsia="zh-CN"/>
        </w:rPr>
        <w:t xml:space="preserve"> </w:t>
      </w:r>
      <w:r w:rsidRPr="009A2A89">
        <w:rPr>
          <w:rFonts w:asciiTheme="majorBidi" w:hAnsiTheme="majorBidi" w:cstheme="majorBidi"/>
          <w:szCs w:val="22"/>
          <w:lang w:val="en-US" w:eastAsia="zh-CN"/>
        </w:rPr>
        <w:t xml:space="preserve">of an ENSO event, a Global Analytical Cell, including RG members, additional NGOs, WMO and the START network, has already been established, and will next meet on </w:t>
      </w:r>
      <w:r w:rsidR="0046747D">
        <w:rPr>
          <w:rFonts w:asciiTheme="majorBidi" w:hAnsiTheme="majorBidi" w:cstheme="majorBidi"/>
          <w:szCs w:val="22"/>
          <w:lang w:val="en-US" w:eastAsia="zh-CN"/>
        </w:rPr>
        <w:t>21</w:t>
      </w:r>
      <w:r w:rsidRPr="009A2A89">
        <w:rPr>
          <w:rFonts w:asciiTheme="majorBidi" w:hAnsiTheme="majorBidi" w:cstheme="majorBidi"/>
          <w:szCs w:val="22"/>
          <w:lang w:val="en-US" w:eastAsia="zh-CN"/>
        </w:rPr>
        <w:t xml:space="preserve"> April, to analyse 2017 El Nino forecasts and the regions/countries most likely to be affected.  </w:t>
      </w:r>
      <w:r w:rsidR="00B2011F" w:rsidRPr="00B2011F">
        <w:rPr>
          <w:rFonts w:asciiTheme="majorBidi" w:hAnsiTheme="majorBidi" w:cstheme="majorBidi"/>
          <w:szCs w:val="22"/>
          <w:lang w:val="en-US" w:eastAsia="zh-CN"/>
        </w:rPr>
        <w:t>In parallel to the finalization of the SOP document, the aim is therefore to already activate the first phase of the SOPs</w:t>
      </w:r>
      <w:r w:rsidRPr="009A2A89">
        <w:rPr>
          <w:rFonts w:asciiTheme="majorBidi" w:hAnsiTheme="majorBidi" w:cstheme="majorBidi"/>
          <w:szCs w:val="22"/>
          <w:lang w:val="en-US" w:eastAsia="zh-CN"/>
        </w:rPr>
        <w:t>,</w:t>
      </w:r>
      <w:r w:rsidR="00B2011F" w:rsidRPr="00B2011F">
        <w:rPr>
          <w:rFonts w:asciiTheme="majorBidi" w:hAnsiTheme="majorBidi" w:cstheme="majorBidi"/>
          <w:szCs w:val="22"/>
          <w:lang w:val="en-US" w:eastAsia="zh-CN"/>
        </w:rPr>
        <w:t xml:space="preserve"> pertaining to global coordinati</w:t>
      </w:r>
      <w:r w:rsidRPr="009A2A89">
        <w:rPr>
          <w:rFonts w:asciiTheme="majorBidi" w:hAnsiTheme="majorBidi" w:cstheme="majorBidi"/>
          <w:szCs w:val="22"/>
          <w:lang w:val="en-US" w:eastAsia="zh-CN"/>
        </w:rPr>
        <w:t xml:space="preserve">on and information sharing, </w:t>
      </w:r>
      <w:r w:rsidR="0086703D">
        <w:rPr>
          <w:rFonts w:asciiTheme="majorBidi" w:hAnsiTheme="majorBidi" w:cstheme="majorBidi"/>
          <w:szCs w:val="22"/>
          <w:lang w:val="en-US" w:eastAsia="zh-CN"/>
        </w:rPr>
        <w:t xml:space="preserve">in the coming weeks and to start to engage with donors for critical early resource mobilization.  The latter may need concerted advocacy, given donor reluctance to fund early action/prevention, despite recognized advantages of doing so.  In discussion, IASC WG members welcomed the initiative to act early, and the engagement with the Reference Group in developing the SoPs. The WG recommended broader engagement horizontally and vertically, with national and regional actors/bodies, and on integrating protection in the response. </w:t>
      </w:r>
      <w:r w:rsidR="0046747D">
        <w:rPr>
          <w:rFonts w:asciiTheme="majorBidi" w:hAnsiTheme="majorBidi" w:cstheme="majorBidi"/>
          <w:szCs w:val="22"/>
          <w:lang w:val="en-US" w:eastAsia="zh-CN"/>
        </w:rPr>
        <w:t>The WG also commended the positive role of the El Nino Special Envoys in 2016.</w:t>
      </w:r>
    </w:p>
    <w:p w14:paraId="791CEFE3" w14:textId="77777777" w:rsidR="00674950" w:rsidRPr="009A2A89" w:rsidRDefault="00674950" w:rsidP="00C54BE2">
      <w:pPr>
        <w:tabs>
          <w:tab w:val="clear" w:pos="567"/>
          <w:tab w:val="clear" w:pos="992"/>
        </w:tabs>
        <w:spacing w:before="0" w:line="240" w:lineRule="auto"/>
        <w:jc w:val="left"/>
        <w:rPr>
          <w:rFonts w:asciiTheme="majorBidi" w:hAnsiTheme="majorBidi" w:cstheme="majorBidi"/>
          <w:lang w:val="en-US"/>
        </w:rPr>
      </w:pPr>
    </w:p>
    <w:p w14:paraId="662BBF3D" w14:textId="77777777" w:rsidR="006F5136" w:rsidRPr="00566A12" w:rsidRDefault="006F5136" w:rsidP="006F5136">
      <w:pPr>
        <w:rPr>
          <w:rFonts w:asciiTheme="majorBidi" w:hAnsiTheme="majorBidi" w:cstheme="majorBidi"/>
          <w:b/>
        </w:rPr>
      </w:pPr>
      <w:r w:rsidRPr="00566A12">
        <w:rPr>
          <w:rFonts w:asciiTheme="majorBidi" w:hAnsiTheme="majorBidi" w:cstheme="majorBidi"/>
          <w:b/>
        </w:rPr>
        <w:t xml:space="preserve">The Working Group: </w:t>
      </w:r>
    </w:p>
    <w:p w14:paraId="37547707" w14:textId="77777777" w:rsidR="006F5136" w:rsidRPr="006F5136" w:rsidRDefault="006F5136" w:rsidP="00B52F17">
      <w:pPr>
        <w:pStyle w:val="ListParagraph"/>
        <w:numPr>
          <w:ilvl w:val="0"/>
          <w:numId w:val="15"/>
        </w:numPr>
        <w:tabs>
          <w:tab w:val="clear" w:pos="567"/>
          <w:tab w:val="clear" w:pos="992"/>
        </w:tabs>
        <w:spacing w:before="0" w:line="240" w:lineRule="auto"/>
        <w:jc w:val="left"/>
        <w:rPr>
          <w:b/>
          <w:bCs/>
          <w:i/>
          <w:iCs/>
          <w:lang w:val="en-US"/>
        </w:rPr>
      </w:pPr>
      <w:r>
        <w:rPr>
          <w:lang w:val="en-US"/>
        </w:rPr>
        <w:t>Agreed to</w:t>
      </w:r>
      <w:r w:rsidRPr="006F5136">
        <w:rPr>
          <w:lang w:val="en-US"/>
        </w:rPr>
        <w:t xml:space="preserve"> support the IASC secretariat in monitoring and updating this Action Point monitoring tool.</w:t>
      </w:r>
      <w:r>
        <w:rPr>
          <w:lang w:val="en-US"/>
        </w:rPr>
        <w:t xml:space="preserve"> </w:t>
      </w:r>
      <w:r w:rsidRPr="006F5136">
        <w:rPr>
          <w:b/>
          <w:bCs/>
          <w:i/>
          <w:iCs/>
          <w:lang w:val="en-US"/>
        </w:rPr>
        <w:t>Action by: IASC Focal Points (by end of May 2017).</w:t>
      </w:r>
    </w:p>
    <w:p w14:paraId="3E6728A7" w14:textId="77777777" w:rsidR="006F5136" w:rsidRPr="006F5136" w:rsidRDefault="006F5136" w:rsidP="00B52F17">
      <w:pPr>
        <w:pStyle w:val="ListParagraph"/>
        <w:numPr>
          <w:ilvl w:val="0"/>
          <w:numId w:val="15"/>
        </w:numPr>
        <w:tabs>
          <w:tab w:val="clear" w:pos="567"/>
          <w:tab w:val="clear" w:pos="992"/>
        </w:tabs>
        <w:spacing w:before="0" w:line="240" w:lineRule="auto"/>
        <w:jc w:val="left"/>
        <w:rPr>
          <w:lang w:val="en-US"/>
        </w:rPr>
      </w:pPr>
      <w:r w:rsidRPr="006F5136">
        <w:rPr>
          <w:lang w:val="en-US"/>
        </w:rPr>
        <w:t xml:space="preserve">Circulate outstanding and in progress Action Points for feedback to the WG, together with the summary record. </w:t>
      </w:r>
      <w:r w:rsidRPr="006F5136">
        <w:rPr>
          <w:b/>
          <w:bCs/>
          <w:i/>
          <w:iCs/>
          <w:lang w:val="en-US"/>
        </w:rPr>
        <w:t>Action by: IASC secretariat (by end of April 2017).</w:t>
      </w:r>
    </w:p>
    <w:p w14:paraId="168F51BB" w14:textId="77777777" w:rsidR="006F5136" w:rsidRPr="00B72374" w:rsidRDefault="006F5136" w:rsidP="00B72374">
      <w:pPr>
        <w:autoSpaceDE w:val="0"/>
        <w:autoSpaceDN w:val="0"/>
        <w:adjustRightInd w:val="0"/>
        <w:rPr>
          <w:b/>
          <w:bCs/>
          <w:szCs w:val="22"/>
          <w:lang w:val="en-CA"/>
        </w:rPr>
      </w:pPr>
    </w:p>
    <w:p w14:paraId="133F3C37" w14:textId="77777777" w:rsidR="0060250F" w:rsidRPr="00B72374" w:rsidRDefault="0060250F" w:rsidP="00B20C87">
      <w:pPr>
        <w:spacing w:before="0" w:after="240"/>
        <w:rPr>
          <w:rFonts w:asciiTheme="majorBidi" w:hAnsiTheme="majorBidi" w:cstheme="majorBidi"/>
          <w:color w:val="FF0000"/>
          <w:szCs w:val="22"/>
          <w:lang w:val="en-CA"/>
        </w:rPr>
      </w:pPr>
    </w:p>
    <w:sectPr w:rsidR="0060250F" w:rsidRPr="00B72374" w:rsidSect="009F7729">
      <w:headerReference w:type="default" r:id="rId12"/>
      <w:footerReference w:type="even" r:id="rId13"/>
      <w:footerReference w:type="default" r:id="rId14"/>
      <w:type w:val="continuous"/>
      <w:pgSz w:w="11906" w:h="16838" w:code="9"/>
      <w:pgMar w:top="1134" w:right="1134" w:bottom="1134" w:left="1134" w:header="567" w:footer="56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50">
      <wne:acd wne:acdName="acd0"/>
    </wne:keymap>
  </wne:keymaps>
  <wne:toolbars>
    <wne:acdManifest>
      <wne:acdEntry wne:acdName="acd0"/>
    </wne:acdManifest>
  </wne:toolbars>
  <wne:acds>
    <wne:acd wne:argValue="AgBQAHIAZQBzAGUAbgB0AGUAcg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15BF2" w14:textId="77777777" w:rsidR="00D928B7" w:rsidRDefault="00D928B7">
      <w:r>
        <w:separator/>
      </w:r>
    </w:p>
  </w:endnote>
  <w:endnote w:type="continuationSeparator" w:id="0">
    <w:p w14:paraId="38470887" w14:textId="77777777" w:rsidR="00D928B7" w:rsidRDefault="00D9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3F85" w14:textId="77777777" w:rsidR="00C17B7C" w:rsidRDefault="00C17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BC155" w14:textId="77777777" w:rsidR="00C17B7C" w:rsidRDefault="00C17B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E711" w14:textId="77777777" w:rsidR="00C17B7C" w:rsidRDefault="00C17B7C">
    <w:pPr>
      <w:pStyle w:val="Footer"/>
    </w:pPr>
    <w:r>
      <w:rPr>
        <w:noProof/>
        <w:sz w:val="20"/>
        <w:lang w:val="en-GB" w:eastAsia="zh-CN"/>
      </w:rPr>
      <mc:AlternateContent>
        <mc:Choice Requires="wps">
          <w:drawing>
            <wp:anchor distT="0" distB="0" distL="114300" distR="114300" simplePos="0" relativeHeight="251657728" behindDoc="0" locked="0" layoutInCell="1" allowOverlap="1" wp14:anchorId="47F0C5D3" wp14:editId="7AE1FB7A">
              <wp:simplePos x="0" y="0"/>
              <wp:positionH relativeFrom="margin">
                <wp:align>right</wp:align>
              </wp:positionH>
              <wp:positionV relativeFrom="page">
                <wp:align>bottom</wp:align>
              </wp:positionV>
              <wp:extent cx="311150" cy="539750"/>
              <wp:effectExtent l="1905"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53975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202504" w14:textId="7578884B" w:rsidR="00C17B7C" w:rsidRDefault="00C17B7C">
                          <w:pPr>
                            <w:pStyle w:val="Footer"/>
                            <w:pBdr>
                              <w:top w:val="none" w:sz="0" w:space="0" w:color="auto"/>
                            </w:pBdr>
                            <w:spacing w:before="0"/>
                            <w:jc w:val="right"/>
                          </w:pPr>
                          <w:r>
                            <w:rPr>
                              <w:rStyle w:val="PageNumber"/>
                            </w:rPr>
                            <w:fldChar w:fldCharType="begin"/>
                          </w:r>
                          <w:r>
                            <w:rPr>
                              <w:rStyle w:val="PageNumber"/>
                            </w:rPr>
                            <w:instrText xml:space="preserve"> PAGE </w:instrText>
                          </w:r>
                          <w:r>
                            <w:rPr>
                              <w:rStyle w:val="PageNumber"/>
                            </w:rPr>
                            <w:fldChar w:fldCharType="separate"/>
                          </w:r>
                          <w:r w:rsidR="00AD7B0A">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0C5D3" id="_x0000_t202" coordsize="21600,21600" o:spt="202" path="m,l,21600r21600,l21600,xe">
              <v:stroke joinstyle="miter"/>
              <v:path gradientshapeok="t" o:connecttype="rect"/>
            </v:shapetype>
            <v:shape id="Text Box 1" o:spid="_x0000_s1026" type="#_x0000_t202" style="position:absolute;left:0;text-align:left;margin-left:-26.7pt;margin-top:0;width:24.5pt;height:42.5pt;z-index:25165772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" stroked="f">
              <v:textbox inset="0,0,0,0">
                <w:txbxContent>
                  <w:p w14:paraId="26202504" w14:textId="7578884B" w:rsidR="00C17B7C" w:rsidRDefault="00C17B7C">
                    <w:pPr>
                      <w:pStyle w:val="Footer"/>
                      <w:pBdr>
                        <w:top w:val="none" w:sz="0" w:space="0" w:color="auto"/>
                      </w:pBdr>
                      <w:spacing w:before="0"/>
                      <w:jc w:val="right"/>
                    </w:pPr>
                    <w:r>
                      <w:rPr>
                        <w:rStyle w:val="PageNumber"/>
                      </w:rPr>
                      <w:fldChar w:fldCharType="begin"/>
                    </w:r>
                    <w:r>
                      <w:rPr>
                        <w:rStyle w:val="PageNumber"/>
                      </w:rPr>
                      <w:instrText xml:space="preserve"> PAGE </w:instrText>
                    </w:r>
                    <w:r>
                      <w:rPr>
                        <w:rStyle w:val="PageNumber"/>
                      </w:rPr>
                      <w:fldChar w:fldCharType="separate"/>
                    </w:r>
                    <w:r w:rsidR="00AD7B0A">
                      <w:rPr>
                        <w:rStyle w:val="PageNumber"/>
                        <w:noProof/>
                      </w:rPr>
                      <w:t>1</w:t>
                    </w:r>
                    <w:r>
                      <w:rPr>
                        <w:rStyle w:val="PageNumber"/>
                      </w:rPr>
                      <w:fldChar w:fldCharType="end"/>
                    </w:r>
                  </w:p>
                </w:txbxContent>
              </v:textbox>
              <w10:wrap anchorx="margin" anchory="page"/>
            </v:shape>
          </w:pict>
        </mc:Fallback>
      </mc:AlternateContent>
    </w:r>
    <w:r>
      <w:t>Inter-Agency Standing Committee (IASC)</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16DD2" w14:textId="77777777" w:rsidR="00D928B7" w:rsidRDefault="00D928B7">
      <w:pPr>
        <w:spacing w:before="60" w:line="240" w:lineRule="exact"/>
      </w:pPr>
      <w:r>
        <w:separator/>
      </w:r>
    </w:p>
  </w:footnote>
  <w:footnote w:type="continuationSeparator" w:id="0">
    <w:p w14:paraId="28D81F72" w14:textId="77777777" w:rsidR="00D928B7" w:rsidRDefault="00D928B7">
      <w:r>
        <w:continuationSeparator/>
      </w:r>
    </w:p>
  </w:footnote>
  <w:footnote w:id="1">
    <w:p w14:paraId="4A7970A1" w14:textId="77777777" w:rsidR="00C17B7C" w:rsidRPr="006D77EF" w:rsidRDefault="00C17B7C" w:rsidP="007F6408">
      <w:pPr>
        <w:pStyle w:val="FootnoteText"/>
        <w:spacing w:line="240" w:lineRule="auto"/>
        <w:rPr>
          <w:sz w:val="18"/>
          <w:szCs w:val="18"/>
          <w:lang w:val="en-US"/>
        </w:rPr>
      </w:pPr>
      <w:r>
        <w:rPr>
          <w:rStyle w:val="FootnoteReference"/>
        </w:rPr>
        <w:footnoteRef/>
      </w:r>
      <w:r>
        <w:t xml:space="preserve"> </w:t>
      </w:r>
      <w:r w:rsidRPr="006D77EF">
        <w:rPr>
          <w:sz w:val="18"/>
          <w:szCs w:val="18"/>
          <w:lang w:val="en-US"/>
        </w:rPr>
        <w:t xml:space="preserve">UNFPA, IOM, IFRC, WFP, SCHR, World Bank, UNDP, UNICEF, WHO, UNHCR, IASC secretariat (observer). </w:t>
      </w:r>
    </w:p>
  </w:footnote>
  <w:footnote w:id="2">
    <w:p w14:paraId="7A677E90" w14:textId="252A82D3" w:rsidR="00CB491B" w:rsidRPr="00FC0892" w:rsidRDefault="00CB491B">
      <w:pPr>
        <w:pStyle w:val="FootnoteText"/>
        <w:rPr>
          <w:lang w:val="en-US"/>
        </w:rPr>
      </w:pPr>
      <w:r>
        <w:rPr>
          <w:rStyle w:val="FootnoteReference"/>
        </w:rPr>
        <w:footnoteRef/>
      </w:r>
      <w:r>
        <w:t xml:space="preserve"> </w:t>
      </w:r>
      <w:r>
        <w:rPr>
          <w:lang w:val="en-US"/>
        </w:rPr>
        <w:t>UNDP has developed the People Pipeline Initiative.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DC34A" w14:textId="7A352830" w:rsidR="00C17B7C" w:rsidRPr="00CB0E26" w:rsidRDefault="00C17B7C" w:rsidP="00CB0E26">
    <w:pPr>
      <w:tabs>
        <w:tab w:val="center" w:pos="4513"/>
        <w:tab w:val="right" w:pos="9026"/>
      </w:tabs>
      <w:spacing w:before="720" w:after="240"/>
      <w:rPr>
        <w:rFonts w:asciiTheme="majorBidi" w:eastAsia="Cambria" w:hAnsiTheme="majorBidi" w:cstheme="majorBidi"/>
        <w:i/>
        <w:color w:val="4F81BD"/>
        <w:sz w:val="20"/>
        <w:szCs w:val="20"/>
      </w:rPr>
    </w:pPr>
    <w:r w:rsidRPr="00683F22">
      <w:rPr>
        <w:rFonts w:asciiTheme="majorBidi" w:eastAsia="Cambria" w:hAnsiTheme="majorBidi" w:cstheme="majorBidi"/>
        <w:i/>
        <w:color w:val="4F81BD"/>
        <w:sz w:val="20"/>
        <w:szCs w:val="20"/>
      </w:rPr>
      <w:t>Summary Record, 9</w:t>
    </w:r>
    <w:r>
      <w:rPr>
        <w:rFonts w:asciiTheme="majorBidi" w:eastAsia="Cambria" w:hAnsiTheme="majorBidi" w:cstheme="majorBidi"/>
        <w:i/>
        <w:color w:val="4F81BD"/>
        <w:sz w:val="20"/>
        <w:szCs w:val="20"/>
      </w:rPr>
      <w:t>2</w:t>
    </w:r>
    <w:r w:rsidRPr="00F40685">
      <w:rPr>
        <w:rFonts w:asciiTheme="majorBidi" w:eastAsia="Cambria" w:hAnsiTheme="majorBidi" w:cstheme="majorBidi"/>
        <w:i/>
        <w:color w:val="4F81BD"/>
        <w:sz w:val="20"/>
        <w:szCs w:val="20"/>
        <w:vertAlign w:val="superscript"/>
      </w:rPr>
      <w:t>nd</w:t>
    </w:r>
    <w:r>
      <w:rPr>
        <w:rFonts w:asciiTheme="majorBidi" w:eastAsia="Cambria" w:hAnsiTheme="majorBidi" w:cstheme="majorBidi"/>
        <w:i/>
        <w:color w:val="4F81BD"/>
        <w:sz w:val="20"/>
        <w:szCs w:val="20"/>
      </w:rPr>
      <w:t xml:space="preserve"> </w:t>
    </w:r>
    <w:r w:rsidRPr="00683F22">
      <w:rPr>
        <w:rFonts w:asciiTheme="majorBidi" w:eastAsia="Cambria" w:hAnsiTheme="majorBidi" w:cstheme="majorBidi"/>
        <w:i/>
        <w:color w:val="4F81BD"/>
        <w:sz w:val="20"/>
        <w:szCs w:val="20"/>
      </w:rPr>
      <w:t>IASC Working Group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472C9B8"/>
    <w:lvl w:ilvl="0">
      <w:start w:val="1"/>
      <w:numFmt w:val="decimal"/>
      <w:pStyle w:val="ListNumber"/>
      <w:lvlText w:val="%1."/>
      <w:lvlJc w:val="left"/>
      <w:pPr>
        <w:tabs>
          <w:tab w:val="num" w:pos="360"/>
        </w:tabs>
        <w:ind w:left="284" w:hanging="284"/>
      </w:pPr>
      <w:rPr>
        <w:rFonts w:hint="default"/>
      </w:rPr>
    </w:lvl>
  </w:abstractNum>
  <w:abstractNum w:abstractNumId="1" w15:restartNumberingAfterBreak="0">
    <w:nsid w:val="07DC2AC8"/>
    <w:multiLevelType w:val="hybridMultilevel"/>
    <w:tmpl w:val="1B6A1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BE1BD7"/>
    <w:multiLevelType w:val="hybridMultilevel"/>
    <w:tmpl w:val="0180088C"/>
    <w:lvl w:ilvl="0" w:tplc="3BD2472E">
      <w:start w:val="1"/>
      <w:numFmt w:val="decimal"/>
      <w:pStyle w:val="TableNumbered"/>
      <w:lvlText w:val="%1."/>
      <w:lvlJc w:val="left"/>
      <w:pPr>
        <w:tabs>
          <w:tab w:val="num" w:pos="360"/>
        </w:tabs>
        <w:ind w:left="284" w:hanging="284"/>
      </w:pPr>
      <w:rPr>
        <w:rFonts w:hint="default"/>
      </w:rPr>
    </w:lvl>
    <w:lvl w:ilvl="1" w:tplc="34FADBB6">
      <w:start w:val="1"/>
      <w:numFmt w:val="decimal"/>
      <w:pStyle w:val="TableNumbered"/>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04515"/>
    <w:multiLevelType w:val="hybridMultilevel"/>
    <w:tmpl w:val="11CAC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03217D"/>
    <w:multiLevelType w:val="hybridMultilevel"/>
    <w:tmpl w:val="A170D16E"/>
    <w:lvl w:ilvl="0" w:tplc="034030F2">
      <w:start w:val="1"/>
      <w:numFmt w:val="decimal"/>
      <w:pStyle w:val="ActionNumbered"/>
      <w:lvlText w:val="%1."/>
      <w:lvlJc w:val="left"/>
      <w:pPr>
        <w:tabs>
          <w:tab w:val="num" w:pos="567"/>
        </w:tabs>
        <w:ind w:left="567" w:hanging="425"/>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8A1829"/>
    <w:multiLevelType w:val="hybridMultilevel"/>
    <w:tmpl w:val="098C82C4"/>
    <w:lvl w:ilvl="0" w:tplc="62AA8184">
      <w:start w:val="1"/>
      <w:numFmt w:val="lowerLetter"/>
      <w:pStyle w:val="ListCharacters"/>
      <w:lvlText w:val="(%1)"/>
      <w:lvlJc w:val="left"/>
      <w:pPr>
        <w:tabs>
          <w:tab w:val="num" w:pos="567"/>
        </w:tabs>
        <w:ind w:left="567" w:hanging="425"/>
      </w:pPr>
      <w:rPr>
        <w:rFonts w:hint="default"/>
      </w:rPr>
    </w:lvl>
    <w:lvl w:ilvl="1" w:tplc="34FADBB6">
      <w:start w:val="1"/>
      <w:numFmt w:val="decimal"/>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E773D6"/>
    <w:multiLevelType w:val="hybridMultilevel"/>
    <w:tmpl w:val="BEFC4EE2"/>
    <w:lvl w:ilvl="0" w:tplc="AFF259B0">
      <w:start w:val="1"/>
      <w:numFmt w:val="bullet"/>
      <w:pStyle w:val="ListBullet2"/>
      <w:lvlText w:val=""/>
      <w:lvlJc w:val="left"/>
      <w:pPr>
        <w:tabs>
          <w:tab w:val="num" w:pos="992"/>
        </w:tabs>
        <w:ind w:left="992"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4D7372"/>
    <w:multiLevelType w:val="hybridMultilevel"/>
    <w:tmpl w:val="5D6EAFEC"/>
    <w:lvl w:ilvl="0" w:tplc="408240DA">
      <w:start w:val="1"/>
      <w:numFmt w:val="bullet"/>
      <w:pStyle w:val="Table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935F6"/>
    <w:multiLevelType w:val="hybridMultilevel"/>
    <w:tmpl w:val="4A26F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8E54A2"/>
    <w:multiLevelType w:val="hybridMultilevel"/>
    <w:tmpl w:val="E4A05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14702"/>
    <w:multiLevelType w:val="hybridMultilevel"/>
    <w:tmpl w:val="5D32E58E"/>
    <w:lvl w:ilvl="0" w:tplc="2676D7F0">
      <w:start w:val="1"/>
      <w:numFmt w:val="bullet"/>
      <w:pStyle w:val="ListBullet"/>
      <w:lvlText w:val=""/>
      <w:lvlJc w:val="left"/>
      <w:pPr>
        <w:tabs>
          <w:tab w:val="num" w:pos="567"/>
        </w:tabs>
        <w:ind w:left="567" w:hanging="425"/>
      </w:pPr>
      <w:rPr>
        <w:rFonts w:ascii="Wingdings" w:hAnsi="Wingdings" w:hint="default"/>
      </w:rPr>
    </w:lvl>
    <w:lvl w:ilvl="1" w:tplc="34FADBB6">
      <w:start w:val="1"/>
      <w:numFmt w:val="decimal"/>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94725C"/>
    <w:multiLevelType w:val="hybridMultilevel"/>
    <w:tmpl w:val="1D6E906C"/>
    <w:lvl w:ilvl="0" w:tplc="04090015">
      <w:start w:val="1"/>
      <w:numFmt w:val="lowerLetter"/>
      <w:pStyle w:val="ActionCharacter"/>
      <w:lvlText w:val="(%1)"/>
      <w:lvlJc w:val="left"/>
      <w:pPr>
        <w:tabs>
          <w:tab w:val="num" w:pos="502"/>
        </w:tabs>
        <w:ind w:left="425" w:hanging="283"/>
      </w:pPr>
      <w:rPr>
        <w:rFont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014086"/>
    <w:multiLevelType w:val="multilevel"/>
    <w:tmpl w:val="91980664"/>
    <w:lvl w:ilvl="0">
      <w:start w:val="1"/>
      <w:numFmt w:val="upperRoman"/>
      <w:pStyle w:val="Heading1"/>
      <w:lvlText w:val="%1"/>
      <w:lvlJc w:val="left"/>
      <w:pPr>
        <w:tabs>
          <w:tab w:val="num" w:pos="567"/>
        </w:tabs>
        <w:ind w:left="567" w:hanging="567"/>
      </w:pPr>
      <w:rPr>
        <w:rFonts w:hint="default"/>
      </w:rPr>
    </w:lvl>
    <w:lvl w:ilvl="1">
      <w:start w:val="1"/>
      <w:numFmt w:val="decimal"/>
      <w:pStyle w:val="Heading2"/>
      <w:isLgl/>
      <w:lvlText w:val="%1.%2"/>
      <w:lvlJc w:val="left"/>
      <w:pPr>
        <w:tabs>
          <w:tab w:val="num" w:pos="567"/>
        </w:tabs>
        <w:ind w:left="567" w:hanging="567"/>
      </w:pPr>
      <w:rPr>
        <w:rFonts w:hint="default"/>
      </w:rPr>
    </w:lvl>
    <w:lvl w:ilvl="2">
      <w:start w:val="1"/>
      <w:numFmt w:val="decimal"/>
      <w:pStyle w:val="Heading3"/>
      <w:isLgl/>
      <w:lvlText w:val="%1.%2.%3"/>
      <w:lvlJc w:val="left"/>
      <w:pPr>
        <w:tabs>
          <w:tab w:val="num" w:pos="567"/>
        </w:tabs>
        <w:ind w:left="567" w:hanging="567"/>
      </w:pPr>
      <w:rPr>
        <w:rFonts w:hint="default"/>
      </w:rPr>
    </w:lvl>
    <w:lvl w:ilvl="3">
      <w:start w:val="1"/>
      <w:numFmt w:val="decimal"/>
      <w:pStyle w:val="Heading4"/>
      <w:lvlText w:val="%1.%2.%3.%4"/>
      <w:lvlJc w:val="left"/>
      <w:pPr>
        <w:tabs>
          <w:tab w:val="num" w:pos="1080"/>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BF27952"/>
    <w:multiLevelType w:val="hybridMultilevel"/>
    <w:tmpl w:val="15745EE2"/>
    <w:lvl w:ilvl="0" w:tplc="770C9A60">
      <w:start w:val="1"/>
      <w:numFmt w:val="decimal"/>
      <w:pStyle w:val="ListNumbered2"/>
      <w:lvlText w:val="%1."/>
      <w:lvlJc w:val="left"/>
      <w:pPr>
        <w:tabs>
          <w:tab w:val="num" w:pos="992"/>
        </w:tabs>
        <w:ind w:left="992" w:hanging="425"/>
      </w:pPr>
      <w:rPr>
        <w:rFonts w:hint="default"/>
      </w:rPr>
    </w:lvl>
    <w:lvl w:ilvl="1" w:tplc="04090019">
      <w:start w:val="1"/>
      <w:numFmt w:val="lowerLetter"/>
      <w:pStyle w:val="ListCharacters2"/>
      <w:lvlText w:val="(%2)"/>
      <w:lvlJc w:val="left"/>
      <w:pPr>
        <w:tabs>
          <w:tab w:val="num" w:pos="1505"/>
        </w:tabs>
        <w:ind w:left="1505" w:hanging="425"/>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542575"/>
    <w:multiLevelType w:val="hybridMultilevel"/>
    <w:tmpl w:val="5E242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327506"/>
    <w:multiLevelType w:val="hybridMultilevel"/>
    <w:tmpl w:val="D69A944C"/>
    <w:lvl w:ilvl="0" w:tplc="05D40F96">
      <w:start w:val="1"/>
      <w:numFmt w:val="decimal"/>
      <w:pStyle w:val="ListNumbered"/>
      <w:lvlText w:val="%1."/>
      <w:lvlJc w:val="left"/>
      <w:pPr>
        <w:tabs>
          <w:tab w:val="num" w:pos="567"/>
        </w:tabs>
        <w:ind w:left="567" w:hanging="42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4"/>
  </w:num>
  <w:num w:numId="4">
    <w:abstractNumId w:val="12"/>
  </w:num>
  <w:num w:numId="5">
    <w:abstractNumId w:val="13"/>
  </w:num>
  <w:num w:numId="6">
    <w:abstractNumId w:val="0"/>
  </w:num>
  <w:num w:numId="7">
    <w:abstractNumId w:val="2"/>
  </w:num>
  <w:num w:numId="8">
    <w:abstractNumId w:val="5"/>
  </w:num>
  <w:num w:numId="9">
    <w:abstractNumId w:val="7"/>
  </w:num>
  <w:num w:numId="10">
    <w:abstractNumId w:val="15"/>
  </w:num>
  <w:num w:numId="11">
    <w:abstractNumId w:val="11"/>
  </w:num>
  <w:num w:numId="12">
    <w:abstractNumId w:val="3"/>
  </w:num>
  <w:num w:numId="13">
    <w:abstractNumId w:val="9"/>
  </w:num>
  <w:num w:numId="14">
    <w:abstractNumId w:val="1"/>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A4"/>
    <w:rsid w:val="00000006"/>
    <w:rsid w:val="0000230B"/>
    <w:rsid w:val="00003D8A"/>
    <w:rsid w:val="00004A6D"/>
    <w:rsid w:val="00012662"/>
    <w:rsid w:val="00012AB9"/>
    <w:rsid w:val="000144A0"/>
    <w:rsid w:val="00015476"/>
    <w:rsid w:val="00017457"/>
    <w:rsid w:val="00017E2E"/>
    <w:rsid w:val="000233AA"/>
    <w:rsid w:val="000237FE"/>
    <w:rsid w:val="000276EA"/>
    <w:rsid w:val="000316F1"/>
    <w:rsid w:val="00035CF0"/>
    <w:rsid w:val="00035E80"/>
    <w:rsid w:val="000410D4"/>
    <w:rsid w:val="00041213"/>
    <w:rsid w:val="000435D4"/>
    <w:rsid w:val="00043B83"/>
    <w:rsid w:val="00044E8D"/>
    <w:rsid w:val="000468B7"/>
    <w:rsid w:val="0004729B"/>
    <w:rsid w:val="00051456"/>
    <w:rsid w:val="000550CF"/>
    <w:rsid w:val="00055426"/>
    <w:rsid w:val="00060ED1"/>
    <w:rsid w:val="00061CE3"/>
    <w:rsid w:val="000623A0"/>
    <w:rsid w:val="00064185"/>
    <w:rsid w:val="00065F77"/>
    <w:rsid w:val="00066D54"/>
    <w:rsid w:val="0007028D"/>
    <w:rsid w:val="00070A76"/>
    <w:rsid w:val="00071F22"/>
    <w:rsid w:val="00082572"/>
    <w:rsid w:val="000831EB"/>
    <w:rsid w:val="0008475E"/>
    <w:rsid w:val="00085C6E"/>
    <w:rsid w:val="00086D84"/>
    <w:rsid w:val="000875A0"/>
    <w:rsid w:val="00090062"/>
    <w:rsid w:val="00090F7B"/>
    <w:rsid w:val="0009335D"/>
    <w:rsid w:val="00093F82"/>
    <w:rsid w:val="000946B4"/>
    <w:rsid w:val="000948F5"/>
    <w:rsid w:val="00096EEF"/>
    <w:rsid w:val="000972C5"/>
    <w:rsid w:val="000A051C"/>
    <w:rsid w:val="000A21A8"/>
    <w:rsid w:val="000B3716"/>
    <w:rsid w:val="000B6183"/>
    <w:rsid w:val="000B7906"/>
    <w:rsid w:val="000C1B53"/>
    <w:rsid w:val="000C39FE"/>
    <w:rsid w:val="000C56A3"/>
    <w:rsid w:val="000C648B"/>
    <w:rsid w:val="000D016C"/>
    <w:rsid w:val="000D414F"/>
    <w:rsid w:val="000D549A"/>
    <w:rsid w:val="000D71D3"/>
    <w:rsid w:val="000E324E"/>
    <w:rsid w:val="000F05B0"/>
    <w:rsid w:val="000F2AA5"/>
    <w:rsid w:val="000F2C52"/>
    <w:rsid w:val="000F54E6"/>
    <w:rsid w:val="000F55B7"/>
    <w:rsid w:val="000F63C9"/>
    <w:rsid w:val="00100E09"/>
    <w:rsid w:val="001019E7"/>
    <w:rsid w:val="001021C8"/>
    <w:rsid w:val="001035CA"/>
    <w:rsid w:val="00105523"/>
    <w:rsid w:val="00107D43"/>
    <w:rsid w:val="001128CB"/>
    <w:rsid w:val="001135F4"/>
    <w:rsid w:val="001174CB"/>
    <w:rsid w:val="00117BD9"/>
    <w:rsid w:val="0012632F"/>
    <w:rsid w:val="00126C18"/>
    <w:rsid w:val="00130136"/>
    <w:rsid w:val="00131776"/>
    <w:rsid w:val="0013238D"/>
    <w:rsid w:val="00133F00"/>
    <w:rsid w:val="001341AA"/>
    <w:rsid w:val="001353B2"/>
    <w:rsid w:val="00141735"/>
    <w:rsid w:val="00141968"/>
    <w:rsid w:val="00142D3E"/>
    <w:rsid w:val="00142EC3"/>
    <w:rsid w:val="0015368C"/>
    <w:rsid w:val="00154234"/>
    <w:rsid w:val="001546A7"/>
    <w:rsid w:val="00154E1A"/>
    <w:rsid w:val="00156B87"/>
    <w:rsid w:val="001642EF"/>
    <w:rsid w:val="00164766"/>
    <w:rsid w:val="00164FBF"/>
    <w:rsid w:val="001655F1"/>
    <w:rsid w:val="0016728F"/>
    <w:rsid w:val="00180DD5"/>
    <w:rsid w:val="00183D5E"/>
    <w:rsid w:val="0018597E"/>
    <w:rsid w:val="00187E35"/>
    <w:rsid w:val="0019047E"/>
    <w:rsid w:val="001917D8"/>
    <w:rsid w:val="0019234F"/>
    <w:rsid w:val="00195D1B"/>
    <w:rsid w:val="00196360"/>
    <w:rsid w:val="001A1067"/>
    <w:rsid w:val="001A1F39"/>
    <w:rsid w:val="001A236F"/>
    <w:rsid w:val="001A4850"/>
    <w:rsid w:val="001A4BA5"/>
    <w:rsid w:val="001A55C2"/>
    <w:rsid w:val="001A68E8"/>
    <w:rsid w:val="001A79CC"/>
    <w:rsid w:val="001A7DC7"/>
    <w:rsid w:val="001B21A0"/>
    <w:rsid w:val="001B3DB3"/>
    <w:rsid w:val="001B6E4E"/>
    <w:rsid w:val="001C5059"/>
    <w:rsid w:val="001C50BF"/>
    <w:rsid w:val="001C6514"/>
    <w:rsid w:val="001D0160"/>
    <w:rsid w:val="001D3B8E"/>
    <w:rsid w:val="001D7294"/>
    <w:rsid w:val="001E010F"/>
    <w:rsid w:val="001E0CF4"/>
    <w:rsid w:val="001E1F6E"/>
    <w:rsid w:val="001E4B76"/>
    <w:rsid w:val="001E5328"/>
    <w:rsid w:val="001F43E8"/>
    <w:rsid w:val="001F4E10"/>
    <w:rsid w:val="001F7C4A"/>
    <w:rsid w:val="00200275"/>
    <w:rsid w:val="00200BCE"/>
    <w:rsid w:val="002077CC"/>
    <w:rsid w:val="00207AA5"/>
    <w:rsid w:val="00210961"/>
    <w:rsid w:val="002133DC"/>
    <w:rsid w:val="00216F87"/>
    <w:rsid w:val="00222D0C"/>
    <w:rsid w:val="00223851"/>
    <w:rsid w:val="0022581A"/>
    <w:rsid w:val="00236F2D"/>
    <w:rsid w:val="0024036E"/>
    <w:rsid w:val="002405DE"/>
    <w:rsid w:val="00242E45"/>
    <w:rsid w:val="00243323"/>
    <w:rsid w:val="0024554C"/>
    <w:rsid w:val="00252DE4"/>
    <w:rsid w:val="002540D8"/>
    <w:rsid w:val="00255032"/>
    <w:rsid w:val="00256001"/>
    <w:rsid w:val="00266443"/>
    <w:rsid w:val="002765DB"/>
    <w:rsid w:val="00276954"/>
    <w:rsid w:val="00285C40"/>
    <w:rsid w:val="00290096"/>
    <w:rsid w:val="00292D84"/>
    <w:rsid w:val="00292FCC"/>
    <w:rsid w:val="00295902"/>
    <w:rsid w:val="002970D1"/>
    <w:rsid w:val="002A1D00"/>
    <w:rsid w:val="002A209E"/>
    <w:rsid w:val="002A2623"/>
    <w:rsid w:val="002A5AF0"/>
    <w:rsid w:val="002A74A7"/>
    <w:rsid w:val="002B2CA6"/>
    <w:rsid w:val="002C3097"/>
    <w:rsid w:val="002C37BB"/>
    <w:rsid w:val="002C4423"/>
    <w:rsid w:val="002C51A9"/>
    <w:rsid w:val="002C6705"/>
    <w:rsid w:val="002C6BA4"/>
    <w:rsid w:val="002C73BF"/>
    <w:rsid w:val="002D10C3"/>
    <w:rsid w:val="002D172E"/>
    <w:rsid w:val="002D1868"/>
    <w:rsid w:val="002D1931"/>
    <w:rsid w:val="002D6981"/>
    <w:rsid w:val="002D7C47"/>
    <w:rsid w:val="002E0998"/>
    <w:rsid w:val="00300055"/>
    <w:rsid w:val="00300832"/>
    <w:rsid w:val="003011E0"/>
    <w:rsid w:val="00302312"/>
    <w:rsid w:val="00302718"/>
    <w:rsid w:val="00317251"/>
    <w:rsid w:val="003226B0"/>
    <w:rsid w:val="00330BE7"/>
    <w:rsid w:val="00331453"/>
    <w:rsid w:val="003320A3"/>
    <w:rsid w:val="003401ED"/>
    <w:rsid w:val="00343849"/>
    <w:rsid w:val="00343D0D"/>
    <w:rsid w:val="003443D5"/>
    <w:rsid w:val="0035157B"/>
    <w:rsid w:val="00352646"/>
    <w:rsid w:val="00352B28"/>
    <w:rsid w:val="0035726C"/>
    <w:rsid w:val="00361122"/>
    <w:rsid w:val="00362301"/>
    <w:rsid w:val="00362DB8"/>
    <w:rsid w:val="00363522"/>
    <w:rsid w:val="00363AF1"/>
    <w:rsid w:val="00364BB3"/>
    <w:rsid w:val="003668DD"/>
    <w:rsid w:val="00374BA4"/>
    <w:rsid w:val="00377EB1"/>
    <w:rsid w:val="00383B94"/>
    <w:rsid w:val="0038423C"/>
    <w:rsid w:val="00385BEA"/>
    <w:rsid w:val="003963F3"/>
    <w:rsid w:val="003A439F"/>
    <w:rsid w:val="003A4B3D"/>
    <w:rsid w:val="003A5443"/>
    <w:rsid w:val="003A5B7C"/>
    <w:rsid w:val="003A6829"/>
    <w:rsid w:val="003A6E4D"/>
    <w:rsid w:val="003A71B3"/>
    <w:rsid w:val="003B15C3"/>
    <w:rsid w:val="003B2E70"/>
    <w:rsid w:val="003C0A9F"/>
    <w:rsid w:val="003C3299"/>
    <w:rsid w:val="003C3AA9"/>
    <w:rsid w:val="003C430E"/>
    <w:rsid w:val="003C5D89"/>
    <w:rsid w:val="003D3E49"/>
    <w:rsid w:val="003E1E81"/>
    <w:rsid w:val="003E30A8"/>
    <w:rsid w:val="003E497D"/>
    <w:rsid w:val="003F2DD5"/>
    <w:rsid w:val="003F2F1C"/>
    <w:rsid w:val="003F3DD0"/>
    <w:rsid w:val="003F4E4B"/>
    <w:rsid w:val="003F6D1C"/>
    <w:rsid w:val="003F7782"/>
    <w:rsid w:val="00400D76"/>
    <w:rsid w:val="004035BD"/>
    <w:rsid w:val="00412723"/>
    <w:rsid w:val="00412C4A"/>
    <w:rsid w:val="00413771"/>
    <w:rsid w:val="0041464C"/>
    <w:rsid w:val="004162D0"/>
    <w:rsid w:val="00417A8E"/>
    <w:rsid w:val="004204A5"/>
    <w:rsid w:val="00422BCF"/>
    <w:rsid w:val="004230F9"/>
    <w:rsid w:val="00423E7A"/>
    <w:rsid w:val="004309C7"/>
    <w:rsid w:val="00431E9F"/>
    <w:rsid w:val="00432654"/>
    <w:rsid w:val="0043279F"/>
    <w:rsid w:val="00432DFE"/>
    <w:rsid w:val="00433525"/>
    <w:rsid w:val="004343D8"/>
    <w:rsid w:val="00436C69"/>
    <w:rsid w:val="00442C92"/>
    <w:rsid w:val="00443C81"/>
    <w:rsid w:val="0044554D"/>
    <w:rsid w:val="00445669"/>
    <w:rsid w:val="004547BB"/>
    <w:rsid w:val="00461333"/>
    <w:rsid w:val="00461D72"/>
    <w:rsid w:val="0046669A"/>
    <w:rsid w:val="0046747D"/>
    <w:rsid w:val="0046796C"/>
    <w:rsid w:val="00471D47"/>
    <w:rsid w:val="00471ED1"/>
    <w:rsid w:val="0047396C"/>
    <w:rsid w:val="00473E6B"/>
    <w:rsid w:val="00476BDA"/>
    <w:rsid w:val="004776CE"/>
    <w:rsid w:val="00477915"/>
    <w:rsid w:val="00482A38"/>
    <w:rsid w:val="004858F8"/>
    <w:rsid w:val="00490DC6"/>
    <w:rsid w:val="004917DD"/>
    <w:rsid w:val="00492795"/>
    <w:rsid w:val="004A1CE5"/>
    <w:rsid w:val="004A2E5A"/>
    <w:rsid w:val="004A3320"/>
    <w:rsid w:val="004B0165"/>
    <w:rsid w:val="004B129B"/>
    <w:rsid w:val="004B33C3"/>
    <w:rsid w:val="004B3725"/>
    <w:rsid w:val="004B47A6"/>
    <w:rsid w:val="004B50EA"/>
    <w:rsid w:val="004C179C"/>
    <w:rsid w:val="004C49A4"/>
    <w:rsid w:val="004C4BF7"/>
    <w:rsid w:val="004C5092"/>
    <w:rsid w:val="004C6493"/>
    <w:rsid w:val="004C6B4B"/>
    <w:rsid w:val="004D3814"/>
    <w:rsid w:val="004D3BFB"/>
    <w:rsid w:val="004D5B5B"/>
    <w:rsid w:val="004D64F7"/>
    <w:rsid w:val="004D7D5D"/>
    <w:rsid w:val="004E1A8F"/>
    <w:rsid w:val="004E2EE4"/>
    <w:rsid w:val="004E3C1D"/>
    <w:rsid w:val="004E6D09"/>
    <w:rsid w:val="004F1336"/>
    <w:rsid w:val="004F3419"/>
    <w:rsid w:val="004F36EA"/>
    <w:rsid w:val="005010EE"/>
    <w:rsid w:val="00501F56"/>
    <w:rsid w:val="00502311"/>
    <w:rsid w:val="0050538C"/>
    <w:rsid w:val="00505D12"/>
    <w:rsid w:val="005121BA"/>
    <w:rsid w:val="005127B6"/>
    <w:rsid w:val="00514122"/>
    <w:rsid w:val="0051650E"/>
    <w:rsid w:val="005177BE"/>
    <w:rsid w:val="005313F8"/>
    <w:rsid w:val="0053201E"/>
    <w:rsid w:val="005335E6"/>
    <w:rsid w:val="00533CFF"/>
    <w:rsid w:val="00536179"/>
    <w:rsid w:val="005372A9"/>
    <w:rsid w:val="005419C9"/>
    <w:rsid w:val="005424EA"/>
    <w:rsid w:val="005433AE"/>
    <w:rsid w:val="00546146"/>
    <w:rsid w:val="005472B5"/>
    <w:rsid w:val="00553A23"/>
    <w:rsid w:val="00553CA8"/>
    <w:rsid w:val="00555BCC"/>
    <w:rsid w:val="005561A5"/>
    <w:rsid w:val="00557FD2"/>
    <w:rsid w:val="00561E1A"/>
    <w:rsid w:val="0056271F"/>
    <w:rsid w:val="00565B83"/>
    <w:rsid w:val="00566666"/>
    <w:rsid w:val="00567D39"/>
    <w:rsid w:val="005701DF"/>
    <w:rsid w:val="00580656"/>
    <w:rsid w:val="00587F7E"/>
    <w:rsid w:val="00593B6F"/>
    <w:rsid w:val="00596424"/>
    <w:rsid w:val="00597B11"/>
    <w:rsid w:val="005A3AD1"/>
    <w:rsid w:val="005A44DD"/>
    <w:rsid w:val="005A7C4F"/>
    <w:rsid w:val="005B001B"/>
    <w:rsid w:val="005B0A6D"/>
    <w:rsid w:val="005B14F9"/>
    <w:rsid w:val="005B3CB1"/>
    <w:rsid w:val="005B479A"/>
    <w:rsid w:val="005B51A0"/>
    <w:rsid w:val="005C1241"/>
    <w:rsid w:val="005C2185"/>
    <w:rsid w:val="005C25A8"/>
    <w:rsid w:val="005C2D2F"/>
    <w:rsid w:val="005C363F"/>
    <w:rsid w:val="005D08D3"/>
    <w:rsid w:val="005D30B7"/>
    <w:rsid w:val="005D6817"/>
    <w:rsid w:val="005E2471"/>
    <w:rsid w:val="005E447C"/>
    <w:rsid w:val="005E7365"/>
    <w:rsid w:val="005E75B1"/>
    <w:rsid w:val="005F3B07"/>
    <w:rsid w:val="005F4164"/>
    <w:rsid w:val="005F4729"/>
    <w:rsid w:val="005F4E37"/>
    <w:rsid w:val="005F5054"/>
    <w:rsid w:val="005F5406"/>
    <w:rsid w:val="005F6C3E"/>
    <w:rsid w:val="00601A58"/>
    <w:rsid w:val="0060250F"/>
    <w:rsid w:val="00612176"/>
    <w:rsid w:val="006137F0"/>
    <w:rsid w:val="006140D3"/>
    <w:rsid w:val="00615938"/>
    <w:rsid w:val="00623030"/>
    <w:rsid w:val="0062306D"/>
    <w:rsid w:val="00626C7E"/>
    <w:rsid w:val="0062792A"/>
    <w:rsid w:val="006309EE"/>
    <w:rsid w:val="006348FF"/>
    <w:rsid w:val="00636665"/>
    <w:rsid w:val="00636E91"/>
    <w:rsid w:val="006407E9"/>
    <w:rsid w:val="00640988"/>
    <w:rsid w:val="00644438"/>
    <w:rsid w:val="00651819"/>
    <w:rsid w:val="0065207A"/>
    <w:rsid w:val="006546F5"/>
    <w:rsid w:val="00660823"/>
    <w:rsid w:val="00661C42"/>
    <w:rsid w:val="006633CE"/>
    <w:rsid w:val="0066530F"/>
    <w:rsid w:val="0066576E"/>
    <w:rsid w:val="00665AFB"/>
    <w:rsid w:val="006702F7"/>
    <w:rsid w:val="0067242B"/>
    <w:rsid w:val="00674950"/>
    <w:rsid w:val="006778C5"/>
    <w:rsid w:val="006778C9"/>
    <w:rsid w:val="006778D1"/>
    <w:rsid w:val="00683AC1"/>
    <w:rsid w:val="00683F22"/>
    <w:rsid w:val="0068414E"/>
    <w:rsid w:val="00687423"/>
    <w:rsid w:val="00687786"/>
    <w:rsid w:val="00687E5E"/>
    <w:rsid w:val="006908FA"/>
    <w:rsid w:val="00690EFA"/>
    <w:rsid w:val="006913C5"/>
    <w:rsid w:val="00691487"/>
    <w:rsid w:val="00696675"/>
    <w:rsid w:val="006972B0"/>
    <w:rsid w:val="006A2D51"/>
    <w:rsid w:val="006A2EFF"/>
    <w:rsid w:val="006A3620"/>
    <w:rsid w:val="006A70E0"/>
    <w:rsid w:val="006B1C44"/>
    <w:rsid w:val="006B7936"/>
    <w:rsid w:val="006C1A84"/>
    <w:rsid w:val="006C4358"/>
    <w:rsid w:val="006C71B7"/>
    <w:rsid w:val="006C7A05"/>
    <w:rsid w:val="006C7C74"/>
    <w:rsid w:val="006D40C4"/>
    <w:rsid w:val="006D546E"/>
    <w:rsid w:val="006D5E4A"/>
    <w:rsid w:val="006D77EF"/>
    <w:rsid w:val="006E6EF8"/>
    <w:rsid w:val="006F5136"/>
    <w:rsid w:val="006F5702"/>
    <w:rsid w:val="0070350E"/>
    <w:rsid w:val="00707CBD"/>
    <w:rsid w:val="00710043"/>
    <w:rsid w:val="00711107"/>
    <w:rsid w:val="00712D9A"/>
    <w:rsid w:val="007132DD"/>
    <w:rsid w:val="007150F1"/>
    <w:rsid w:val="00716DB9"/>
    <w:rsid w:val="00721609"/>
    <w:rsid w:val="00726FBE"/>
    <w:rsid w:val="00733765"/>
    <w:rsid w:val="00734DE8"/>
    <w:rsid w:val="00736E74"/>
    <w:rsid w:val="00737CCE"/>
    <w:rsid w:val="00740446"/>
    <w:rsid w:val="007435FC"/>
    <w:rsid w:val="00743B24"/>
    <w:rsid w:val="00743E98"/>
    <w:rsid w:val="00746400"/>
    <w:rsid w:val="007473E9"/>
    <w:rsid w:val="007507B6"/>
    <w:rsid w:val="00751BCA"/>
    <w:rsid w:val="007541C6"/>
    <w:rsid w:val="0075695F"/>
    <w:rsid w:val="00760AD7"/>
    <w:rsid w:val="00763D00"/>
    <w:rsid w:val="00764D64"/>
    <w:rsid w:val="007654E6"/>
    <w:rsid w:val="00765889"/>
    <w:rsid w:val="007658E1"/>
    <w:rsid w:val="00771C8E"/>
    <w:rsid w:val="00774EC8"/>
    <w:rsid w:val="00781C08"/>
    <w:rsid w:val="00782D62"/>
    <w:rsid w:val="00783853"/>
    <w:rsid w:val="007850D4"/>
    <w:rsid w:val="007879C8"/>
    <w:rsid w:val="0079053C"/>
    <w:rsid w:val="007945A8"/>
    <w:rsid w:val="00794C85"/>
    <w:rsid w:val="00795535"/>
    <w:rsid w:val="0079611A"/>
    <w:rsid w:val="00796BFC"/>
    <w:rsid w:val="00797280"/>
    <w:rsid w:val="007A008D"/>
    <w:rsid w:val="007A118E"/>
    <w:rsid w:val="007A12DF"/>
    <w:rsid w:val="007A6E74"/>
    <w:rsid w:val="007B2B5B"/>
    <w:rsid w:val="007B3F28"/>
    <w:rsid w:val="007B52C2"/>
    <w:rsid w:val="007B58E2"/>
    <w:rsid w:val="007C2928"/>
    <w:rsid w:val="007C4EE7"/>
    <w:rsid w:val="007C5003"/>
    <w:rsid w:val="007D0E35"/>
    <w:rsid w:val="007D4FAD"/>
    <w:rsid w:val="007E0816"/>
    <w:rsid w:val="007E0AA6"/>
    <w:rsid w:val="007E1A9A"/>
    <w:rsid w:val="007F264F"/>
    <w:rsid w:val="007F3E79"/>
    <w:rsid w:val="007F4703"/>
    <w:rsid w:val="007F6408"/>
    <w:rsid w:val="0080197A"/>
    <w:rsid w:val="00802BBE"/>
    <w:rsid w:val="00806DAF"/>
    <w:rsid w:val="0080751F"/>
    <w:rsid w:val="008129C6"/>
    <w:rsid w:val="00815486"/>
    <w:rsid w:val="008155F0"/>
    <w:rsid w:val="00821430"/>
    <w:rsid w:val="00821617"/>
    <w:rsid w:val="0082653D"/>
    <w:rsid w:val="0083004E"/>
    <w:rsid w:val="008337EC"/>
    <w:rsid w:val="008351C8"/>
    <w:rsid w:val="008351FE"/>
    <w:rsid w:val="008361BF"/>
    <w:rsid w:val="00836668"/>
    <w:rsid w:val="00837E56"/>
    <w:rsid w:val="00840B96"/>
    <w:rsid w:val="00850182"/>
    <w:rsid w:val="0085142A"/>
    <w:rsid w:val="00853760"/>
    <w:rsid w:val="0085460E"/>
    <w:rsid w:val="00860BEA"/>
    <w:rsid w:val="00866E32"/>
    <w:rsid w:val="0086703D"/>
    <w:rsid w:val="00870D01"/>
    <w:rsid w:val="00873AB8"/>
    <w:rsid w:val="008743F4"/>
    <w:rsid w:val="00875698"/>
    <w:rsid w:val="00876F52"/>
    <w:rsid w:val="008773C4"/>
    <w:rsid w:val="008775FD"/>
    <w:rsid w:val="00877C0F"/>
    <w:rsid w:val="00877CF6"/>
    <w:rsid w:val="008802B3"/>
    <w:rsid w:val="008828A6"/>
    <w:rsid w:val="00883983"/>
    <w:rsid w:val="008847CA"/>
    <w:rsid w:val="00885DD7"/>
    <w:rsid w:val="0088714B"/>
    <w:rsid w:val="008876CC"/>
    <w:rsid w:val="00891327"/>
    <w:rsid w:val="00892EE0"/>
    <w:rsid w:val="0089412D"/>
    <w:rsid w:val="0089439C"/>
    <w:rsid w:val="00895261"/>
    <w:rsid w:val="008A27BC"/>
    <w:rsid w:val="008A432E"/>
    <w:rsid w:val="008A67F8"/>
    <w:rsid w:val="008A7BC1"/>
    <w:rsid w:val="008A7C83"/>
    <w:rsid w:val="008B0536"/>
    <w:rsid w:val="008B1CAF"/>
    <w:rsid w:val="008B2B17"/>
    <w:rsid w:val="008B4173"/>
    <w:rsid w:val="008B4C1F"/>
    <w:rsid w:val="008B51CD"/>
    <w:rsid w:val="008B53AA"/>
    <w:rsid w:val="008C26A7"/>
    <w:rsid w:val="008C6E90"/>
    <w:rsid w:val="008D0E16"/>
    <w:rsid w:val="008D2BCB"/>
    <w:rsid w:val="008D321A"/>
    <w:rsid w:val="008D3BB4"/>
    <w:rsid w:val="008D442F"/>
    <w:rsid w:val="008E0D19"/>
    <w:rsid w:val="008E126E"/>
    <w:rsid w:val="008E35C7"/>
    <w:rsid w:val="008E5BC7"/>
    <w:rsid w:val="008F150F"/>
    <w:rsid w:val="008F3335"/>
    <w:rsid w:val="008F37E8"/>
    <w:rsid w:val="008F3FA8"/>
    <w:rsid w:val="008F486C"/>
    <w:rsid w:val="008F6115"/>
    <w:rsid w:val="00900B93"/>
    <w:rsid w:val="009055A0"/>
    <w:rsid w:val="00911A10"/>
    <w:rsid w:val="00913D0B"/>
    <w:rsid w:val="00915288"/>
    <w:rsid w:val="00916BF7"/>
    <w:rsid w:val="00920DE6"/>
    <w:rsid w:val="009225E1"/>
    <w:rsid w:val="00925072"/>
    <w:rsid w:val="009257CB"/>
    <w:rsid w:val="00926628"/>
    <w:rsid w:val="009276AD"/>
    <w:rsid w:val="00934A33"/>
    <w:rsid w:val="00935370"/>
    <w:rsid w:val="00936E90"/>
    <w:rsid w:val="009371B6"/>
    <w:rsid w:val="00940454"/>
    <w:rsid w:val="00941440"/>
    <w:rsid w:val="009414DF"/>
    <w:rsid w:val="00942CAD"/>
    <w:rsid w:val="00944306"/>
    <w:rsid w:val="00945AE0"/>
    <w:rsid w:val="00946C03"/>
    <w:rsid w:val="00950EE4"/>
    <w:rsid w:val="00953E57"/>
    <w:rsid w:val="009549B7"/>
    <w:rsid w:val="00955C78"/>
    <w:rsid w:val="00961EA1"/>
    <w:rsid w:val="009625B4"/>
    <w:rsid w:val="00964033"/>
    <w:rsid w:val="00965079"/>
    <w:rsid w:val="00966A85"/>
    <w:rsid w:val="00967012"/>
    <w:rsid w:val="009679CE"/>
    <w:rsid w:val="009708EC"/>
    <w:rsid w:val="009729B0"/>
    <w:rsid w:val="009729E6"/>
    <w:rsid w:val="00974292"/>
    <w:rsid w:val="009746E4"/>
    <w:rsid w:val="009763A2"/>
    <w:rsid w:val="00976985"/>
    <w:rsid w:val="0098050F"/>
    <w:rsid w:val="009865C3"/>
    <w:rsid w:val="00987CB8"/>
    <w:rsid w:val="00991DCB"/>
    <w:rsid w:val="009926C1"/>
    <w:rsid w:val="00993AA7"/>
    <w:rsid w:val="009960AE"/>
    <w:rsid w:val="00997EC3"/>
    <w:rsid w:val="009A011C"/>
    <w:rsid w:val="009A0F63"/>
    <w:rsid w:val="009A2A89"/>
    <w:rsid w:val="009A6527"/>
    <w:rsid w:val="009A7004"/>
    <w:rsid w:val="009B0D91"/>
    <w:rsid w:val="009B11C2"/>
    <w:rsid w:val="009B2E5A"/>
    <w:rsid w:val="009B4825"/>
    <w:rsid w:val="009C11A1"/>
    <w:rsid w:val="009C1D25"/>
    <w:rsid w:val="009C2540"/>
    <w:rsid w:val="009C347D"/>
    <w:rsid w:val="009C3891"/>
    <w:rsid w:val="009C59C8"/>
    <w:rsid w:val="009C5E51"/>
    <w:rsid w:val="009D53BA"/>
    <w:rsid w:val="009D5C0F"/>
    <w:rsid w:val="009D67E6"/>
    <w:rsid w:val="009E1396"/>
    <w:rsid w:val="009E2046"/>
    <w:rsid w:val="009E2FFC"/>
    <w:rsid w:val="009E363B"/>
    <w:rsid w:val="009E435A"/>
    <w:rsid w:val="009E5C10"/>
    <w:rsid w:val="009E65D7"/>
    <w:rsid w:val="009F0104"/>
    <w:rsid w:val="009F1B2D"/>
    <w:rsid w:val="009F1E2C"/>
    <w:rsid w:val="009F3D26"/>
    <w:rsid w:val="009F5AE1"/>
    <w:rsid w:val="009F7729"/>
    <w:rsid w:val="009F7D84"/>
    <w:rsid w:val="00A01178"/>
    <w:rsid w:val="00A058E4"/>
    <w:rsid w:val="00A07890"/>
    <w:rsid w:val="00A11451"/>
    <w:rsid w:val="00A1183D"/>
    <w:rsid w:val="00A11BA7"/>
    <w:rsid w:val="00A15478"/>
    <w:rsid w:val="00A159E5"/>
    <w:rsid w:val="00A20D28"/>
    <w:rsid w:val="00A2287D"/>
    <w:rsid w:val="00A23EBA"/>
    <w:rsid w:val="00A2586B"/>
    <w:rsid w:val="00A3440D"/>
    <w:rsid w:val="00A47D90"/>
    <w:rsid w:val="00A511DF"/>
    <w:rsid w:val="00A5572A"/>
    <w:rsid w:val="00A55D72"/>
    <w:rsid w:val="00A57151"/>
    <w:rsid w:val="00A641AF"/>
    <w:rsid w:val="00A646C3"/>
    <w:rsid w:val="00A66B61"/>
    <w:rsid w:val="00A67190"/>
    <w:rsid w:val="00A6771B"/>
    <w:rsid w:val="00A70738"/>
    <w:rsid w:val="00A70FC9"/>
    <w:rsid w:val="00A7118F"/>
    <w:rsid w:val="00A74B8F"/>
    <w:rsid w:val="00A75DDB"/>
    <w:rsid w:val="00A77A26"/>
    <w:rsid w:val="00A84B0F"/>
    <w:rsid w:val="00A876D6"/>
    <w:rsid w:val="00A90F6F"/>
    <w:rsid w:val="00A91E1C"/>
    <w:rsid w:val="00A91E6D"/>
    <w:rsid w:val="00A91FFA"/>
    <w:rsid w:val="00A93774"/>
    <w:rsid w:val="00A94C51"/>
    <w:rsid w:val="00AA0809"/>
    <w:rsid w:val="00AA1C2A"/>
    <w:rsid w:val="00AA1D51"/>
    <w:rsid w:val="00AA5B95"/>
    <w:rsid w:val="00AA6F37"/>
    <w:rsid w:val="00AA7EA3"/>
    <w:rsid w:val="00AB07ED"/>
    <w:rsid w:val="00AB0E0E"/>
    <w:rsid w:val="00AB2280"/>
    <w:rsid w:val="00AB445B"/>
    <w:rsid w:val="00AB4CD9"/>
    <w:rsid w:val="00AB73E9"/>
    <w:rsid w:val="00AB7608"/>
    <w:rsid w:val="00AC2827"/>
    <w:rsid w:val="00AC7476"/>
    <w:rsid w:val="00AD0241"/>
    <w:rsid w:val="00AD1B22"/>
    <w:rsid w:val="00AD2BAC"/>
    <w:rsid w:val="00AD3AEC"/>
    <w:rsid w:val="00AD5F72"/>
    <w:rsid w:val="00AD637B"/>
    <w:rsid w:val="00AD7B0A"/>
    <w:rsid w:val="00AE0B81"/>
    <w:rsid w:val="00AE35A9"/>
    <w:rsid w:val="00AE3F16"/>
    <w:rsid w:val="00AE5D7F"/>
    <w:rsid w:val="00AF258A"/>
    <w:rsid w:val="00AF6692"/>
    <w:rsid w:val="00AF7C02"/>
    <w:rsid w:val="00B00730"/>
    <w:rsid w:val="00B0122A"/>
    <w:rsid w:val="00B01649"/>
    <w:rsid w:val="00B05827"/>
    <w:rsid w:val="00B078D6"/>
    <w:rsid w:val="00B10B38"/>
    <w:rsid w:val="00B1136B"/>
    <w:rsid w:val="00B14BC5"/>
    <w:rsid w:val="00B1694E"/>
    <w:rsid w:val="00B16D2F"/>
    <w:rsid w:val="00B1781E"/>
    <w:rsid w:val="00B2011F"/>
    <w:rsid w:val="00B20C87"/>
    <w:rsid w:val="00B22B76"/>
    <w:rsid w:val="00B24850"/>
    <w:rsid w:val="00B26FE2"/>
    <w:rsid w:val="00B27B8B"/>
    <w:rsid w:val="00B3366A"/>
    <w:rsid w:val="00B33C56"/>
    <w:rsid w:val="00B33EAB"/>
    <w:rsid w:val="00B3519D"/>
    <w:rsid w:val="00B3524A"/>
    <w:rsid w:val="00B35385"/>
    <w:rsid w:val="00B40CC4"/>
    <w:rsid w:val="00B421E6"/>
    <w:rsid w:val="00B42CBB"/>
    <w:rsid w:val="00B46EA3"/>
    <w:rsid w:val="00B51D73"/>
    <w:rsid w:val="00B52F17"/>
    <w:rsid w:val="00B53E03"/>
    <w:rsid w:val="00B56706"/>
    <w:rsid w:val="00B57CEE"/>
    <w:rsid w:val="00B57DD7"/>
    <w:rsid w:val="00B6199A"/>
    <w:rsid w:val="00B61F34"/>
    <w:rsid w:val="00B64DF1"/>
    <w:rsid w:val="00B651F4"/>
    <w:rsid w:val="00B65BE1"/>
    <w:rsid w:val="00B66186"/>
    <w:rsid w:val="00B70217"/>
    <w:rsid w:val="00B72374"/>
    <w:rsid w:val="00B72D15"/>
    <w:rsid w:val="00B832F6"/>
    <w:rsid w:val="00B8790B"/>
    <w:rsid w:val="00B87F3A"/>
    <w:rsid w:val="00B90CA1"/>
    <w:rsid w:val="00B916B6"/>
    <w:rsid w:val="00B97B9D"/>
    <w:rsid w:val="00BA19F6"/>
    <w:rsid w:val="00BA2C22"/>
    <w:rsid w:val="00BA52B3"/>
    <w:rsid w:val="00BA6B51"/>
    <w:rsid w:val="00BB0E46"/>
    <w:rsid w:val="00BB1926"/>
    <w:rsid w:val="00BB23B7"/>
    <w:rsid w:val="00BB287B"/>
    <w:rsid w:val="00BB2943"/>
    <w:rsid w:val="00BB60C5"/>
    <w:rsid w:val="00BB62EB"/>
    <w:rsid w:val="00BB654F"/>
    <w:rsid w:val="00BC3EE8"/>
    <w:rsid w:val="00BC6CD4"/>
    <w:rsid w:val="00BD05E5"/>
    <w:rsid w:val="00BD435C"/>
    <w:rsid w:val="00BD4901"/>
    <w:rsid w:val="00BE368D"/>
    <w:rsid w:val="00BE4C71"/>
    <w:rsid w:val="00BE63B9"/>
    <w:rsid w:val="00BF1026"/>
    <w:rsid w:val="00BF5D2B"/>
    <w:rsid w:val="00C003A6"/>
    <w:rsid w:val="00C006E4"/>
    <w:rsid w:val="00C00A2D"/>
    <w:rsid w:val="00C00BCA"/>
    <w:rsid w:val="00C041F5"/>
    <w:rsid w:val="00C058CA"/>
    <w:rsid w:val="00C10262"/>
    <w:rsid w:val="00C15BAA"/>
    <w:rsid w:val="00C1782E"/>
    <w:rsid w:val="00C17B7C"/>
    <w:rsid w:val="00C23008"/>
    <w:rsid w:val="00C24E7B"/>
    <w:rsid w:val="00C2620F"/>
    <w:rsid w:val="00C26C46"/>
    <w:rsid w:val="00C32B49"/>
    <w:rsid w:val="00C33301"/>
    <w:rsid w:val="00C33DF1"/>
    <w:rsid w:val="00C3438E"/>
    <w:rsid w:val="00C36B79"/>
    <w:rsid w:val="00C42C0D"/>
    <w:rsid w:val="00C42CBD"/>
    <w:rsid w:val="00C442D1"/>
    <w:rsid w:val="00C44925"/>
    <w:rsid w:val="00C4718D"/>
    <w:rsid w:val="00C5018A"/>
    <w:rsid w:val="00C51151"/>
    <w:rsid w:val="00C53A24"/>
    <w:rsid w:val="00C53E55"/>
    <w:rsid w:val="00C54BE2"/>
    <w:rsid w:val="00C55287"/>
    <w:rsid w:val="00C55A68"/>
    <w:rsid w:val="00C6195B"/>
    <w:rsid w:val="00C61B8F"/>
    <w:rsid w:val="00C6388F"/>
    <w:rsid w:val="00C63C3F"/>
    <w:rsid w:val="00C647B5"/>
    <w:rsid w:val="00C64870"/>
    <w:rsid w:val="00C67175"/>
    <w:rsid w:val="00C70B4F"/>
    <w:rsid w:val="00C72F39"/>
    <w:rsid w:val="00C760C5"/>
    <w:rsid w:val="00C8098E"/>
    <w:rsid w:val="00C839C4"/>
    <w:rsid w:val="00C92064"/>
    <w:rsid w:val="00C928B9"/>
    <w:rsid w:val="00C92E95"/>
    <w:rsid w:val="00C93970"/>
    <w:rsid w:val="00C961F6"/>
    <w:rsid w:val="00CA3090"/>
    <w:rsid w:val="00CA30EF"/>
    <w:rsid w:val="00CA5AD2"/>
    <w:rsid w:val="00CA5FF2"/>
    <w:rsid w:val="00CA67CE"/>
    <w:rsid w:val="00CA6E1A"/>
    <w:rsid w:val="00CA70C6"/>
    <w:rsid w:val="00CA786E"/>
    <w:rsid w:val="00CB080F"/>
    <w:rsid w:val="00CB0E26"/>
    <w:rsid w:val="00CB17B6"/>
    <w:rsid w:val="00CB3B7B"/>
    <w:rsid w:val="00CB491B"/>
    <w:rsid w:val="00CC07F9"/>
    <w:rsid w:val="00CC2B43"/>
    <w:rsid w:val="00CC2EDF"/>
    <w:rsid w:val="00CC4792"/>
    <w:rsid w:val="00CC4A95"/>
    <w:rsid w:val="00CC4C15"/>
    <w:rsid w:val="00CC4CB0"/>
    <w:rsid w:val="00CC6BB8"/>
    <w:rsid w:val="00CD08D0"/>
    <w:rsid w:val="00CD18A5"/>
    <w:rsid w:val="00CD349A"/>
    <w:rsid w:val="00CD41E2"/>
    <w:rsid w:val="00CD6330"/>
    <w:rsid w:val="00CD6929"/>
    <w:rsid w:val="00CE2743"/>
    <w:rsid w:val="00CE4694"/>
    <w:rsid w:val="00CE4EBD"/>
    <w:rsid w:val="00CE5621"/>
    <w:rsid w:val="00CE6A91"/>
    <w:rsid w:val="00CF13D2"/>
    <w:rsid w:val="00CF6001"/>
    <w:rsid w:val="00D001CE"/>
    <w:rsid w:val="00D02F53"/>
    <w:rsid w:val="00D03610"/>
    <w:rsid w:val="00D0413E"/>
    <w:rsid w:val="00D04EE2"/>
    <w:rsid w:val="00D0596A"/>
    <w:rsid w:val="00D163C9"/>
    <w:rsid w:val="00D16E4B"/>
    <w:rsid w:val="00D20B32"/>
    <w:rsid w:val="00D3119D"/>
    <w:rsid w:val="00D31874"/>
    <w:rsid w:val="00D31F25"/>
    <w:rsid w:val="00D32CD4"/>
    <w:rsid w:val="00D33E81"/>
    <w:rsid w:val="00D3418A"/>
    <w:rsid w:val="00D34A63"/>
    <w:rsid w:val="00D34DD2"/>
    <w:rsid w:val="00D366DA"/>
    <w:rsid w:val="00D371AA"/>
    <w:rsid w:val="00D4000D"/>
    <w:rsid w:val="00D404D9"/>
    <w:rsid w:val="00D50472"/>
    <w:rsid w:val="00D52AC3"/>
    <w:rsid w:val="00D52CAB"/>
    <w:rsid w:val="00D5332A"/>
    <w:rsid w:val="00D54552"/>
    <w:rsid w:val="00D56818"/>
    <w:rsid w:val="00D623B8"/>
    <w:rsid w:val="00D71CFF"/>
    <w:rsid w:val="00D76C43"/>
    <w:rsid w:val="00D8071D"/>
    <w:rsid w:val="00D8251D"/>
    <w:rsid w:val="00D854C5"/>
    <w:rsid w:val="00D870BE"/>
    <w:rsid w:val="00D87BC9"/>
    <w:rsid w:val="00D91D93"/>
    <w:rsid w:val="00D928B7"/>
    <w:rsid w:val="00D93D0C"/>
    <w:rsid w:val="00D955FC"/>
    <w:rsid w:val="00D9632C"/>
    <w:rsid w:val="00DA0548"/>
    <w:rsid w:val="00DA0B36"/>
    <w:rsid w:val="00DA0E99"/>
    <w:rsid w:val="00DA18CC"/>
    <w:rsid w:val="00DA1976"/>
    <w:rsid w:val="00DA199D"/>
    <w:rsid w:val="00DA6FC9"/>
    <w:rsid w:val="00DA73C2"/>
    <w:rsid w:val="00DB0E76"/>
    <w:rsid w:val="00DB0E7D"/>
    <w:rsid w:val="00DB431B"/>
    <w:rsid w:val="00DB5097"/>
    <w:rsid w:val="00DC1F5F"/>
    <w:rsid w:val="00DC398E"/>
    <w:rsid w:val="00DC4FD0"/>
    <w:rsid w:val="00DC5A47"/>
    <w:rsid w:val="00DC5A8C"/>
    <w:rsid w:val="00DD018F"/>
    <w:rsid w:val="00DD0241"/>
    <w:rsid w:val="00DD1D1E"/>
    <w:rsid w:val="00DD26F8"/>
    <w:rsid w:val="00DD3E5B"/>
    <w:rsid w:val="00DD57DF"/>
    <w:rsid w:val="00DE10DE"/>
    <w:rsid w:val="00DE4664"/>
    <w:rsid w:val="00DF021B"/>
    <w:rsid w:val="00DF1902"/>
    <w:rsid w:val="00DF21AC"/>
    <w:rsid w:val="00DF4951"/>
    <w:rsid w:val="00DF5FF5"/>
    <w:rsid w:val="00DF6241"/>
    <w:rsid w:val="00E00C67"/>
    <w:rsid w:val="00E0124B"/>
    <w:rsid w:val="00E0537E"/>
    <w:rsid w:val="00E114BB"/>
    <w:rsid w:val="00E117F3"/>
    <w:rsid w:val="00E11A2D"/>
    <w:rsid w:val="00E11DED"/>
    <w:rsid w:val="00E120C3"/>
    <w:rsid w:val="00E20E62"/>
    <w:rsid w:val="00E21DB1"/>
    <w:rsid w:val="00E22B11"/>
    <w:rsid w:val="00E23DC6"/>
    <w:rsid w:val="00E30341"/>
    <w:rsid w:val="00E30D2A"/>
    <w:rsid w:val="00E32508"/>
    <w:rsid w:val="00E34823"/>
    <w:rsid w:val="00E36AC8"/>
    <w:rsid w:val="00E41E51"/>
    <w:rsid w:val="00E42510"/>
    <w:rsid w:val="00E44FB5"/>
    <w:rsid w:val="00E519DE"/>
    <w:rsid w:val="00E53595"/>
    <w:rsid w:val="00E550DE"/>
    <w:rsid w:val="00E556A4"/>
    <w:rsid w:val="00E568B4"/>
    <w:rsid w:val="00E6148F"/>
    <w:rsid w:val="00E62428"/>
    <w:rsid w:val="00E67D44"/>
    <w:rsid w:val="00E70450"/>
    <w:rsid w:val="00E70600"/>
    <w:rsid w:val="00E72ABB"/>
    <w:rsid w:val="00E72D94"/>
    <w:rsid w:val="00E72E2A"/>
    <w:rsid w:val="00E74D9F"/>
    <w:rsid w:val="00E75185"/>
    <w:rsid w:val="00E754FD"/>
    <w:rsid w:val="00E75539"/>
    <w:rsid w:val="00E81915"/>
    <w:rsid w:val="00E82C47"/>
    <w:rsid w:val="00E83015"/>
    <w:rsid w:val="00E838DD"/>
    <w:rsid w:val="00E8475E"/>
    <w:rsid w:val="00E84C3E"/>
    <w:rsid w:val="00E87D52"/>
    <w:rsid w:val="00E9577C"/>
    <w:rsid w:val="00E96A97"/>
    <w:rsid w:val="00E972A7"/>
    <w:rsid w:val="00EA5855"/>
    <w:rsid w:val="00EA67A2"/>
    <w:rsid w:val="00EB1BF2"/>
    <w:rsid w:val="00EB45EC"/>
    <w:rsid w:val="00EB5E42"/>
    <w:rsid w:val="00EB64BF"/>
    <w:rsid w:val="00EB65C4"/>
    <w:rsid w:val="00EB70B4"/>
    <w:rsid w:val="00EB7198"/>
    <w:rsid w:val="00EC1BA8"/>
    <w:rsid w:val="00EC6F0E"/>
    <w:rsid w:val="00EC7683"/>
    <w:rsid w:val="00ED08AC"/>
    <w:rsid w:val="00ED4555"/>
    <w:rsid w:val="00ED6785"/>
    <w:rsid w:val="00ED7569"/>
    <w:rsid w:val="00EE0792"/>
    <w:rsid w:val="00EE1D16"/>
    <w:rsid w:val="00EE3A1F"/>
    <w:rsid w:val="00EE4BAA"/>
    <w:rsid w:val="00EE4BAF"/>
    <w:rsid w:val="00EE6E36"/>
    <w:rsid w:val="00EF2786"/>
    <w:rsid w:val="00EF60BA"/>
    <w:rsid w:val="00F00D5A"/>
    <w:rsid w:val="00F00F1A"/>
    <w:rsid w:val="00F015D8"/>
    <w:rsid w:val="00F01D99"/>
    <w:rsid w:val="00F02744"/>
    <w:rsid w:val="00F03F27"/>
    <w:rsid w:val="00F10E54"/>
    <w:rsid w:val="00F1392D"/>
    <w:rsid w:val="00F146BF"/>
    <w:rsid w:val="00F14F9C"/>
    <w:rsid w:val="00F17CDF"/>
    <w:rsid w:val="00F237B2"/>
    <w:rsid w:val="00F258F9"/>
    <w:rsid w:val="00F264BF"/>
    <w:rsid w:val="00F2749B"/>
    <w:rsid w:val="00F313B0"/>
    <w:rsid w:val="00F3193C"/>
    <w:rsid w:val="00F35C7F"/>
    <w:rsid w:val="00F36D3B"/>
    <w:rsid w:val="00F40685"/>
    <w:rsid w:val="00F43B42"/>
    <w:rsid w:val="00F50094"/>
    <w:rsid w:val="00F52112"/>
    <w:rsid w:val="00F62F44"/>
    <w:rsid w:val="00F638C7"/>
    <w:rsid w:val="00F63C03"/>
    <w:rsid w:val="00F75C94"/>
    <w:rsid w:val="00F760DB"/>
    <w:rsid w:val="00F76D47"/>
    <w:rsid w:val="00F806D9"/>
    <w:rsid w:val="00F83E94"/>
    <w:rsid w:val="00F8529F"/>
    <w:rsid w:val="00F8539C"/>
    <w:rsid w:val="00F8693A"/>
    <w:rsid w:val="00F91B36"/>
    <w:rsid w:val="00F91EA8"/>
    <w:rsid w:val="00F9221F"/>
    <w:rsid w:val="00FA3B77"/>
    <w:rsid w:val="00FA5176"/>
    <w:rsid w:val="00FA6A09"/>
    <w:rsid w:val="00FB098D"/>
    <w:rsid w:val="00FB0C3E"/>
    <w:rsid w:val="00FB0F46"/>
    <w:rsid w:val="00FB3C71"/>
    <w:rsid w:val="00FB3CAB"/>
    <w:rsid w:val="00FC0892"/>
    <w:rsid w:val="00FC11C1"/>
    <w:rsid w:val="00FC44EC"/>
    <w:rsid w:val="00FC4A56"/>
    <w:rsid w:val="00FC54B1"/>
    <w:rsid w:val="00FC7BA2"/>
    <w:rsid w:val="00FC7DD3"/>
    <w:rsid w:val="00FD3B2A"/>
    <w:rsid w:val="00FD49EB"/>
    <w:rsid w:val="00FD7332"/>
    <w:rsid w:val="00FE695B"/>
    <w:rsid w:val="00FF30E3"/>
    <w:rsid w:val="00FF55CC"/>
    <w:rsid w:val="00FF6492"/>
    <w:rsid w:val="00FF666E"/>
    <w:rsid w:val="05F9DE79"/>
    <w:rsid w:val="2D7792BA"/>
    <w:rsid w:val="5C3787EA"/>
    <w:rsid w:val="7950A8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5BC908"/>
  <w15:docId w15:val="{51449315-F476-4CFF-891E-05BBD7C6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2EB"/>
    <w:pPr>
      <w:tabs>
        <w:tab w:val="left" w:pos="567"/>
        <w:tab w:val="left" w:pos="992"/>
      </w:tabs>
      <w:spacing w:before="180" w:line="280" w:lineRule="exact"/>
      <w:jc w:val="both"/>
    </w:pPr>
    <w:rPr>
      <w:sz w:val="22"/>
      <w:szCs w:val="24"/>
      <w:lang w:eastAsia="en-US"/>
    </w:rPr>
  </w:style>
  <w:style w:type="paragraph" w:styleId="Heading1">
    <w:name w:val="heading 1"/>
    <w:basedOn w:val="Normal"/>
    <w:next w:val="Normal"/>
    <w:qFormat/>
    <w:pPr>
      <w:keepNext/>
      <w:keepLines/>
      <w:numPr>
        <w:numId w:val="4"/>
      </w:numPr>
      <w:autoSpaceDE w:val="0"/>
      <w:autoSpaceDN w:val="0"/>
      <w:adjustRightInd w:val="0"/>
      <w:spacing w:before="360" w:line="360" w:lineRule="exact"/>
      <w:jc w:val="left"/>
      <w:outlineLvl w:val="0"/>
    </w:pPr>
    <w:rPr>
      <w:b/>
      <w:color w:val="000000"/>
      <w:sz w:val="28"/>
      <w:szCs w:val="20"/>
      <w:lang w:val="en-US"/>
    </w:rPr>
  </w:style>
  <w:style w:type="paragraph" w:styleId="Heading2">
    <w:name w:val="heading 2"/>
    <w:basedOn w:val="Normal"/>
    <w:next w:val="Normal"/>
    <w:qFormat/>
    <w:pPr>
      <w:keepNext/>
      <w:numPr>
        <w:ilvl w:val="1"/>
        <w:numId w:val="4"/>
      </w:numPr>
      <w:spacing w:before="300" w:after="120"/>
      <w:jc w:val="left"/>
      <w:outlineLvl w:val="1"/>
    </w:pPr>
    <w:rPr>
      <w:b/>
      <w:bCs/>
      <w:i/>
      <w:iCs/>
    </w:rPr>
  </w:style>
  <w:style w:type="paragraph" w:styleId="Heading3">
    <w:name w:val="heading 3"/>
    <w:basedOn w:val="Normal"/>
    <w:next w:val="Normal"/>
    <w:qFormat/>
    <w:pPr>
      <w:keepNext/>
      <w:numPr>
        <w:ilvl w:val="2"/>
        <w:numId w:val="4"/>
      </w:numPr>
      <w:spacing w:before="240" w:after="120"/>
      <w:jc w:val="left"/>
      <w:outlineLvl w:val="2"/>
    </w:pPr>
    <w:rPr>
      <w:rFonts w:cs="Arial"/>
      <w:bCs/>
      <w:i/>
      <w:szCs w:val="26"/>
      <w:u w:val="single"/>
    </w:rPr>
  </w:style>
  <w:style w:type="paragraph" w:styleId="Heading4">
    <w:name w:val="heading 4"/>
    <w:basedOn w:val="Normal"/>
    <w:next w:val="Normal"/>
    <w:qFormat/>
    <w:pPr>
      <w:keepNext/>
      <w:numPr>
        <w:ilvl w:val="3"/>
        <w:numId w:val="4"/>
      </w:numPr>
      <w:tabs>
        <w:tab w:val="clear" w:pos="567"/>
      </w:tabs>
      <w:spacing w:before="120" w:after="120"/>
      <w:outlineLvl w:val="3"/>
    </w:pPr>
    <w:rPr>
      <w:bCs/>
      <w:i/>
      <w:szCs w:val="28"/>
    </w:rPr>
  </w:style>
  <w:style w:type="paragraph" w:styleId="Heading5">
    <w:name w:val="heading 5"/>
    <w:basedOn w:val="Normal"/>
    <w:next w:val="Normal"/>
    <w:qFormat/>
    <w:pPr>
      <w:numPr>
        <w:ilvl w:val="4"/>
        <w:numId w:val="4"/>
      </w:numPr>
      <w:tabs>
        <w:tab w:val="clear" w:pos="567"/>
      </w:tabs>
      <w:spacing w:before="120" w:after="120"/>
      <w:outlineLvl w:val="4"/>
    </w:pPr>
    <w:rPr>
      <w:bCs/>
      <w:i/>
      <w:iCs/>
      <w:szCs w:val="26"/>
    </w:rPr>
  </w:style>
  <w:style w:type="paragraph" w:styleId="Heading6">
    <w:name w:val="heading 6"/>
    <w:basedOn w:val="Normal"/>
    <w:next w:val="Normal"/>
    <w:qFormat/>
    <w:pPr>
      <w:keepNext/>
      <w:numPr>
        <w:ilvl w:val="5"/>
        <w:numId w:val="4"/>
      </w:numPr>
      <w:tabs>
        <w:tab w:val="clear" w:pos="567"/>
      </w:tabs>
      <w:spacing w:before="120" w:after="120"/>
      <w:outlineLvl w:val="5"/>
    </w:pPr>
    <w:rPr>
      <w:i/>
      <w:iCs/>
      <w:sz w:val="24"/>
    </w:rPr>
  </w:style>
  <w:style w:type="paragraph" w:styleId="Heading7">
    <w:name w:val="heading 7"/>
    <w:basedOn w:val="Normal"/>
    <w:next w:val="Normal"/>
    <w:qFormat/>
    <w:pPr>
      <w:numPr>
        <w:ilvl w:val="6"/>
        <w:numId w:val="4"/>
      </w:numPr>
      <w:tabs>
        <w:tab w:val="clear" w:pos="567"/>
      </w:tabs>
      <w:spacing w:before="120" w:after="120"/>
      <w:outlineLvl w:val="6"/>
    </w:pPr>
    <w:rPr>
      <w:i/>
    </w:rPr>
  </w:style>
  <w:style w:type="paragraph" w:styleId="Heading8">
    <w:name w:val="heading 8"/>
    <w:basedOn w:val="Normal"/>
    <w:next w:val="Normal"/>
    <w:qFormat/>
    <w:pPr>
      <w:numPr>
        <w:ilvl w:val="7"/>
        <w:numId w:val="4"/>
      </w:numPr>
      <w:tabs>
        <w:tab w:val="clear" w:pos="567"/>
      </w:tabs>
      <w:spacing w:before="120" w:after="120"/>
      <w:outlineLvl w:val="7"/>
    </w:pPr>
    <w:rPr>
      <w:i/>
      <w:iCs/>
    </w:rPr>
  </w:style>
  <w:style w:type="paragraph" w:styleId="Heading9">
    <w:name w:val="heading 9"/>
    <w:basedOn w:val="Normal"/>
    <w:next w:val="Normal"/>
    <w:qFormat/>
    <w:pPr>
      <w:numPr>
        <w:ilvl w:val="8"/>
        <w:numId w:val="4"/>
      </w:numPr>
      <w:tabs>
        <w:tab w:val="clear" w:pos="567"/>
      </w:tabs>
      <w:spacing w:before="120" w:after="12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3" w:color="auto"/>
      </w:pBdr>
      <w:tabs>
        <w:tab w:val="center" w:pos="4153"/>
        <w:tab w:val="right" w:pos="8306"/>
      </w:tabs>
    </w:pPr>
    <w:rPr>
      <w:sz w:val="19"/>
      <w:lang w:val="en-US"/>
    </w:rPr>
  </w:style>
  <w:style w:type="paragraph" w:styleId="Footer">
    <w:name w:val="footer"/>
    <w:basedOn w:val="Normal"/>
    <w:pPr>
      <w:pBdr>
        <w:top w:val="single" w:sz="4" w:space="3" w:color="auto"/>
      </w:pBdr>
      <w:tabs>
        <w:tab w:val="clear" w:pos="567"/>
        <w:tab w:val="clear" w:pos="992"/>
        <w:tab w:val="center" w:pos="4253"/>
        <w:tab w:val="right" w:pos="8505"/>
      </w:tabs>
    </w:pPr>
    <w:rPr>
      <w:sz w:val="19"/>
      <w:lang w:val="en-US"/>
    </w:rPr>
  </w:style>
  <w:style w:type="character" w:styleId="PageNumber">
    <w:name w:val="page number"/>
    <w:basedOn w:val="DefaultParagraphFont"/>
  </w:style>
  <w:style w:type="paragraph" w:customStyle="1" w:styleId="ActionNumbered">
    <w:name w:val="Action Numbered"/>
    <w:basedOn w:val="Normal"/>
    <w:pPr>
      <w:numPr>
        <w:numId w:val="3"/>
      </w:numPr>
      <w:pBdr>
        <w:top w:val="single" w:sz="4" w:space="9" w:color="auto"/>
        <w:left w:val="single" w:sz="4" w:space="7" w:color="auto"/>
        <w:bottom w:val="single" w:sz="4" w:space="9" w:color="auto"/>
        <w:right w:val="single" w:sz="4" w:space="14" w:color="auto"/>
      </w:pBdr>
      <w:spacing w:after="120"/>
      <w:ind w:right="284"/>
      <w:jc w:val="left"/>
    </w:pPr>
  </w:style>
  <w:style w:type="paragraph" w:styleId="ListBullet">
    <w:name w:val="List Bullet"/>
    <w:basedOn w:val="Normal"/>
    <w:pPr>
      <w:numPr>
        <w:numId w:val="1"/>
      </w:numPr>
      <w:spacing w:before="120" w:after="120"/>
      <w:jc w:val="left"/>
    </w:pPr>
  </w:style>
  <w:style w:type="paragraph" w:styleId="ListBullet2">
    <w:name w:val="List Bullet 2"/>
    <w:basedOn w:val="Normal"/>
    <w:pPr>
      <w:numPr>
        <w:numId w:val="2"/>
      </w:numPr>
      <w:tabs>
        <w:tab w:val="clear" w:pos="567"/>
      </w:tabs>
      <w:spacing w:before="120" w:after="120"/>
      <w:jc w:val="left"/>
    </w:pPr>
  </w:style>
  <w:style w:type="paragraph" w:customStyle="1" w:styleId="Author">
    <w:name w:val="Author"/>
    <w:basedOn w:val="Normal"/>
    <w:pPr>
      <w:jc w:val="right"/>
    </w:pPr>
    <w:rPr>
      <w:sz w:val="19"/>
    </w:rPr>
  </w:style>
  <w:style w:type="paragraph" w:customStyle="1" w:styleId="Presenter">
    <w:name w:val="Presenter"/>
    <w:basedOn w:val="Normal"/>
    <w:pPr>
      <w:tabs>
        <w:tab w:val="clear" w:pos="567"/>
        <w:tab w:val="clear" w:pos="992"/>
      </w:tabs>
      <w:spacing w:before="120" w:after="120" w:line="240" w:lineRule="atLeast"/>
      <w:jc w:val="left"/>
    </w:pPr>
    <w:rPr>
      <w:i/>
      <w:iCs/>
      <w:sz w:val="19"/>
      <w:lang w:val="en-US"/>
    </w:rPr>
  </w:style>
  <w:style w:type="paragraph" w:customStyle="1" w:styleId="TableHead">
    <w:name w:val="Table Head"/>
    <w:basedOn w:val="Normal"/>
    <w:pPr>
      <w:spacing w:before="120" w:after="120" w:line="240" w:lineRule="exact"/>
      <w:jc w:val="left"/>
    </w:pPr>
    <w:rPr>
      <w:b/>
      <w:bCs/>
      <w:sz w:val="19"/>
    </w:rPr>
  </w:style>
  <w:style w:type="paragraph" w:customStyle="1" w:styleId="TableText">
    <w:name w:val="Table Text"/>
    <w:pPr>
      <w:tabs>
        <w:tab w:val="left" w:pos="284"/>
        <w:tab w:val="left" w:pos="567"/>
        <w:tab w:val="left" w:pos="992"/>
      </w:tabs>
      <w:spacing w:before="120" w:after="120" w:line="240" w:lineRule="exact"/>
    </w:pPr>
    <w:rPr>
      <w:bCs/>
      <w:sz w:val="19"/>
      <w:lang w:eastAsia="en-US"/>
    </w:rPr>
  </w:style>
  <w:style w:type="paragraph" w:customStyle="1" w:styleId="TableBullet">
    <w:name w:val="Table Bullet"/>
    <w:basedOn w:val="TableText"/>
    <w:pPr>
      <w:numPr>
        <w:numId w:val="9"/>
      </w:numPr>
      <w:tabs>
        <w:tab w:val="clear" w:pos="360"/>
        <w:tab w:val="clear" w:pos="567"/>
      </w:tabs>
    </w:pPr>
  </w:style>
  <w:style w:type="paragraph" w:customStyle="1" w:styleId="ListNumbered">
    <w:name w:val="List Numbered"/>
    <w:basedOn w:val="Normal"/>
    <w:pPr>
      <w:numPr>
        <w:numId w:val="10"/>
      </w:numPr>
      <w:spacing w:before="120" w:after="120"/>
      <w:jc w:val="left"/>
    </w:pPr>
  </w:style>
  <w:style w:type="paragraph" w:customStyle="1" w:styleId="ListNumbered2">
    <w:name w:val="List Numbered 2"/>
    <w:basedOn w:val="Normal"/>
    <w:pPr>
      <w:numPr>
        <w:numId w:val="5"/>
      </w:numPr>
      <w:tabs>
        <w:tab w:val="clear" w:pos="567"/>
      </w:tabs>
      <w:spacing w:before="120" w:after="120"/>
      <w:jc w:val="left"/>
    </w:pPr>
    <w:rPr>
      <w:lang w:val="en-US"/>
    </w:rPr>
  </w:style>
  <w:style w:type="paragraph" w:customStyle="1" w:styleId="TableNumbered">
    <w:name w:val="Table Numbered"/>
    <w:basedOn w:val="TableText"/>
    <w:pPr>
      <w:numPr>
        <w:numId w:val="7"/>
      </w:numPr>
      <w:tabs>
        <w:tab w:val="clear" w:pos="992"/>
      </w:tabs>
    </w:pPr>
  </w:style>
  <w:style w:type="paragraph" w:styleId="FootnoteText">
    <w:name w:val="footnote text"/>
    <w:basedOn w:val="Normal"/>
    <w:semiHidden/>
    <w:pPr>
      <w:tabs>
        <w:tab w:val="clear" w:pos="567"/>
        <w:tab w:val="left" w:pos="284"/>
      </w:tabs>
      <w:spacing w:before="0" w:line="240" w:lineRule="exact"/>
      <w:ind w:left="284" w:hanging="284"/>
    </w:pPr>
    <w:rPr>
      <w:sz w:val="19"/>
      <w:szCs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clear" w:pos="992"/>
        <w:tab w:val="right" w:leader="dot" w:pos="8505"/>
      </w:tabs>
      <w:spacing w:before="120"/>
      <w:ind w:left="567" w:right="566" w:hanging="567"/>
    </w:pPr>
    <w:rPr>
      <w:noProof/>
      <w:szCs w:val="28"/>
    </w:rPr>
  </w:style>
  <w:style w:type="paragraph" w:styleId="TOC2">
    <w:name w:val="toc 2"/>
    <w:basedOn w:val="Normal"/>
    <w:next w:val="Normal"/>
    <w:autoRedefine/>
    <w:semiHidden/>
    <w:pPr>
      <w:tabs>
        <w:tab w:val="clear" w:pos="567"/>
        <w:tab w:val="clear" w:pos="992"/>
        <w:tab w:val="left" w:pos="1134"/>
        <w:tab w:val="right" w:leader="dot" w:pos="8505"/>
      </w:tabs>
      <w:spacing w:before="0"/>
      <w:ind w:left="1134" w:right="566" w:hanging="567"/>
    </w:pPr>
    <w:rPr>
      <w:noProof/>
      <w:sz w:val="20"/>
    </w:rPr>
  </w:style>
  <w:style w:type="paragraph" w:styleId="TOC3">
    <w:name w:val="toc 3"/>
    <w:basedOn w:val="Normal"/>
    <w:next w:val="Normal"/>
    <w:autoRedefine/>
    <w:semiHidden/>
    <w:pPr>
      <w:tabs>
        <w:tab w:val="clear" w:pos="567"/>
        <w:tab w:val="clear" w:pos="992"/>
        <w:tab w:val="left" w:pos="1701"/>
        <w:tab w:val="right" w:leader="dot" w:pos="8505"/>
      </w:tabs>
      <w:spacing w:before="0"/>
      <w:ind w:left="1701" w:right="567" w:hanging="567"/>
    </w:pPr>
    <w:rPr>
      <w:noProof/>
      <w:sz w:val="20"/>
    </w:rPr>
  </w:style>
  <w:style w:type="paragraph" w:styleId="TOC4">
    <w:name w:val="toc 4"/>
    <w:basedOn w:val="Normal"/>
    <w:next w:val="Normal"/>
    <w:autoRedefine/>
    <w:semiHidden/>
    <w:pPr>
      <w:tabs>
        <w:tab w:val="clear" w:pos="567"/>
        <w:tab w:val="clear" w:pos="992"/>
      </w:tabs>
      <w:ind w:left="720"/>
    </w:pPr>
  </w:style>
  <w:style w:type="paragraph" w:styleId="TOC5">
    <w:name w:val="toc 5"/>
    <w:basedOn w:val="Normal"/>
    <w:next w:val="Normal"/>
    <w:autoRedefine/>
    <w:semiHidden/>
    <w:pPr>
      <w:tabs>
        <w:tab w:val="clear" w:pos="567"/>
        <w:tab w:val="clear" w:pos="992"/>
      </w:tabs>
      <w:ind w:left="960"/>
    </w:pPr>
  </w:style>
  <w:style w:type="paragraph" w:styleId="TOC6">
    <w:name w:val="toc 6"/>
    <w:basedOn w:val="Normal"/>
    <w:next w:val="Normal"/>
    <w:autoRedefine/>
    <w:semiHidden/>
    <w:pPr>
      <w:tabs>
        <w:tab w:val="clear" w:pos="567"/>
        <w:tab w:val="clear" w:pos="992"/>
      </w:tabs>
      <w:ind w:left="1200"/>
    </w:pPr>
  </w:style>
  <w:style w:type="paragraph" w:styleId="TOC7">
    <w:name w:val="toc 7"/>
    <w:basedOn w:val="Normal"/>
    <w:next w:val="Normal"/>
    <w:autoRedefine/>
    <w:semiHidden/>
    <w:pPr>
      <w:tabs>
        <w:tab w:val="clear" w:pos="567"/>
        <w:tab w:val="clear" w:pos="992"/>
      </w:tabs>
      <w:ind w:left="1440"/>
    </w:pPr>
  </w:style>
  <w:style w:type="paragraph" w:styleId="TOC8">
    <w:name w:val="toc 8"/>
    <w:basedOn w:val="Normal"/>
    <w:next w:val="Normal"/>
    <w:autoRedefine/>
    <w:semiHidden/>
    <w:pPr>
      <w:tabs>
        <w:tab w:val="clear" w:pos="567"/>
        <w:tab w:val="clear" w:pos="992"/>
      </w:tabs>
      <w:ind w:left="1680"/>
    </w:pPr>
  </w:style>
  <w:style w:type="paragraph" w:styleId="TOC9">
    <w:name w:val="toc 9"/>
    <w:basedOn w:val="Normal"/>
    <w:next w:val="Normal"/>
    <w:autoRedefine/>
    <w:semiHidden/>
    <w:pPr>
      <w:tabs>
        <w:tab w:val="clear" w:pos="567"/>
        <w:tab w:val="clear" w:pos="992"/>
      </w:tabs>
      <w:ind w:left="1920"/>
    </w:pPr>
  </w:style>
  <w:style w:type="character" w:styleId="Hyperlink">
    <w:name w:val="Hyperlink"/>
    <w:rPr>
      <w:color w:val="0000FF"/>
      <w:u w:val="single"/>
    </w:rPr>
  </w:style>
  <w:style w:type="paragraph" w:customStyle="1" w:styleId="ListCharacters">
    <w:name w:val="List Characters"/>
    <w:basedOn w:val="ListNumbered"/>
    <w:pPr>
      <w:numPr>
        <w:numId w:val="8"/>
      </w:numPr>
    </w:pPr>
  </w:style>
  <w:style w:type="paragraph" w:styleId="ListNumber">
    <w:name w:val="List Number"/>
    <w:basedOn w:val="Normal"/>
    <w:pPr>
      <w:numPr>
        <w:numId w:val="6"/>
      </w:numPr>
      <w:tabs>
        <w:tab w:val="clear" w:pos="360"/>
        <w:tab w:val="left" w:pos="284"/>
      </w:tabs>
    </w:pPr>
  </w:style>
  <w:style w:type="paragraph" w:customStyle="1" w:styleId="ActionSub-Point">
    <w:name w:val="Action Sub-Point"/>
    <w:basedOn w:val="ActionNumbered"/>
    <w:pPr>
      <w:numPr>
        <w:numId w:val="0"/>
      </w:numPr>
      <w:tabs>
        <w:tab w:val="clear" w:pos="992"/>
        <w:tab w:val="left" w:pos="567"/>
        <w:tab w:val="left" w:pos="993"/>
      </w:tabs>
      <w:spacing w:before="120"/>
      <w:ind w:left="993" w:hanging="851"/>
    </w:pPr>
  </w:style>
  <w:style w:type="paragraph" w:customStyle="1" w:styleId="BoxBanner">
    <w:name w:val="Box Banner"/>
    <w:basedOn w:val="Normal"/>
    <w:pPr>
      <w:pBdr>
        <w:top w:val="single" w:sz="4" w:space="18" w:color="auto"/>
        <w:left w:val="single" w:sz="4" w:space="0" w:color="auto"/>
        <w:bottom w:val="single" w:sz="4" w:space="12" w:color="auto"/>
        <w:right w:val="single" w:sz="4" w:space="0" w:color="auto"/>
      </w:pBdr>
      <w:spacing w:before="120"/>
      <w:jc w:val="center"/>
    </w:pPr>
    <w:rPr>
      <w:bCs/>
      <w:caps/>
    </w:rPr>
  </w:style>
  <w:style w:type="paragraph" w:customStyle="1" w:styleId="ActionCharacter">
    <w:name w:val="Action Character"/>
    <w:basedOn w:val="Normal"/>
    <w:pPr>
      <w:numPr>
        <w:numId w:val="11"/>
      </w:numPr>
      <w:pBdr>
        <w:top w:val="single" w:sz="4" w:space="9" w:color="auto"/>
        <w:left w:val="single" w:sz="4" w:space="7" w:color="auto"/>
        <w:bottom w:val="single" w:sz="4" w:space="9" w:color="auto"/>
        <w:right w:val="single" w:sz="4" w:space="14" w:color="auto"/>
      </w:pBdr>
      <w:tabs>
        <w:tab w:val="clear" w:pos="502"/>
      </w:tabs>
      <w:spacing w:after="120"/>
      <w:ind w:left="567" w:right="284" w:hanging="425"/>
    </w:pPr>
  </w:style>
  <w:style w:type="paragraph" w:customStyle="1" w:styleId="BoxTitle">
    <w:name w:val="Box Title"/>
    <w:basedOn w:val="Normal"/>
    <w:pPr>
      <w:pBdr>
        <w:top w:val="single" w:sz="4" w:space="18" w:color="auto"/>
        <w:left w:val="single" w:sz="4" w:space="0" w:color="auto"/>
        <w:bottom w:val="single" w:sz="4" w:space="12" w:color="auto"/>
        <w:right w:val="single" w:sz="4" w:space="0" w:color="auto"/>
      </w:pBdr>
      <w:spacing w:before="320" w:after="320" w:line="400" w:lineRule="exact"/>
      <w:jc w:val="center"/>
    </w:pPr>
    <w:rPr>
      <w:b/>
      <w:bCs/>
      <w:sz w:val="32"/>
      <w:lang w:eastAsia="en-GB"/>
    </w:rPr>
  </w:style>
  <w:style w:type="paragraph" w:customStyle="1" w:styleId="BoxSub">
    <w:name w:val="Box Sub"/>
    <w:basedOn w:val="Normal"/>
    <w:pPr>
      <w:pBdr>
        <w:top w:val="single" w:sz="4" w:space="18" w:color="auto"/>
        <w:left w:val="single" w:sz="4" w:space="0" w:color="auto"/>
        <w:bottom w:val="single" w:sz="4" w:space="12" w:color="auto"/>
        <w:right w:val="single" w:sz="4" w:space="0" w:color="auto"/>
      </w:pBdr>
      <w:spacing w:before="0"/>
      <w:jc w:val="center"/>
    </w:pPr>
  </w:style>
  <w:style w:type="paragraph" w:customStyle="1" w:styleId="BoxCirculated">
    <w:name w:val="Box Circulated"/>
    <w:basedOn w:val="Normal"/>
    <w:pPr>
      <w:pBdr>
        <w:top w:val="single" w:sz="4" w:space="18" w:color="auto"/>
        <w:left w:val="single" w:sz="4" w:space="0" w:color="auto"/>
        <w:bottom w:val="single" w:sz="4" w:space="12" w:color="auto"/>
        <w:right w:val="single" w:sz="4" w:space="0" w:color="auto"/>
      </w:pBdr>
      <w:spacing w:before="120" w:line="240" w:lineRule="exact"/>
      <w:jc w:val="center"/>
    </w:pPr>
    <w:rPr>
      <w:i/>
      <w:iCs/>
      <w:sz w:val="19"/>
      <w:lang w:eastAsia="en-GB"/>
    </w:rPr>
  </w:style>
  <w:style w:type="paragraph" w:customStyle="1" w:styleId="ListCharacters2">
    <w:name w:val="List Characters 2"/>
    <w:basedOn w:val="Normal"/>
    <w:pPr>
      <w:numPr>
        <w:ilvl w:val="1"/>
        <w:numId w:val="5"/>
      </w:numPr>
      <w:tabs>
        <w:tab w:val="clear" w:pos="567"/>
        <w:tab w:val="clear" w:pos="992"/>
        <w:tab w:val="clear" w:pos="1505"/>
        <w:tab w:val="left" w:pos="993"/>
      </w:tabs>
      <w:ind w:left="993" w:hanging="426"/>
      <w:jc w:val="left"/>
    </w:pPr>
  </w:style>
  <w:style w:type="character" w:customStyle="1" w:styleId="coordonees1">
    <w:name w:val="coordonees1"/>
    <w:rPr>
      <w:rFonts w:ascii="Arial" w:hAnsi="Arial" w:cs="Arial" w:hint="default"/>
      <w:strike w:val="0"/>
      <w:dstrike w:val="0"/>
      <w:color w:val="512010"/>
      <w:sz w:val="15"/>
      <w:szCs w:val="15"/>
      <w:u w:val="none"/>
      <w:effect w:val="none"/>
    </w:rPr>
  </w:style>
  <w:style w:type="paragraph" w:styleId="Title">
    <w:name w:val="Title"/>
    <w:basedOn w:val="Normal"/>
    <w:qFormat/>
    <w:pPr>
      <w:spacing w:before="360" w:after="240" w:line="360" w:lineRule="exact"/>
      <w:jc w:val="left"/>
      <w:outlineLvl w:val="0"/>
    </w:pPr>
    <w:rPr>
      <w:b/>
      <w:kern w:val="28"/>
      <w:sz w:val="32"/>
      <w:szCs w:val="32"/>
    </w:rPr>
  </w:style>
  <w:style w:type="paragraph" w:styleId="BalloonText">
    <w:name w:val="Balloon Text"/>
    <w:basedOn w:val="Normal"/>
    <w:link w:val="BalloonTextChar"/>
    <w:rsid w:val="00E519DE"/>
    <w:pPr>
      <w:spacing w:before="0" w:line="240" w:lineRule="auto"/>
    </w:pPr>
    <w:rPr>
      <w:rFonts w:ascii="Tahoma" w:hAnsi="Tahoma" w:cs="Tahoma"/>
      <w:sz w:val="16"/>
      <w:szCs w:val="16"/>
    </w:rPr>
  </w:style>
  <w:style w:type="character" w:customStyle="1" w:styleId="BalloonTextChar">
    <w:name w:val="Balloon Text Char"/>
    <w:link w:val="BalloonText"/>
    <w:rsid w:val="00E519DE"/>
    <w:rPr>
      <w:rFonts w:ascii="Tahoma" w:hAnsi="Tahoma" w:cs="Tahoma"/>
      <w:sz w:val="16"/>
      <w:szCs w:val="16"/>
      <w:lang w:eastAsia="en-US"/>
    </w:rPr>
  </w:style>
  <w:style w:type="paragraph" w:styleId="ListParagraph">
    <w:name w:val="List Paragraph"/>
    <w:basedOn w:val="Normal"/>
    <w:uiPriority w:val="34"/>
    <w:qFormat/>
    <w:rsid w:val="00AA1D51"/>
    <w:pPr>
      <w:ind w:left="720"/>
      <w:contextualSpacing/>
    </w:pPr>
  </w:style>
  <w:style w:type="character" w:styleId="CommentReference">
    <w:name w:val="annotation reference"/>
    <w:basedOn w:val="DefaultParagraphFont"/>
    <w:rsid w:val="00CA6E1A"/>
    <w:rPr>
      <w:sz w:val="16"/>
      <w:szCs w:val="16"/>
    </w:rPr>
  </w:style>
  <w:style w:type="paragraph" w:styleId="CommentText">
    <w:name w:val="annotation text"/>
    <w:basedOn w:val="Normal"/>
    <w:link w:val="CommentTextChar"/>
    <w:rsid w:val="00CA6E1A"/>
    <w:pPr>
      <w:spacing w:line="240" w:lineRule="auto"/>
    </w:pPr>
    <w:rPr>
      <w:sz w:val="20"/>
      <w:szCs w:val="20"/>
    </w:rPr>
  </w:style>
  <w:style w:type="character" w:customStyle="1" w:styleId="CommentTextChar">
    <w:name w:val="Comment Text Char"/>
    <w:basedOn w:val="DefaultParagraphFont"/>
    <w:link w:val="CommentText"/>
    <w:rsid w:val="00CA6E1A"/>
    <w:rPr>
      <w:lang w:eastAsia="en-US"/>
    </w:rPr>
  </w:style>
  <w:style w:type="paragraph" w:styleId="CommentSubject">
    <w:name w:val="annotation subject"/>
    <w:basedOn w:val="CommentText"/>
    <w:next w:val="CommentText"/>
    <w:link w:val="CommentSubjectChar"/>
    <w:rsid w:val="00CA6E1A"/>
    <w:rPr>
      <w:b/>
      <w:bCs/>
    </w:rPr>
  </w:style>
  <w:style w:type="character" w:customStyle="1" w:styleId="CommentSubjectChar">
    <w:name w:val="Comment Subject Char"/>
    <w:basedOn w:val="CommentTextChar"/>
    <w:link w:val="CommentSubject"/>
    <w:rsid w:val="00CA6E1A"/>
    <w:rPr>
      <w:b/>
      <w:bCs/>
      <w:lang w:eastAsia="en-US"/>
    </w:rPr>
  </w:style>
  <w:style w:type="paragraph" w:customStyle="1" w:styleId="Body">
    <w:name w:val="Body"/>
    <w:rsid w:val="0087569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Default">
    <w:name w:val="Default"/>
    <w:rsid w:val="00412C4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86457">
      <w:bodyDiv w:val="1"/>
      <w:marLeft w:val="0"/>
      <w:marRight w:val="0"/>
      <w:marTop w:val="0"/>
      <w:marBottom w:val="0"/>
      <w:divBdr>
        <w:top w:val="none" w:sz="0" w:space="0" w:color="auto"/>
        <w:left w:val="none" w:sz="0" w:space="0" w:color="auto"/>
        <w:bottom w:val="none" w:sz="0" w:space="0" w:color="auto"/>
        <w:right w:val="none" w:sz="0" w:space="0" w:color="auto"/>
      </w:divBdr>
    </w:div>
    <w:div w:id="411127713">
      <w:bodyDiv w:val="1"/>
      <w:marLeft w:val="0"/>
      <w:marRight w:val="0"/>
      <w:marTop w:val="0"/>
      <w:marBottom w:val="0"/>
      <w:divBdr>
        <w:top w:val="none" w:sz="0" w:space="0" w:color="auto"/>
        <w:left w:val="none" w:sz="0" w:space="0" w:color="auto"/>
        <w:bottom w:val="none" w:sz="0" w:space="0" w:color="auto"/>
        <w:right w:val="none" w:sz="0" w:space="0" w:color="auto"/>
      </w:divBdr>
      <w:divsChild>
        <w:div w:id="1692685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94144">
              <w:marLeft w:val="0"/>
              <w:marRight w:val="0"/>
              <w:marTop w:val="0"/>
              <w:marBottom w:val="0"/>
              <w:divBdr>
                <w:top w:val="none" w:sz="0" w:space="0" w:color="auto"/>
                <w:left w:val="none" w:sz="0" w:space="0" w:color="auto"/>
                <w:bottom w:val="none" w:sz="0" w:space="0" w:color="auto"/>
                <w:right w:val="none" w:sz="0" w:space="0" w:color="auto"/>
              </w:divBdr>
              <w:divsChild>
                <w:div w:id="1543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8700">
      <w:bodyDiv w:val="1"/>
      <w:marLeft w:val="0"/>
      <w:marRight w:val="0"/>
      <w:marTop w:val="0"/>
      <w:marBottom w:val="0"/>
      <w:divBdr>
        <w:top w:val="none" w:sz="0" w:space="0" w:color="auto"/>
        <w:left w:val="none" w:sz="0" w:space="0" w:color="auto"/>
        <w:bottom w:val="none" w:sz="0" w:space="0" w:color="auto"/>
        <w:right w:val="none" w:sz="0" w:space="0" w:color="auto"/>
      </w:divBdr>
    </w:div>
    <w:div w:id="675421880">
      <w:bodyDiv w:val="1"/>
      <w:marLeft w:val="0"/>
      <w:marRight w:val="0"/>
      <w:marTop w:val="0"/>
      <w:marBottom w:val="0"/>
      <w:divBdr>
        <w:top w:val="none" w:sz="0" w:space="0" w:color="auto"/>
        <w:left w:val="none" w:sz="0" w:space="0" w:color="auto"/>
        <w:bottom w:val="none" w:sz="0" w:space="0" w:color="auto"/>
        <w:right w:val="none" w:sz="0" w:space="0" w:color="auto"/>
      </w:divBdr>
    </w:div>
    <w:div w:id="795293329">
      <w:bodyDiv w:val="1"/>
      <w:marLeft w:val="0"/>
      <w:marRight w:val="0"/>
      <w:marTop w:val="0"/>
      <w:marBottom w:val="0"/>
      <w:divBdr>
        <w:top w:val="none" w:sz="0" w:space="0" w:color="auto"/>
        <w:left w:val="none" w:sz="0" w:space="0" w:color="auto"/>
        <w:bottom w:val="none" w:sz="0" w:space="0" w:color="auto"/>
        <w:right w:val="none" w:sz="0" w:space="0" w:color="auto"/>
      </w:divBdr>
      <w:divsChild>
        <w:div w:id="965698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1022">
      <w:bodyDiv w:val="1"/>
      <w:marLeft w:val="0"/>
      <w:marRight w:val="0"/>
      <w:marTop w:val="0"/>
      <w:marBottom w:val="0"/>
      <w:divBdr>
        <w:top w:val="none" w:sz="0" w:space="0" w:color="auto"/>
        <w:left w:val="none" w:sz="0" w:space="0" w:color="auto"/>
        <w:bottom w:val="none" w:sz="0" w:space="0" w:color="auto"/>
        <w:right w:val="none" w:sz="0" w:space="0" w:color="auto"/>
      </w:divBdr>
    </w:div>
    <w:div w:id="851843984">
      <w:bodyDiv w:val="1"/>
      <w:marLeft w:val="0"/>
      <w:marRight w:val="0"/>
      <w:marTop w:val="0"/>
      <w:marBottom w:val="0"/>
      <w:divBdr>
        <w:top w:val="none" w:sz="0" w:space="0" w:color="auto"/>
        <w:left w:val="none" w:sz="0" w:space="0" w:color="auto"/>
        <w:bottom w:val="none" w:sz="0" w:space="0" w:color="auto"/>
        <w:right w:val="none" w:sz="0" w:space="0" w:color="auto"/>
      </w:divBdr>
    </w:div>
    <w:div w:id="920023092">
      <w:bodyDiv w:val="1"/>
      <w:marLeft w:val="0"/>
      <w:marRight w:val="0"/>
      <w:marTop w:val="0"/>
      <w:marBottom w:val="0"/>
      <w:divBdr>
        <w:top w:val="none" w:sz="0" w:space="0" w:color="auto"/>
        <w:left w:val="none" w:sz="0" w:space="0" w:color="auto"/>
        <w:bottom w:val="none" w:sz="0" w:space="0" w:color="auto"/>
        <w:right w:val="none" w:sz="0" w:space="0" w:color="auto"/>
      </w:divBdr>
    </w:div>
    <w:div w:id="1148789387">
      <w:bodyDiv w:val="1"/>
      <w:marLeft w:val="0"/>
      <w:marRight w:val="0"/>
      <w:marTop w:val="0"/>
      <w:marBottom w:val="0"/>
      <w:divBdr>
        <w:top w:val="none" w:sz="0" w:space="0" w:color="auto"/>
        <w:left w:val="none" w:sz="0" w:space="0" w:color="auto"/>
        <w:bottom w:val="none" w:sz="0" w:space="0" w:color="auto"/>
        <w:right w:val="none" w:sz="0" w:space="0" w:color="auto"/>
      </w:divBdr>
    </w:div>
    <w:div w:id="1158888652">
      <w:bodyDiv w:val="1"/>
      <w:marLeft w:val="0"/>
      <w:marRight w:val="0"/>
      <w:marTop w:val="0"/>
      <w:marBottom w:val="0"/>
      <w:divBdr>
        <w:top w:val="none" w:sz="0" w:space="0" w:color="auto"/>
        <w:left w:val="none" w:sz="0" w:space="0" w:color="auto"/>
        <w:bottom w:val="none" w:sz="0" w:space="0" w:color="auto"/>
        <w:right w:val="none" w:sz="0" w:space="0" w:color="auto"/>
      </w:divBdr>
    </w:div>
    <w:div w:id="1185628900">
      <w:bodyDiv w:val="1"/>
      <w:marLeft w:val="0"/>
      <w:marRight w:val="0"/>
      <w:marTop w:val="0"/>
      <w:marBottom w:val="0"/>
      <w:divBdr>
        <w:top w:val="none" w:sz="0" w:space="0" w:color="auto"/>
        <w:left w:val="none" w:sz="0" w:space="0" w:color="auto"/>
        <w:bottom w:val="none" w:sz="0" w:space="0" w:color="auto"/>
        <w:right w:val="none" w:sz="0" w:space="0" w:color="auto"/>
      </w:divBdr>
    </w:div>
    <w:div w:id="1240334770">
      <w:bodyDiv w:val="1"/>
      <w:marLeft w:val="0"/>
      <w:marRight w:val="0"/>
      <w:marTop w:val="0"/>
      <w:marBottom w:val="0"/>
      <w:divBdr>
        <w:top w:val="none" w:sz="0" w:space="0" w:color="auto"/>
        <w:left w:val="none" w:sz="0" w:space="0" w:color="auto"/>
        <w:bottom w:val="none" w:sz="0" w:space="0" w:color="auto"/>
        <w:right w:val="none" w:sz="0" w:space="0" w:color="auto"/>
      </w:divBdr>
    </w:div>
    <w:div w:id="1408193063">
      <w:bodyDiv w:val="1"/>
      <w:marLeft w:val="0"/>
      <w:marRight w:val="0"/>
      <w:marTop w:val="0"/>
      <w:marBottom w:val="0"/>
      <w:divBdr>
        <w:top w:val="none" w:sz="0" w:space="0" w:color="auto"/>
        <w:left w:val="none" w:sz="0" w:space="0" w:color="auto"/>
        <w:bottom w:val="none" w:sz="0" w:space="0" w:color="auto"/>
        <w:right w:val="none" w:sz="0" w:space="0" w:color="auto"/>
      </w:divBdr>
    </w:div>
    <w:div w:id="1523011444">
      <w:bodyDiv w:val="1"/>
      <w:marLeft w:val="0"/>
      <w:marRight w:val="0"/>
      <w:marTop w:val="0"/>
      <w:marBottom w:val="0"/>
      <w:divBdr>
        <w:top w:val="none" w:sz="0" w:space="0" w:color="auto"/>
        <w:left w:val="none" w:sz="0" w:space="0" w:color="auto"/>
        <w:bottom w:val="none" w:sz="0" w:space="0" w:color="auto"/>
        <w:right w:val="none" w:sz="0" w:space="0" w:color="auto"/>
      </w:divBdr>
    </w:div>
    <w:div w:id="1560507513">
      <w:bodyDiv w:val="1"/>
      <w:marLeft w:val="0"/>
      <w:marRight w:val="0"/>
      <w:marTop w:val="0"/>
      <w:marBottom w:val="0"/>
      <w:divBdr>
        <w:top w:val="none" w:sz="0" w:space="0" w:color="auto"/>
        <w:left w:val="none" w:sz="0" w:space="0" w:color="auto"/>
        <w:bottom w:val="none" w:sz="0" w:space="0" w:color="auto"/>
        <w:right w:val="none" w:sz="0" w:space="0" w:color="auto"/>
      </w:divBdr>
    </w:div>
    <w:div w:id="1598249558">
      <w:bodyDiv w:val="1"/>
      <w:marLeft w:val="0"/>
      <w:marRight w:val="0"/>
      <w:marTop w:val="0"/>
      <w:marBottom w:val="0"/>
      <w:divBdr>
        <w:top w:val="none" w:sz="0" w:space="0" w:color="auto"/>
        <w:left w:val="none" w:sz="0" w:space="0" w:color="auto"/>
        <w:bottom w:val="none" w:sz="0" w:space="0" w:color="auto"/>
        <w:right w:val="none" w:sz="0" w:space="0" w:color="auto"/>
      </w:divBdr>
    </w:div>
    <w:div w:id="1617567835">
      <w:bodyDiv w:val="1"/>
      <w:marLeft w:val="0"/>
      <w:marRight w:val="0"/>
      <w:marTop w:val="0"/>
      <w:marBottom w:val="0"/>
      <w:divBdr>
        <w:top w:val="none" w:sz="0" w:space="0" w:color="auto"/>
        <w:left w:val="none" w:sz="0" w:space="0" w:color="auto"/>
        <w:bottom w:val="none" w:sz="0" w:space="0" w:color="auto"/>
        <w:right w:val="none" w:sz="0" w:space="0" w:color="auto"/>
      </w:divBdr>
    </w:div>
    <w:div w:id="1665039068">
      <w:bodyDiv w:val="1"/>
      <w:marLeft w:val="0"/>
      <w:marRight w:val="0"/>
      <w:marTop w:val="0"/>
      <w:marBottom w:val="0"/>
      <w:divBdr>
        <w:top w:val="none" w:sz="0" w:space="0" w:color="auto"/>
        <w:left w:val="none" w:sz="0" w:space="0" w:color="auto"/>
        <w:bottom w:val="none" w:sz="0" w:space="0" w:color="auto"/>
        <w:right w:val="none" w:sz="0" w:space="0" w:color="auto"/>
      </w:divBdr>
    </w:div>
    <w:div w:id="1674456885">
      <w:bodyDiv w:val="1"/>
      <w:marLeft w:val="0"/>
      <w:marRight w:val="0"/>
      <w:marTop w:val="0"/>
      <w:marBottom w:val="0"/>
      <w:divBdr>
        <w:top w:val="none" w:sz="0" w:space="0" w:color="auto"/>
        <w:left w:val="none" w:sz="0" w:space="0" w:color="auto"/>
        <w:bottom w:val="none" w:sz="0" w:space="0" w:color="auto"/>
        <w:right w:val="none" w:sz="0" w:space="0" w:color="auto"/>
      </w:divBdr>
    </w:div>
    <w:div w:id="1709068124">
      <w:bodyDiv w:val="1"/>
      <w:marLeft w:val="0"/>
      <w:marRight w:val="0"/>
      <w:marTop w:val="0"/>
      <w:marBottom w:val="0"/>
      <w:divBdr>
        <w:top w:val="none" w:sz="0" w:space="0" w:color="auto"/>
        <w:left w:val="none" w:sz="0" w:space="0" w:color="auto"/>
        <w:bottom w:val="none" w:sz="0" w:space="0" w:color="auto"/>
        <w:right w:val="none" w:sz="0" w:space="0" w:color="auto"/>
      </w:divBdr>
    </w:div>
    <w:div w:id="17363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4B5DF8E6DD614B9464A6A1E60988F1" ma:contentTypeVersion="3" ma:contentTypeDescription="Create a new document." ma:contentTypeScope="" ma:versionID="77e73b10cf60c32e83d9a7824b2d7b68">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7BFC-0966-4CDA-8651-BBE4C3566E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911867-9058-48AF-864A-473027F0FEC9}">
  <ds:schemaRefs>
    <ds:schemaRef ds:uri="http://schemas.microsoft.com/sharepoint/v3/contenttype/forms"/>
  </ds:schemaRefs>
</ds:datastoreItem>
</file>

<file path=customXml/itemProps3.xml><?xml version="1.0" encoding="utf-8"?>
<ds:datastoreItem xmlns:ds="http://schemas.openxmlformats.org/officeDocument/2006/customXml" ds:itemID="{7C5E8116-3308-4E10-8673-83D6013A8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43DA96-E7E9-422C-8EE2-F0AF7535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6685</Words>
  <Characters>38107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INTER–AGENCY STANDING COMMITTEE WORKING GROUP</vt:lpstr>
    </vt:vector>
  </TitlesOfParts>
  <Company>unog</Company>
  <LinksUpToDate>false</LinksUpToDate>
  <CharactersWithSpaces>44703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STANDING COMMITTEE WORKING GROUP</dc:title>
  <dc:creator>Korrebor</dc:creator>
  <cp:lastModifiedBy>Belinda HOLDSWORTH</cp:lastModifiedBy>
  <cp:revision>4</cp:revision>
  <cp:lastPrinted>2017-05-10T09:04:00Z</cp:lastPrinted>
  <dcterms:created xsi:type="dcterms:W3CDTF">2017-05-10T09:46:00Z</dcterms:created>
  <dcterms:modified xsi:type="dcterms:W3CDTF">2017-05-10T09:56:00Z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0x010100EB4B5DF8E6DD614B9464A6A1E60988F1</vt:lpwstr>
  </property>
</Properties>
</file>