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48856" w14:textId="77777777" w:rsidR="004929DD" w:rsidRDefault="00F877E5" w:rsidP="00D56A60">
      <w:pPr>
        <w:contextualSpacing/>
        <w:jc w:val="center"/>
        <w:outlineLvl w:val="0"/>
        <w:rPr>
          <w:rFonts w:ascii="Arial" w:hAnsi="Arial" w:cs="Arial"/>
          <w:b/>
          <w:sz w:val="44"/>
          <w:szCs w:val="44"/>
        </w:rPr>
      </w:pPr>
      <w:bookmarkStart w:id="0" w:name="_GoBack"/>
      <w:bookmarkEnd w:id="0"/>
      <w:r w:rsidRPr="00F877E5">
        <w:rPr>
          <w:rFonts w:ascii="Arial" w:hAnsi="Arial" w:cs="Arial"/>
          <w:b/>
          <w:sz w:val="44"/>
          <w:szCs w:val="44"/>
          <w:lang w:val="en-GB"/>
        </w:rPr>
        <w:t>Grand Bargain Workstream</w:t>
      </w:r>
      <w:r w:rsidR="00811FAE" w:rsidRPr="00F877E5">
        <w:rPr>
          <w:rFonts w:ascii="Arial" w:hAnsi="Arial" w:cs="Arial"/>
          <w:b/>
          <w:sz w:val="44"/>
          <w:szCs w:val="44"/>
          <w:lang w:val="en-GB"/>
        </w:rPr>
        <w:t xml:space="preserve"> </w:t>
      </w:r>
      <w:r w:rsidRPr="00F877E5">
        <w:rPr>
          <w:rFonts w:ascii="Arial" w:hAnsi="Arial" w:cs="Arial"/>
          <w:b/>
          <w:sz w:val="44"/>
          <w:szCs w:val="44"/>
        </w:rPr>
        <w:t xml:space="preserve">on </w:t>
      </w:r>
    </w:p>
    <w:p w14:paraId="5D69FFD5" w14:textId="6EFF259A" w:rsidR="00811FAE" w:rsidRPr="00F877E5" w:rsidRDefault="00F877E5" w:rsidP="00D56A60">
      <w:pPr>
        <w:contextualSpacing/>
        <w:jc w:val="center"/>
        <w:outlineLvl w:val="0"/>
        <w:rPr>
          <w:b/>
          <w:caps/>
          <w:spacing w:val="10"/>
          <w:kern w:val="28"/>
          <w:sz w:val="52"/>
          <w:szCs w:val="52"/>
          <w:lang w:val="en-GB"/>
        </w:rPr>
      </w:pPr>
      <w:r w:rsidRPr="00F877E5">
        <w:rPr>
          <w:rFonts w:ascii="Arial" w:hAnsi="Arial" w:cs="Arial"/>
          <w:b/>
          <w:sz w:val="44"/>
          <w:szCs w:val="44"/>
        </w:rPr>
        <w:t>Reducing</w:t>
      </w:r>
      <w:r w:rsidRPr="00F877E5">
        <w:rPr>
          <w:rStyle w:val="TitleChar"/>
          <w:b/>
          <w:color w:val="auto"/>
          <w:lang w:val="en-GB"/>
        </w:rPr>
        <w:t xml:space="preserve"> </w:t>
      </w:r>
      <w:r w:rsidRPr="00F877E5">
        <w:rPr>
          <w:rStyle w:val="TitleChar"/>
          <w:rFonts w:ascii="Arial" w:hAnsi="Arial" w:cs="Arial"/>
          <w:b/>
          <w:caps w:val="0"/>
          <w:color w:val="auto"/>
          <w:sz w:val="44"/>
          <w:szCs w:val="44"/>
          <w:lang w:val="en-GB"/>
        </w:rPr>
        <w:t>Earmarking</w:t>
      </w:r>
    </w:p>
    <w:p w14:paraId="468881B2" w14:textId="77777777" w:rsidR="00811FAE" w:rsidRPr="009A5A0C" w:rsidRDefault="00811FAE" w:rsidP="00811FAE">
      <w:pPr>
        <w:pStyle w:val="Paragraphedeliste1"/>
        <w:spacing w:line="240" w:lineRule="auto"/>
        <w:ind w:left="0"/>
        <w:contextualSpacing/>
        <w:jc w:val="right"/>
        <w:rPr>
          <w:rFonts w:ascii="Arial" w:hAnsi="Arial" w:cs="Arial"/>
          <w:sz w:val="32"/>
          <w:szCs w:val="32"/>
          <w:lang w:val="en-GB"/>
        </w:rPr>
      </w:pPr>
    </w:p>
    <w:p w14:paraId="61A51BF3" w14:textId="77777777" w:rsidR="007C4501" w:rsidRDefault="007C4501" w:rsidP="00811FAE">
      <w:pPr>
        <w:pStyle w:val="Paragraphedeliste1"/>
        <w:spacing w:line="240" w:lineRule="auto"/>
        <w:ind w:left="0"/>
        <w:contextualSpacing/>
        <w:jc w:val="right"/>
        <w:rPr>
          <w:rFonts w:ascii="Arial" w:hAnsi="Arial" w:cs="Arial"/>
          <w:sz w:val="32"/>
          <w:szCs w:val="32"/>
          <w:lang w:val="en-GB"/>
        </w:rPr>
      </w:pPr>
    </w:p>
    <w:p w14:paraId="1EACE8F5" w14:textId="6AA70238" w:rsidR="004929DD" w:rsidRPr="004929DD" w:rsidRDefault="00E94872" w:rsidP="00D56A60">
      <w:pPr>
        <w:pStyle w:val="Paragraphedeliste1"/>
        <w:spacing w:after="120" w:line="240" w:lineRule="auto"/>
        <w:ind w:left="0"/>
        <w:jc w:val="center"/>
        <w:outlineLvl w:val="0"/>
        <w:rPr>
          <w:rFonts w:ascii="Arial" w:hAnsi="Arial" w:cs="Arial"/>
          <w:b/>
          <w:sz w:val="32"/>
          <w:szCs w:val="32"/>
          <w:lang w:val="en-GB"/>
        </w:rPr>
      </w:pPr>
      <w:r>
        <w:rPr>
          <w:rFonts w:ascii="Arial" w:hAnsi="Arial" w:cs="Arial"/>
          <w:b/>
          <w:sz w:val="32"/>
          <w:szCs w:val="32"/>
          <w:lang w:val="en-GB"/>
        </w:rPr>
        <w:t>Background</w:t>
      </w:r>
      <w:r w:rsidR="004929DD" w:rsidRPr="004929DD">
        <w:rPr>
          <w:rFonts w:ascii="Arial" w:hAnsi="Arial" w:cs="Arial"/>
          <w:b/>
          <w:sz w:val="32"/>
          <w:szCs w:val="32"/>
          <w:lang w:val="en-GB"/>
        </w:rPr>
        <w:t xml:space="preserve"> Paper for Workshop</w:t>
      </w:r>
    </w:p>
    <w:p w14:paraId="6A71C2A9" w14:textId="77777777" w:rsidR="004929DD" w:rsidRPr="004929DD" w:rsidRDefault="004929DD" w:rsidP="00D56A60">
      <w:pPr>
        <w:pStyle w:val="Paragraphedeliste1"/>
        <w:spacing w:after="120" w:line="240" w:lineRule="auto"/>
        <w:ind w:left="0"/>
        <w:jc w:val="center"/>
        <w:outlineLvl w:val="0"/>
        <w:rPr>
          <w:rFonts w:ascii="Arial" w:hAnsi="Arial" w:cs="Arial"/>
          <w:b/>
          <w:sz w:val="32"/>
          <w:szCs w:val="32"/>
          <w:lang w:val="en-GB"/>
        </w:rPr>
      </w:pPr>
      <w:r w:rsidRPr="004929DD">
        <w:rPr>
          <w:rFonts w:ascii="Arial" w:hAnsi="Arial" w:cs="Arial"/>
          <w:b/>
          <w:sz w:val="32"/>
          <w:szCs w:val="32"/>
          <w:lang w:val="en-GB"/>
        </w:rPr>
        <w:t>Geneva, 29</w:t>
      </w:r>
      <w:r w:rsidRPr="004929DD">
        <w:rPr>
          <w:rFonts w:ascii="Arial" w:hAnsi="Arial" w:cs="Arial"/>
          <w:b/>
          <w:sz w:val="32"/>
          <w:szCs w:val="32"/>
          <w:vertAlign w:val="superscript"/>
          <w:lang w:val="en-GB"/>
        </w:rPr>
        <w:t>th</w:t>
      </w:r>
      <w:r w:rsidRPr="004929DD">
        <w:rPr>
          <w:rFonts w:ascii="Arial" w:hAnsi="Arial" w:cs="Arial"/>
          <w:b/>
          <w:sz w:val="32"/>
          <w:szCs w:val="32"/>
          <w:lang w:val="en-GB"/>
        </w:rPr>
        <w:t xml:space="preserve"> May 2017</w:t>
      </w:r>
    </w:p>
    <w:p w14:paraId="2945CE6C" w14:textId="77777777" w:rsidR="004929DD" w:rsidRDefault="004929DD" w:rsidP="004929DD">
      <w:pPr>
        <w:pStyle w:val="Paragraphedeliste1"/>
        <w:spacing w:line="240" w:lineRule="auto"/>
        <w:ind w:left="0"/>
        <w:contextualSpacing/>
        <w:jc w:val="center"/>
        <w:rPr>
          <w:rFonts w:ascii="Arial" w:hAnsi="Arial" w:cs="Arial"/>
          <w:b/>
          <w:sz w:val="32"/>
          <w:szCs w:val="32"/>
          <w:lang w:val="en-GB"/>
        </w:rPr>
      </w:pPr>
    </w:p>
    <w:p w14:paraId="760CD6D4" w14:textId="77777777" w:rsidR="004929DD" w:rsidRDefault="004929DD" w:rsidP="004929DD">
      <w:pPr>
        <w:pStyle w:val="Paragraphedeliste1"/>
        <w:spacing w:line="240" w:lineRule="auto"/>
        <w:ind w:left="0"/>
        <w:contextualSpacing/>
        <w:jc w:val="center"/>
        <w:rPr>
          <w:rFonts w:ascii="Arial" w:hAnsi="Arial" w:cs="Arial"/>
          <w:b/>
          <w:sz w:val="32"/>
          <w:szCs w:val="32"/>
          <w:lang w:val="en-GB"/>
        </w:rPr>
      </w:pPr>
    </w:p>
    <w:p w14:paraId="162E131F" w14:textId="4D528765" w:rsidR="007C4501" w:rsidRPr="004929DD" w:rsidRDefault="004929DD" w:rsidP="00D56A60">
      <w:pPr>
        <w:pStyle w:val="Paragraphedeliste1"/>
        <w:spacing w:line="240" w:lineRule="auto"/>
        <w:ind w:left="0"/>
        <w:contextualSpacing/>
        <w:jc w:val="center"/>
        <w:outlineLvl w:val="0"/>
        <w:rPr>
          <w:rFonts w:ascii="Arial" w:hAnsi="Arial" w:cs="Arial"/>
          <w:b/>
          <w:sz w:val="32"/>
          <w:szCs w:val="32"/>
          <w:lang w:val="en-GB"/>
        </w:rPr>
      </w:pPr>
      <w:r w:rsidRPr="004929DD">
        <w:rPr>
          <w:rFonts w:ascii="Arial" w:hAnsi="Arial" w:cs="Arial"/>
          <w:b/>
          <w:sz w:val="32"/>
          <w:szCs w:val="32"/>
          <w:lang w:val="en-GB"/>
        </w:rPr>
        <w:t>Co-conveners: Sweden and ICRC</w:t>
      </w:r>
    </w:p>
    <w:p w14:paraId="00A03793" w14:textId="77777777" w:rsidR="007C4501" w:rsidRDefault="007C4501" w:rsidP="00811FAE">
      <w:pPr>
        <w:pStyle w:val="Paragraphedeliste1"/>
        <w:spacing w:line="240" w:lineRule="auto"/>
        <w:ind w:left="0"/>
        <w:contextualSpacing/>
        <w:jc w:val="right"/>
        <w:rPr>
          <w:rFonts w:ascii="Arial" w:hAnsi="Arial" w:cs="Arial"/>
          <w:sz w:val="32"/>
          <w:szCs w:val="32"/>
          <w:lang w:val="en-GB"/>
        </w:rPr>
      </w:pPr>
    </w:p>
    <w:p w14:paraId="1D80B56E" w14:textId="77777777" w:rsidR="007C4501" w:rsidRDefault="007C4501" w:rsidP="00811FAE">
      <w:pPr>
        <w:pStyle w:val="Paragraphedeliste1"/>
        <w:spacing w:line="240" w:lineRule="auto"/>
        <w:ind w:left="0"/>
        <w:contextualSpacing/>
        <w:jc w:val="right"/>
        <w:rPr>
          <w:rFonts w:ascii="Arial" w:hAnsi="Arial" w:cs="Arial"/>
          <w:sz w:val="32"/>
          <w:szCs w:val="32"/>
          <w:lang w:val="en-GB"/>
        </w:rPr>
      </w:pPr>
    </w:p>
    <w:p w14:paraId="086307B2" w14:textId="77777777" w:rsidR="007C4501" w:rsidRDefault="007C4501" w:rsidP="00811FAE">
      <w:pPr>
        <w:pStyle w:val="Paragraphedeliste1"/>
        <w:spacing w:line="240" w:lineRule="auto"/>
        <w:ind w:left="0"/>
        <w:contextualSpacing/>
        <w:jc w:val="right"/>
        <w:rPr>
          <w:rFonts w:ascii="Arial" w:hAnsi="Arial" w:cs="Arial"/>
          <w:sz w:val="32"/>
          <w:szCs w:val="32"/>
          <w:lang w:val="en-GB"/>
        </w:rPr>
      </w:pPr>
    </w:p>
    <w:p w14:paraId="5A2AEC0A" w14:textId="77777777" w:rsidR="007C4501" w:rsidRDefault="007C4501" w:rsidP="00811FAE">
      <w:pPr>
        <w:pStyle w:val="Paragraphedeliste1"/>
        <w:spacing w:line="240" w:lineRule="auto"/>
        <w:ind w:left="0"/>
        <w:contextualSpacing/>
        <w:jc w:val="right"/>
        <w:rPr>
          <w:rFonts w:ascii="Arial" w:hAnsi="Arial" w:cs="Arial"/>
          <w:sz w:val="32"/>
          <w:szCs w:val="32"/>
          <w:lang w:val="en-GB"/>
        </w:rPr>
      </w:pPr>
    </w:p>
    <w:p w14:paraId="3BAE1433" w14:textId="77777777" w:rsidR="007C4501" w:rsidRDefault="007C4501" w:rsidP="00811FAE">
      <w:pPr>
        <w:pStyle w:val="Paragraphedeliste1"/>
        <w:spacing w:line="240" w:lineRule="auto"/>
        <w:ind w:left="0"/>
        <w:contextualSpacing/>
        <w:jc w:val="right"/>
        <w:rPr>
          <w:rFonts w:ascii="Arial" w:hAnsi="Arial" w:cs="Arial"/>
          <w:sz w:val="32"/>
          <w:szCs w:val="32"/>
          <w:lang w:val="en-GB"/>
        </w:rPr>
      </w:pPr>
    </w:p>
    <w:p w14:paraId="2049B6D4" w14:textId="77777777" w:rsidR="007C4501" w:rsidRDefault="007C4501" w:rsidP="00811FAE">
      <w:pPr>
        <w:pStyle w:val="Paragraphedeliste1"/>
        <w:spacing w:line="240" w:lineRule="auto"/>
        <w:ind w:left="0"/>
        <w:contextualSpacing/>
        <w:jc w:val="right"/>
        <w:rPr>
          <w:rFonts w:ascii="Arial" w:hAnsi="Arial" w:cs="Arial"/>
          <w:sz w:val="32"/>
          <w:szCs w:val="32"/>
          <w:lang w:val="en-GB"/>
        </w:rPr>
      </w:pPr>
    </w:p>
    <w:p w14:paraId="46F7B5BD" w14:textId="77777777" w:rsidR="007C4501" w:rsidRDefault="007C4501" w:rsidP="00811FAE">
      <w:pPr>
        <w:pStyle w:val="Paragraphedeliste1"/>
        <w:spacing w:line="240" w:lineRule="auto"/>
        <w:ind w:left="0"/>
        <w:contextualSpacing/>
        <w:jc w:val="right"/>
        <w:rPr>
          <w:rFonts w:ascii="Arial" w:hAnsi="Arial" w:cs="Arial"/>
          <w:sz w:val="32"/>
          <w:szCs w:val="32"/>
          <w:lang w:val="en-GB"/>
        </w:rPr>
      </w:pPr>
    </w:p>
    <w:p w14:paraId="2803DB85" w14:textId="77777777" w:rsidR="007C4501" w:rsidRDefault="007C4501" w:rsidP="00811FAE">
      <w:pPr>
        <w:pStyle w:val="Paragraphedeliste1"/>
        <w:spacing w:line="240" w:lineRule="auto"/>
        <w:ind w:left="0"/>
        <w:contextualSpacing/>
        <w:jc w:val="right"/>
        <w:rPr>
          <w:rFonts w:ascii="Arial" w:hAnsi="Arial" w:cs="Arial"/>
          <w:sz w:val="32"/>
          <w:szCs w:val="32"/>
          <w:lang w:val="en-GB"/>
        </w:rPr>
      </w:pPr>
    </w:p>
    <w:p w14:paraId="37093836" w14:textId="77777777" w:rsidR="007C4501" w:rsidRDefault="007C4501" w:rsidP="00811FAE">
      <w:pPr>
        <w:pStyle w:val="Paragraphedeliste1"/>
        <w:spacing w:line="240" w:lineRule="auto"/>
        <w:ind w:left="0"/>
        <w:contextualSpacing/>
        <w:jc w:val="right"/>
        <w:rPr>
          <w:rFonts w:ascii="Arial" w:hAnsi="Arial" w:cs="Arial"/>
          <w:sz w:val="32"/>
          <w:szCs w:val="32"/>
          <w:lang w:val="en-GB"/>
        </w:rPr>
      </w:pPr>
    </w:p>
    <w:p w14:paraId="77BE409D" w14:textId="77777777" w:rsidR="007C4501" w:rsidRDefault="007C4501" w:rsidP="00811FAE">
      <w:pPr>
        <w:pStyle w:val="Paragraphedeliste1"/>
        <w:spacing w:line="240" w:lineRule="auto"/>
        <w:ind w:left="0"/>
        <w:contextualSpacing/>
        <w:jc w:val="right"/>
        <w:rPr>
          <w:rFonts w:ascii="Arial" w:hAnsi="Arial" w:cs="Arial"/>
          <w:sz w:val="32"/>
          <w:szCs w:val="32"/>
          <w:lang w:val="en-GB"/>
        </w:rPr>
      </w:pPr>
    </w:p>
    <w:p w14:paraId="3B2C5BAB" w14:textId="77777777" w:rsidR="00811FAE" w:rsidRPr="009A5A0C" w:rsidRDefault="00811FAE" w:rsidP="00811FAE">
      <w:pPr>
        <w:pStyle w:val="Paragraphedeliste1"/>
        <w:spacing w:line="240" w:lineRule="auto"/>
        <w:ind w:left="0"/>
        <w:contextualSpacing/>
        <w:jc w:val="right"/>
        <w:rPr>
          <w:rFonts w:ascii="Arial" w:hAnsi="Arial" w:cs="Arial"/>
          <w:sz w:val="32"/>
          <w:szCs w:val="32"/>
          <w:lang w:val="en-GB"/>
        </w:rPr>
      </w:pPr>
    </w:p>
    <w:p w14:paraId="4840D5BF" w14:textId="77777777" w:rsidR="00811FAE" w:rsidRPr="009A5A0C" w:rsidRDefault="00811FAE" w:rsidP="00811FAE">
      <w:pPr>
        <w:pStyle w:val="Paragraphedeliste1"/>
        <w:spacing w:line="240" w:lineRule="auto"/>
        <w:ind w:left="0"/>
        <w:contextualSpacing/>
        <w:jc w:val="right"/>
        <w:rPr>
          <w:rFonts w:ascii="Arial" w:hAnsi="Arial" w:cs="Arial"/>
          <w:sz w:val="32"/>
          <w:szCs w:val="32"/>
          <w:lang w:val="en-GB"/>
        </w:rPr>
      </w:pPr>
    </w:p>
    <w:p w14:paraId="7A54D6ED" w14:textId="77777777" w:rsidR="00811FAE" w:rsidRPr="009A5A0C" w:rsidRDefault="00811FAE" w:rsidP="00811FAE">
      <w:pPr>
        <w:pStyle w:val="Paragraphedeliste1"/>
        <w:spacing w:line="240" w:lineRule="auto"/>
        <w:ind w:left="0"/>
        <w:contextualSpacing/>
        <w:jc w:val="right"/>
        <w:rPr>
          <w:rFonts w:ascii="Arial" w:hAnsi="Arial" w:cs="Arial"/>
          <w:sz w:val="32"/>
          <w:szCs w:val="32"/>
          <w:lang w:val="en-GB"/>
        </w:rPr>
      </w:pPr>
    </w:p>
    <w:p w14:paraId="06BC8361" w14:textId="77777777" w:rsidR="00811FAE" w:rsidRDefault="00811FAE" w:rsidP="004929DD">
      <w:pPr>
        <w:pStyle w:val="Paragraphedeliste1"/>
        <w:spacing w:line="240" w:lineRule="auto"/>
        <w:ind w:left="0"/>
        <w:contextualSpacing/>
        <w:rPr>
          <w:rFonts w:ascii="Arial" w:hAnsi="Arial" w:cs="Arial"/>
          <w:sz w:val="32"/>
          <w:szCs w:val="32"/>
          <w:lang w:val="en-GB"/>
        </w:rPr>
      </w:pPr>
    </w:p>
    <w:p w14:paraId="0E1F0733" w14:textId="77777777" w:rsidR="004929DD" w:rsidRDefault="004929DD" w:rsidP="00811FAE">
      <w:pPr>
        <w:pStyle w:val="Paragraphedeliste1"/>
        <w:spacing w:line="240" w:lineRule="auto"/>
        <w:ind w:left="0"/>
        <w:contextualSpacing/>
        <w:jc w:val="right"/>
        <w:rPr>
          <w:rFonts w:ascii="Arial" w:hAnsi="Arial" w:cs="Arial"/>
          <w:sz w:val="32"/>
          <w:szCs w:val="32"/>
          <w:lang w:val="en-GB"/>
        </w:rPr>
      </w:pPr>
    </w:p>
    <w:p w14:paraId="5763F43C" w14:textId="77777777" w:rsidR="004929DD" w:rsidRDefault="004929DD" w:rsidP="00811FAE">
      <w:pPr>
        <w:pStyle w:val="Paragraphedeliste1"/>
        <w:spacing w:line="240" w:lineRule="auto"/>
        <w:ind w:left="0"/>
        <w:contextualSpacing/>
        <w:jc w:val="right"/>
        <w:rPr>
          <w:rFonts w:ascii="Arial" w:hAnsi="Arial" w:cs="Arial"/>
          <w:sz w:val="32"/>
          <w:szCs w:val="32"/>
          <w:lang w:val="en-GB"/>
        </w:rPr>
      </w:pPr>
    </w:p>
    <w:p w14:paraId="309D914B" w14:textId="77777777" w:rsidR="004929DD" w:rsidRDefault="004929DD" w:rsidP="00811FAE">
      <w:pPr>
        <w:pStyle w:val="Paragraphedeliste1"/>
        <w:spacing w:line="240" w:lineRule="auto"/>
        <w:ind w:left="0"/>
        <w:contextualSpacing/>
        <w:jc w:val="right"/>
        <w:rPr>
          <w:rFonts w:ascii="Arial" w:hAnsi="Arial" w:cs="Arial"/>
          <w:sz w:val="32"/>
          <w:szCs w:val="32"/>
          <w:lang w:val="en-GB"/>
        </w:rPr>
      </w:pPr>
    </w:p>
    <w:p w14:paraId="27DBA883" w14:textId="77777777" w:rsidR="004929DD" w:rsidRDefault="004929DD" w:rsidP="00811FAE">
      <w:pPr>
        <w:pStyle w:val="Paragraphedeliste1"/>
        <w:spacing w:line="240" w:lineRule="auto"/>
        <w:ind w:left="0"/>
        <w:contextualSpacing/>
        <w:jc w:val="right"/>
        <w:rPr>
          <w:rFonts w:ascii="Arial" w:hAnsi="Arial" w:cs="Arial"/>
          <w:sz w:val="32"/>
          <w:szCs w:val="32"/>
          <w:lang w:val="en-GB"/>
        </w:rPr>
      </w:pPr>
    </w:p>
    <w:p w14:paraId="30DC8142" w14:textId="77777777" w:rsidR="004929DD" w:rsidRDefault="004929DD" w:rsidP="00811FAE">
      <w:pPr>
        <w:pStyle w:val="Paragraphedeliste1"/>
        <w:spacing w:line="240" w:lineRule="auto"/>
        <w:ind w:left="0"/>
        <w:contextualSpacing/>
        <w:jc w:val="right"/>
        <w:rPr>
          <w:rFonts w:ascii="Arial" w:hAnsi="Arial" w:cs="Arial"/>
          <w:sz w:val="32"/>
          <w:szCs w:val="32"/>
          <w:lang w:val="en-GB"/>
        </w:rPr>
      </w:pPr>
    </w:p>
    <w:p w14:paraId="16578863" w14:textId="77777777" w:rsidR="004929DD" w:rsidRDefault="004929DD" w:rsidP="00811FAE">
      <w:pPr>
        <w:pStyle w:val="Paragraphedeliste1"/>
        <w:spacing w:line="240" w:lineRule="auto"/>
        <w:ind w:left="0"/>
        <w:contextualSpacing/>
        <w:jc w:val="right"/>
        <w:rPr>
          <w:rFonts w:ascii="Arial" w:hAnsi="Arial" w:cs="Arial"/>
          <w:sz w:val="32"/>
          <w:szCs w:val="32"/>
          <w:lang w:val="en-GB"/>
        </w:rPr>
      </w:pPr>
    </w:p>
    <w:p w14:paraId="3717F56A" w14:textId="77777777" w:rsidR="004929DD" w:rsidRDefault="004929DD" w:rsidP="00811FAE">
      <w:pPr>
        <w:pStyle w:val="Paragraphedeliste1"/>
        <w:spacing w:line="240" w:lineRule="auto"/>
        <w:ind w:left="0"/>
        <w:contextualSpacing/>
        <w:jc w:val="right"/>
        <w:rPr>
          <w:rFonts w:ascii="Arial" w:hAnsi="Arial" w:cs="Arial"/>
          <w:sz w:val="32"/>
          <w:szCs w:val="32"/>
          <w:lang w:val="en-GB"/>
        </w:rPr>
      </w:pPr>
    </w:p>
    <w:p w14:paraId="2D2EA6DF" w14:textId="77777777" w:rsidR="004929DD" w:rsidRDefault="004929DD" w:rsidP="00811FAE">
      <w:pPr>
        <w:pStyle w:val="Paragraphedeliste1"/>
        <w:spacing w:line="240" w:lineRule="auto"/>
        <w:ind w:left="0"/>
        <w:contextualSpacing/>
        <w:jc w:val="right"/>
        <w:rPr>
          <w:rFonts w:ascii="Arial" w:hAnsi="Arial" w:cs="Arial"/>
          <w:sz w:val="32"/>
          <w:szCs w:val="32"/>
          <w:lang w:val="en-GB"/>
        </w:rPr>
      </w:pPr>
    </w:p>
    <w:p w14:paraId="669C9E5B" w14:textId="77777777" w:rsidR="004929DD" w:rsidRPr="009A5A0C" w:rsidRDefault="004929DD" w:rsidP="004929DD">
      <w:pPr>
        <w:pStyle w:val="Paragraphedeliste1"/>
        <w:spacing w:line="240" w:lineRule="auto"/>
        <w:ind w:left="0"/>
        <w:contextualSpacing/>
        <w:rPr>
          <w:rFonts w:ascii="Arial" w:hAnsi="Arial" w:cs="Arial"/>
          <w:sz w:val="32"/>
          <w:szCs w:val="32"/>
          <w:lang w:val="en-GB"/>
        </w:rPr>
      </w:pPr>
    </w:p>
    <w:p w14:paraId="0908C58E" w14:textId="7B9DFA70" w:rsidR="00811FAE" w:rsidRPr="004929DD" w:rsidRDefault="00811FAE" w:rsidP="00D56A60">
      <w:pPr>
        <w:pStyle w:val="Paragraphedeliste1"/>
        <w:spacing w:line="240" w:lineRule="auto"/>
        <w:ind w:left="0"/>
        <w:contextualSpacing/>
        <w:jc w:val="right"/>
        <w:outlineLvl w:val="0"/>
        <w:rPr>
          <w:rFonts w:ascii="Arial" w:hAnsi="Arial" w:cs="Arial"/>
          <w:b/>
          <w:sz w:val="28"/>
          <w:szCs w:val="28"/>
          <w:lang w:val="en-GB"/>
        </w:rPr>
      </w:pPr>
      <w:r w:rsidRPr="004929DD">
        <w:rPr>
          <w:rFonts w:ascii="Arial" w:hAnsi="Arial" w:cs="Arial"/>
          <w:b/>
          <w:sz w:val="28"/>
          <w:szCs w:val="28"/>
          <w:lang w:val="en-GB"/>
        </w:rPr>
        <w:t>Author</w:t>
      </w:r>
      <w:r w:rsidR="00F877E5" w:rsidRPr="004929DD">
        <w:rPr>
          <w:rFonts w:ascii="Arial" w:hAnsi="Arial" w:cs="Arial"/>
          <w:b/>
          <w:sz w:val="28"/>
          <w:szCs w:val="28"/>
          <w:lang w:val="en-GB"/>
        </w:rPr>
        <w:t>s</w:t>
      </w:r>
      <w:r w:rsidRPr="004929DD">
        <w:rPr>
          <w:rFonts w:ascii="Arial" w:hAnsi="Arial" w:cs="Arial"/>
          <w:b/>
          <w:sz w:val="28"/>
          <w:szCs w:val="28"/>
          <w:lang w:val="en-GB"/>
        </w:rPr>
        <w:t xml:space="preserve">: </w:t>
      </w:r>
    </w:p>
    <w:p w14:paraId="14A63AB9" w14:textId="482775D7" w:rsidR="00F877E5" w:rsidRPr="001B5EC6" w:rsidRDefault="00F877E5" w:rsidP="00D56A60">
      <w:pPr>
        <w:pStyle w:val="Paragraphedeliste1"/>
        <w:spacing w:after="120" w:line="240" w:lineRule="auto"/>
        <w:ind w:left="0"/>
        <w:jc w:val="right"/>
        <w:outlineLvl w:val="0"/>
        <w:rPr>
          <w:rFonts w:ascii="Arial" w:hAnsi="Arial" w:cs="Arial"/>
          <w:b/>
          <w:sz w:val="28"/>
          <w:szCs w:val="28"/>
        </w:rPr>
      </w:pPr>
      <w:r w:rsidRPr="001B5EC6">
        <w:rPr>
          <w:rFonts w:ascii="Arial" w:hAnsi="Arial" w:cs="Arial"/>
          <w:b/>
          <w:sz w:val="28"/>
          <w:szCs w:val="28"/>
        </w:rPr>
        <w:t>Lydia Poole and Tasneem Mowjee</w:t>
      </w:r>
    </w:p>
    <w:p w14:paraId="7C3F3765" w14:textId="2F04BB87" w:rsidR="00F877E5" w:rsidRPr="001B5EC6" w:rsidRDefault="00B7157C" w:rsidP="00811FAE">
      <w:pPr>
        <w:pStyle w:val="Paragraphedeliste1"/>
        <w:spacing w:line="240" w:lineRule="auto"/>
        <w:ind w:left="0"/>
        <w:contextualSpacing/>
        <w:jc w:val="right"/>
        <w:rPr>
          <w:rFonts w:ascii="Arial" w:hAnsi="Arial" w:cs="Arial"/>
          <w:sz w:val="28"/>
          <w:szCs w:val="28"/>
        </w:rPr>
      </w:pPr>
      <w:r w:rsidRPr="001B5EC6">
        <w:rPr>
          <w:rFonts w:ascii="Arial" w:hAnsi="Arial" w:cs="Arial"/>
          <w:sz w:val="28"/>
          <w:szCs w:val="28"/>
        </w:rPr>
        <w:t xml:space="preserve"> </w:t>
      </w:r>
    </w:p>
    <w:p w14:paraId="08C8B55F" w14:textId="77777777" w:rsidR="007C4501" w:rsidRDefault="007C4501">
      <w:pPr>
        <w:rPr>
          <w:rFonts w:ascii="Arial" w:hAnsi="Arial" w:cs="Arial"/>
          <w:b/>
          <w:bCs/>
          <w:sz w:val="40"/>
          <w:szCs w:val="40"/>
        </w:rPr>
      </w:pPr>
      <w:r>
        <w:rPr>
          <w:rFonts w:ascii="Arial" w:hAnsi="Arial" w:cs="Arial"/>
          <w:b/>
          <w:bCs/>
          <w:sz w:val="40"/>
          <w:szCs w:val="40"/>
        </w:rPr>
        <w:br w:type="page"/>
      </w:r>
    </w:p>
    <w:p w14:paraId="03BE4B0C" w14:textId="728C39D1" w:rsidR="00B75873" w:rsidRPr="003443C1" w:rsidRDefault="004929DD" w:rsidP="00D56A60">
      <w:pPr>
        <w:outlineLvl w:val="0"/>
        <w:rPr>
          <w:rFonts w:ascii="Arial" w:hAnsi="Arial" w:cs="Arial"/>
          <w:b/>
        </w:rPr>
      </w:pPr>
      <w:r>
        <w:rPr>
          <w:rFonts w:ascii="Arial" w:hAnsi="Arial" w:cs="Arial"/>
          <w:b/>
        </w:rPr>
        <w:lastRenderedPageBreak/>
        <w:t>Introduction</w:t>
      </w:r>
    </w:p>
    <w:p w14:paraId="73C9348A" w14:textId="16BBA062" w:rsidR="00B75873" w:rsidRPr="00B75873" w:rsidRDefault="00B75873" w:rsidP="00A23C39">
      <w:pPr>
        <w:spacing w:after="120"/>
        <w:jc w:val="both"/>
        <w:rPr>
          <w:rFonts w:ascii="Calibri" w:hAnsi="Calibri"/>
          <w:sz w:val="22"/>
          <w:szCs w:val="22"/>
          <w:lang w:val="en-GB"/>
        </w:rPr>
      </w:pPr>
      <w:r w:rsidRPr="00B75873">
        <w:rPr>
          <w:rFonts w:ascii="Calibri" w:hAnsi="Calibri"/>
          <w:sz w:val="22"/>
          <w:szCs w:val="22"/>
          <w:lang w:val="en-GB"/>
        </w:rPr>
        <w:t xml:space="preserve">This paper summarises inputs from </w:t>
      </w:r>
      <w:r w:rsidR="00162AD5">
        <w:rPr>
          <w:rFonts w:ascii="Calibri" w:hAnsi="Calibri"/>
          <w:sz w:val="22"/>
          <w:szCs w:val="22"/>
          <w:lang w:val="en-GB"/>
        </w:rPr>
        <w:t xml:space="preserve">two surveys conducted by the workstream co-convenors Sweden and ICRC of donors and humanitarian agencies that have signed the </w:t>
      </w:r>
      <w:r w:rsidRPr="00B75873">
        <w:rPr>
          <w:rFonts w:ascii="Calibri" w:hAnsi="Calibri"/>
          <w:sz w:val="22"/>
          <w:szCs w:val="22"/>
          <w:lang w:val="en-GB"/>
        </w:rPr>
        <w:t xml:space="preserve">Grand Bargain. Its aim is to synthesise the issues, concerns and positions of </w:t>
      </w:r>
      <w:r w:rsidR="00162AD5">
        <w:rPr>
          <w:rFonts w:ascii="Calibri" w:hAnsi="Calibri"/>
          <w:sz w:val="22"/>
          <w:szCs w:val="22"/>
          <w:lang w:val="en-GB"/>
        </w:rPr>
        <w:t>respondents,</w:t>
      </w:r>
      <w:r w:rsidRPr="00B75873">
        <w:rPr>
          <w:rFonts w:ascii="Calibri" w:hAnsi="Calibri"/>
          <w:sz w:val="22"/>
          <w:szCs w:val="22"/>
          <w:lang w:val="en-GB"/>
        </w:rPr>
        <w:t xml:space="preserve"> </w:t>
      </w:r>
      <w:r w:rsidR="00162AD5">
        <w:rPr>
          <w:rFonts w:ascii="Calibri" w:hAnsi="Calibri"/>
          <w:sz w:val="22"/>
          <w:szCs w:val="22"/>
          <w:lang w:val="en-GB"/>
        </w:rPr>
        <w:t xml:space="preserve">and </w:t>
      </w:r>
      <w:r w:rsidRPr="00B75873">
        <w:rPr>
          <w:rFonts w:ascii="Calibri" w:hAnsi="Calibri"/>
          <w:sz w:val="22"/>
          <w:szCs w:val="22"/>
          <w:lang w:val="en-GB"/>
        </w:rPr>
        <w:t>to present issues that require further di</w:t>
      </w:r>
      <w:r w:rsidR="00162AD5">
        <w:rPr>
          <w:rFonts w:ascii="Calibri" w:hAnsi="Calibri"/>
          <w:sz w:val="22"/>
          <w:szCs w:val="22"/>
          <w:lang w:val="en-GB"/>
        </w:rPr>
        <w:t>scussion, clarity and consensus</w:t>
      </w:r>
      <w:r w:rsidRPr="00B75873">
        <w:rPr>
          <w:rFonts w:ascii="Calibri" w:hAnsi="Calibri"/>
          <w:sz w:val="22"/>
          <w:szCs w:val="22"/>
          <w:lang w:val="en-GB"/>
        </w:rPr>
        <w:t>.</w:t>
      </w:r>
      <w:r w:rsidR="00162AD5">
        <w:rPr>
          <w:rFonts w:ascii="Calibri" w:hAnsi="Calibri"/>
          <w:sz w:val="22"/>
          <w:szCs w:val="22"/>
          <w:lang w:val="en-GB"/>
        </w:rPr>
        <w:t xml:space="preserve"> The workshop in Geneva on 29</w:t>
      </w:r>
      <w:r w:rsidR="00162AD5" w:rsidRPr="00162AD5">
        <w:rPr>
          <w:rFonts w:ascii="Calibri" w:hAnsi="Calibri"/>
          <w:sz w:val="22"/>
          <w:szCs w:val="22"/>
          <w:vertAlign w:val="superscript"/>
          <w:lang w:val="en-GB"/>
        </w:rPr>
        <w:t>th</w:t>
      </w:r>
      <w:r w:rsidR="00162AD5">
        <w:rPr>
          <w:rFonts w:ascii="Calibri" w:hAnsi="Calibri"/>
          <w:sz w:val="22"/>
          <w:szCs w:val="22"/>
          <w:lang w:val="en-GB"/>
        </w:rPr>
        <w:t xml:space="preserve"> May is an opportunity for participants to identify ways forward on these issues.</w:t>
      </w:r>
      <w:r w:rsidRPr="00B75873">
        <w:rPr>
          <w:rFonts w:ascii="Calibri" w:hAnsi="Calibri"/>
          <w:sz w:val="22"/>
          <w:szCs w:val="22"/>
          <w:lang w:val="en-GB"/>
        </w:rPr>
        <w:t xml:space="preserve"> </w:t>
      </w:r>
    </w:p>
    <w:p w14:paraId="03045C62" w14:textId="37047C69" w:rsidR="00043927" w:rsidRPr="00A23C39" w:rsidRDefault="00B75873" w:rsidP="00A23C39">
      <w:pPr>
        <w:spacing w:after="120"/>
        <w:jc w:val="both"/>
        <w:rPr>
          <w:rFonts w:ascii="Calibri" w:hAnsi="Calibri"/>
          <w:i/>
          <w:sz w:val="22"/>
          <w:szCs w:val="22"/>
          <w:lang w:val="en-GB"/>
        </w:rPr>
      </w:pPr>
      <w:r w:rsidRPr="00B75873">
        <w:rPr>
          <w:rFonts w:ascii="Calibri" w:hAnsi="Calibri"/>
          <w:sz w:val="22"/>
          <w:szCs w:val="22"/>
          <w:lang w:val="en-GB"/>
        </w:rPr>
        <w:t xml:space="preserve">13 of the 22 donor signatories to the Grand Bargain responded to the survey. These were Australia, Canada, ECHO, Finland, Italy, the Netherlands, Norway, Slovenia, Spain, Sweden, Switzerland, the UK, and the US. </w:t>
      </w:r>
      <w:r w:rsidR="00442129">
        <w:rPr>
          <w:rFonts w:ascii="Calibri" w:hAnsi="Calibri"/>
          <w:sz w:val="22"/>
          <w:szCs w:val="22"/>
          <w:lang w:val="en-GB"/>
        </w:rPr>
        <w:t>This paper also reflects the input of ICRC, six UN agencies (</w:t>
      </w:r>
      <w:r w:rsidR="00442129" w:rsidRPr="00442129">
        <w:rPr>
          <w:rStyle w:val="IntenseEmphasis"/>
          <w:rFonts w:ascii="Calibri" w:hAnsi="Calibri"/>
          <w:i w:val="0"/>
          <w:color w:val="auto"/>
          <w:sz w:val="22"/>
          <w:szCs w:val="22"/>
        </w:rPr>
        <w:t>UNFPA, UNHCR, FAO, OCHA, UNICEF and WHO) and one NGO (Christian Aid)</w:t>
      </w:r>
      <w:r w:rsidR="00442129">
        <w:rPr>
          <w:rStyle w:val="IntenseEmphasis"/>
          <w:rFonts w:ascii="Calibri" w:hAnsi="Calibri"/>
          <w:i w:val="0"/>
          <w:color w:val="auto"/>
          <w:sz w:val="22"/>
          <w:szCs w:val="22"/>
        </w:rPr>
        <w:t xml:space="preserve"> to the survey of humanitarian agencies. </w:t>
      </w:r>
      <w:r w:rsidR="00412990" w:rsidRPr="00B75873">
        <w:rPr>
          <w:rFonts w:ascii="Calibri" w:hAnsi="Calibri"/>
          <w:sz w:val="22"/>
          <w:szCs w:val="22"/>
          <w:lang w:val="en-GB"/>
        </w:rPr>
        <w:t xml:space="preserve">While this represents a good spread of opinions, the following analysis should be read with the qualification that </w:t>
      </w:r>
      <w:r w:rsidR="00412990">
        <w:rPr>
          <w:rFonts w:ascii="Calibri" w:hAnsi="Calibri"/>
          <w:sz w:val="22"/>
          <w:szCs w:val="22"/>
          <w:lang w:val="en-GB"/>
        </w:rPr>
        <w:t>a limited number of agency</w:t>
      </w:r>
      <w:r w:rsidR="00412990" w:rsidRPr="00B75873">
        <w:rPr>
          <w:rFonts w:ascii="Calibri" w:hAnsi="Calibri"/>
          <w:sz w:val="22"/>
          <w:szCs w:val="22"/>
          <w:lang w:val="en-GB"/>
        </w:rPr>
        <w:t xml:space="preserve"> perspectives </w:t>
      </w:r>
      <w:r w:rsidR="00412990">
        <w:rPr>
          <w:rFonts w:ascii="Calibri" w:hAnsi="Calibri"/>
          <w:sz w:val="22"/>
          <w:szCs w:val="22"/>
          <w:lang w:val="en-GB"/>
        </w:rPr>
        <w:t xml:space="preserve">(particularly those of NGOs) </w:t>
      </w:r>
      <w:r w:rsidR="00412990" w:rsidRPr="00B75873">
        <w:rPr>
          <w:rFonts w:ascii="Calibri" w:hAnsi="Calibri"/>
          <w:sz w:val="22"/>
          <w:szCs w:val="22"/>
          <w:lang w:val="en-GB"/>
        </w:rPr>
        <w:t>are included at this stage.</w:t>
      </w:r>
    </w:p>
    <w:p w14:paraId="257AE325" w14:textId="5BD14D3E" w:rsidR="00043927" w:rsidRPr="00823FB4" w:rsidRDefault="00726849" w:rsidP="00A23C39">
      <w:pPr>
        <w:spacing w:after="120"/>
        <w:jc w:val="both"/>
        <w:rPr>
          <w:rFonts w:ascii="Calibri" w:hAnsi="Calibri"/>
          <w:sz w:val="22"/>
          <w:szCs w:val="22"/>
          <w:lang w:val="en-GB"/>
        </w:rPr>
      </w:pPr>
      <w:r>
        <w:rPr>
          <w:rFonts w:ascii="Calibri" w:hAnsi="Calibri"/>
          <w:sz w:val="22"/>
          <w:szCs w:val="22"/>
          <w:lang w:val="en-GB"/>
        </w:rPr>
        <w:t xml:space="preserve">This paper starts by discussing the need for partners involved in the workstream on reducing earmarking to agree on the purpose and advantages of flexible financing. </w:t>
      </w:r>
      <w:r w:rsidR="00043927">
        <w:rPr>
          <w:rFonts w:ascii="Calibri" w:hAnsi="Calibri"/>
          <w:sz w:val="22"/>
          <w:szCs w:val="22"/>
          <w:lang w:val="en-GB"/>
        </w:rPr>
        <w:t xml:space="preserve">It incorporates findings from the survey of agencies into discussions of specific issues while a table </w:t>
      </w:r>
      <w:r>
        <w:rPr>
          <w:rFonts w:ascii="Calibri" w:hAnsi="Calibri"/>
          <w:sz w:val="22"/>
          <w:szCs w:val="22"/>
          <w:lang w:val="en-GB"/>
        </w:rPr>
        <w:t>analyse</w:t>
      </w:r>
      <w:r w:rsidR="00043927">
        <w:rPr>
          <w:rFonts w:ascii="Calibri" w:hAnsi="Calibri"/>
          <w:sz w:val="22"/>
          <w:szCs w:val="22"/>
          <w:lang w:val="en-GB"/>
        </w:rPr>
        <w:t>s</w:t>
      </w:r>
      <w:r>
        <w:rPr>
          <w:rFonts w:ascii="Calibri" w:hAnsi="Calibri"/>
          <w:sz w:val="22"/>
          <w:szCs w:val="22"/>
          <w:lang w:val="en-GB"/>
        </w:rPr>
        <w:t xml:space="preserve"> the responses to </w:t>
      </w:r>
      <w:r w:rsidR="00043927">
        <w:rPr>
          <w:rFonts w:ascii="Calibri" w:hAnsi="Calibri"/>
          <w:sz w:val="22"/>
          <w:szCs w:val="22"/>
          <w:lang w:val="en-GB"/>
        </w:rPr>
        <w:t xml:space="preserve">the donor </w:t>
      </w:r>
      <w:r>
        <w:rPr>
          <w:rFonts w:ascii="Calibri" w:hAnsi="Calibri"/>
          <w:sz w:val="22"/>
          <w:szCs w:val="22"/>
          <w:lang w:val="en-GB"/>
        </w:rPr>
        <w:t xml:space="preserve">survey, grouping </w:t>
      </w:r>
      <w:r w:rsidR="00043927">
        <w:rPr>
          <w:rFonts w:ascii="Calibri" w:hAnsi="Calibri"/>
          <w:sz w:val="22"/>
          <w:szCs w:val="22"/>
          <w:lang w:val="en-GB"/>
        </w:rPr>
        <w:t>them into</w:t>
      </w:r>
      <w:r>
        <w:rPr>
          <w:rFonts w:ascii="Calibri" w:hAnsi="Calibri"/>
          <w:sz w:val="22"/>
          <w:szCs w:val="22"/>
          <w:lang w:val="en-GB"/>
        </w:rPr>
        <w:t xml:space="preserve"> key themes. The paper concludes by highlighting the need to take account of links between this workstream and the other Grand Bargain commitments.</w:t>
      </w:r>
      <w:r w:rsidR="00043927">
        <w:rPr>
          <w:rFonts w:ascii="Calibri" w:hAnsi="Calibri"/>
          <w:sz w:val="22"/>
          <w:szCs w:val="22"/>
          <w:lang w:val="en-GB"/>
        </w:rPr>
        <w:t xml:space="preserve"> Annex 1 </w:t>
      </w:r>
      <w:r w:rsidR="005507A5">
        <w:rPr>
          <w:rFonts w:ascii="Calibri" w:hAnsi="Calibri"/>
          <w:sz w:val="22"/>
          <w:szCs w:val="22"/>
          <w:lang w:val="en-GB"/>
        </w:rPr>
        <w:t xml:space="preserve">lists other Grand Bargain commitments and the opportunities and risks that these pose for the workstream and commitments on reducing earmarking. </w:t>
      </w:r>
    </w:p>
    <w:p w14:paraId="3D9C6273" w14:textId="74E9DE69" w:rsidR="003E571B" w:rsidRPr="00823FB4" w:rsidRDefault="00723C45" w:rsidP="00473D9C">
      <w:pPr>
        <w:pStyle w:val="ListParagraph"/>
        <w:numPr>
          <w:ilvl w:val="0"/>
          <w:numId w:val="1"/>
        </w:numPr>
        <w:rPr>
          <w:rFonts w:ascii="Calibri" w:hAnsi="Calibri"/>
          <w:b/>
          <w:i/>
          <w:sz w:val="22"/>
          <w:szCs w:val="22"/>
          <w:lang w:val="en-GB"/>
        </w:rPr>
      </w:pPr>
      <w:r w:rsidRPr="00823FB4">
        <w:rPr>
          <w:rFonts w:ascii="Calibri" w:hAnsi="Calibri"/>
          <w:b/>
          <w:i/>
          <w:sz w:val="22"/>
          <w:szCs w:val="22"/>
          <w:lang w:val="en-GB"/>
        </w:rPr>
        <w:t>Mutual agreement on the properties and purpose of flexible financing</w:t>
      </w:r>
      <w:r w:rsidR="00473D9C" w:rsidRPr="00823FB4">
        <w:rPr>
          <w:rFonts w:ascii="Calibri" w:hAnsi="Calibri"/>
          <w:b/>
          <w:i/>
          <w:sz w:val="22"/>
          <w:szCs w:val="22"/>
          <w:lang w:val="en-GB"/>
        </w:rPr>
        <w:t xml:space="preserve"> </w:t>
      </w:r>
    </w:p>
    <w:p w14:paraId="078166AC" w14:textId="7C9F615D" w:rsidR="008753B1" w:rsidRPr="00823FB4" w:rsidRDefault="00473D9C" w:rsidP="00A23C39">
      <w:pPr>
        <w:spacing w:after="120"/>
        <w:jc w:val="both"/>
        <w:rPr>
          <w:rFonts w:ascii="Calibri" w:hAnsi="Calibri"/>
          <w:sz w:val="22"/>
          <w:szCs w:val="22"/>
          <w:lang w:val="en-GB"/>
        </w:rPr>
      </w:pPr>
      <w:r w:rsidRPr="00823FB4">
        <w:rPr>
          <w:rFonts w:ascii="Calibri" w:hAnsi="Calibri"/>
          <w:sz w:val="22"/>
          <w:szCs w:val="22"/>
          <w:lang w:val="en-GB"/>
        </w:rPr>
        <w:t xml:space="preserve">The problem statement underpinning the Grand Bargain </w:t>
      </w:r>
      <w:r w:rsidR="008336EF" w:rsidRPr="00823FB4">
        <w:rPr>
          <w:rFonts w:ascii="Calibri" w:hAnsi="Calibri"/>
          <w:sz w:val="22"/>
          <w:szCs w:val="22"/>
          <w:lang w:val="en-GB"/>
        </w:rPr>
        <w:t xml:space="preserve">commitments </w:t>
      </w:r>
      <w:r w:rsidR="008753B1" w:rsidRPr="00823FB4">
        <w:rPr>
          <w:rFonts w:ascii="Calibri" w:hAnsi="Calibri"/>
          <w:sz w:val="22"/>
          <w:szCs w:val="22"/>
          <w:lang w:val="en-GB"/>
        </w:rPr>
        <w:t>on</w:t>
      </w:r>
      <w:r w:rsidR="008336EF" w:rsidRPr="00823FB4">
        <w:rPr>
          <w:rFonts w:ascii="Calibri" w:hAnsi="Calibri"/>
          <w:sz w:val="22"/>
          <w:szCs w:val="22"/>
          <w:lang w:val="en-GB"/>
        </w:rPr>
        <w:t xml:space="preserve"> flexible funding </w:t>
      </w:r>
      <w:r w:rsidR="00E94872">
        <w:rPr>
          <w:rFonts w:ascii="Calibri" w:hAnsi="Calibri"/>
          <w:sz w:val="22"/>
          <w:szCs w:val="22"/>
          <w:lang w:val="en-GB"/>
        </w:rPr>
        <w:t>suggests</w:t>
      </w:r>
      <w:r w:rsidR="008336EF" w:rsidRPr="00823FB4">
        <w:rPr>
          <w:rFonts w:ascii="Calibri" w:hAnsi="Calibri"/>
          <w:sz w:val="22"/>
          <w:szCs w:val="22"/>
          <w:lang w:val="en-GB"/>
        </w:rPr>
        <w:t xml:space="preserve"> </w:t>
      </w:r>
      <w:r w:rsidR="008753B1" w:rsidRPr="00823FB4">
        <w:rPr>
          <w:rFonts w:ascii="Calibri" w:hAnsi="Calibri"/>
          <w:sz w:val="22"/>
          <w:szCs w:val="22"/>
          <w:lang w:val="en-GB"/>
        </w:rPr>
        <w:t>a wide range of benefits</w:t>
      </w:r>
      <w:r w:rsidR="00E94872">
        <w:rPr>
          <w:rFonts w:ascii="Calibri" w:hAnsi="Calibri"/>
          <w:sz w:val="22"/>
          <w:szCs w:val="22"/>
          <w:lang w:val="en-GB"/>
        </w:rPr>
        <w:t xml:space="preserve"> of un-earmarked funding,</w:t>
      </w:r>
      <w:r w:rsidR="008753B1" w:rsidRPr="00823FB4">
        <w:rPr>
          <w:rFonts w:ascii="Calibri" w:hAnsi="Calibri"/>
          <w:sz w:val="22"/>
          <w:szCs w:val="22"/>
          <w:lang w:val="en-GB"/>
        </w:rPr>
        <w:t xml:space="preserve"> including enabling</w:t>
      </w:r>
      <w:r w:rsidR="008336EF" w:rsidRPr="00823FB4">
        <w:rPr>
          <w:rFonts w:ascii="Calibri" w:hAnsi="Calibri"/>
          <w:sz w:val="22"/>
          <w:szCs w:val="22"/>
          <w:lang w:val="en-GB"/>
        </w:rPr>
        <w:t xml:space="preserve"> more rapid response; </w:t>
      </w:r>
      <w:r w:rsidR="00E94872">
        <w:rPr>
          <w:rFonts w:ascii="Calibri" w:hAnsi="Calibri"/>
          <w:sz w:val="22"/>
          <w:szCs w:val="22"/>
          <w:lang w:val="en-GB"/>
        </w:rPr>
        <w:t xml:space="preserve">supporting </w:t>
      </w:r>
      <w:r w:rsidR="008336EF" w:rsidRPr="00823FB4">
        <w:rPr>
          <w:rFonts w:ascii="Calibri" w:hAnsi="Calibri"/>
          <w:sz w:val="22"/>
          <w:szCs w:val="22"/>
          <w:lang w:val="en-GB"/>
        </w:rPr>
        <w:t xml:space="preserve">response in challenging environments and neglected crises; </w:t>
      </w:r>
      <w:r w:rsidR="00E94872">
        <w:rPr>
          <w:rFonts w:ascii="Calibri" w:hAnsi="Calibri"/>
          <w:sz w:val="22"/>
          <w:szCs w:val="22"/>
          <w:lang w:val="en-GB"/>
        </w:rPr>
        <w:t xml:space="preserve">increasing </w:t>
      </w:r>
      <w:r w:rsidR="008336EF" w:rsidRPr="00823FB4">
        <w:rPr>
          <w:rFonts w:ascii="Calibri" w:hAnsi="Calibri"/>
          <w:sz w:val="22"/>
          <w:szCs w:val="22"/>
          <w:lang w:val="en-GB"/>
        </w:rPr>
        <w:t xml:space="preserve">investments in disaster </w:t>
      </w:r>
      <w:r w:rsidR="00E94872">
        <w:rPr>
          <w:rFonts w:ascii="Calibri" w:hAnsi="Calibri"/>
          <w:sz w:val="22"/>
          <w:szCs w:val="22"/>
          <w:lang w:val="en-GB"/>
        </w:rPr>
        <w:t>preparedness; strengthened</w:t>
      </w:r>
      <w:r w:rsidR="008336EF" w:rsidRPr="00823FB4">
        <w:rPr>
          <w:rFonts w:ascii="Calibri" w:hAnsi="Calibri"/>
          <w:sz w:val="22"/>
          <w:szCs w:val="22"/>
          <w:lang w:val="en-GB"/>
        </w:rPr>
        <w:t xml:space="preserve"> decision making bodies (of both affected states and donors); </w:t>
      </w:r>
      <w:r w:rsidR="008753B1" w:rsidRPr="00823FB4">
        <w:rPr>
          <w:rFonts w:ascii="Calibri" w:hAnsi="Calibri"/>
          <w:sz w:val="22"/>
          <w:szCs w:val="22"/>
          <w:lang w:val="en-GB"/>
        </w:rPr>
        <w:t>strengthened management systems; the use of more cost-efficient tools; and a more cost-efficient grant administration process</w:t>
      </w:r>
      <w:r w:rsidR="005507A5">
        <w:rPr>
          <w:rFonts w:ascii="Calibri" w:hAnsi="Calibri"/>
          <w:sz w:val="22"/>
          <w:szCs w:val="22"/>
          <w:lang w:val="en-GB"/>
        </w:rPr>
        <w:t xml:space="preserve"> (see Annex 1)</w:t>
      </w:r>
      <w:r w:rsidR="008753B1" w:rsidRPr="00823FB4">
        <w:rPr>
          <w:rFonts w:ascii="Calibri" w:hAnsi="Calibri"/>
          <w:sz w:val="22"/>
          <w:szCs w:val="22"/>
          <w:lang w:val="en-GB"/>
        </w:rPr>
        <w:t xml:space="preserve">. In addition to this wide array of potential advantages, the Grand Bargain acknowledges that </w:t>
      </w:r>
      <w:r w:rsidR="00776805" w:rsidRPr="00823FB4">
        <w:rPr>
          <w:rFonts w:ascii="Calibri" w:hAnsi="Calibri"/>
          <w:sz w:val="22"/>
          <w:szCs w:val="22"/>
          <w:lang w:val="en-GB"/>
        </w:rPr>
        <w:t>donors provide varying degrees of flexibility</w:t>
      </w:r>
      <w:r w:rsidR="008753B1" w:rsidRPr="00823FB4">
        <w:rPr>
          <w:rFonts w:ascii="Calibri" w:hAnsi="Calibri"/>
          <w:sz w:val="22"/>
          <w:szCs w:val="22"/>
          <w:lang w:val="en-GB"/>
        </w:rPr>
        <w:t xml:space="preserve">. </w:t>
      </w:r>
      <w:r w:rsidR="00AB35E7">
        <w:rPr>
          <w:rFonts w:ascii="Calibri" w:hAnsi="Calibri"/>
          <w:sz w:val="22"/>
          <w:szCs w:val="22"/>
          <w:lang w:val="en-GB"/>
        </w:rPr>
        <w:t xml:space="preserve">Thus, the Grand Bargain adds </w:t>
      </w:r>
      <w:r w:rsidR="009F49DD">
        <w:rPr>
          <w:rFonts w:ascii="Calibri" w:hAnsi="Calibri"/>
          <w:sz w:val="22"/>
          <w:szCs w:val="22"/>
          <w:lang w:val="en-GB"/>
        </w:rPr>
        <w:t>different</w:t>
      </w:r>
      <w:r w:rsidR="00AB35E7">
        <w:rPr>
          <w:rFonts w:ascii="Calibri" w:hAnsi="Calibri"/>
          <w:sz w:val="22"/>
          <w:szCs w:val="22"/>
          <w:lang w:val="en-GB"/>
        </w:rPr>
        <w:t xml:space="preserve"> dimensions to </w:t>
      </w:r>
      <w:r w:rsidR="00E94872">
        <w:rPr>
          <w:rFonts w:ascii="Calibri" w:hAnsi="Calibri"/>
          <w:sz w:val="22"/>
          <w:szCs w:val="22"/>
          <w:lang w:val="en-GB"/>
        </w:rPr>
        <w:t>the collective understanding</w:t>
      </w:r>
      <w:r w:rsidR="00AB35E7">
        <w:rPr>
          <w:rFonts w:ascii="Calibri" w:hAnsi="Calibri"/>
          <w:sz w:val="22"/>
          <w:szCs w:val="22"/>
          <w:lang w:val="en-GB"/>
        </w:rPr>
        <w:t xml:space="preserve"> of what constitutes flexible financing and its benefits.</w:t>
      </w:r>
    </w:p>
    <w:p w14:paraId="1E9FA176" w14:textId="703E345B" w:rsidR="00026FB7" w:rsidRDefault="008753B1" w:rsidP="006D5745">
      <w:pPr>
        <w:spacing w:after="120"/>
        <w:contextualSpacing/>
        <w:jc w:val="both"/>
        <w:rPr>
          <w:rFonts w:ascii="Calibri" w:hAnsi="Calibri"/>
          <w:sz w:val="22"/>
          <w:szCs w:val="22"/>
          <w:lang w:val="en-GB"/>
        </w:rPr>
      </w:pPr>
      <w:r w:rsidRPr="00823FB4">
        <w:rPr>
          <w:rFonts w:ascii="Calibri" w:hAnsi="Calibri"/>
          <w:sz w:val="22"/>
          <w:szCs w:val="22"/>
          <w:lang w:val="en-GB"/>
        </w:rPr>
        <w:t>Based on the feedback gathered from donors, it appear</w:t>
      </w:r>
      <w:r w:rsidR="00AB35E7">
        <w:rPr>
          <w:rFonts w:ascii="Calibri" w:hAnsi="Calibri"/>
          <w:sz w:val="22"/>
          <w:szCs w:val="22"/>
          <w:lang w:val="en-GB"/>
        </w:rPr>
        <w:t>s</w:t>
      </w:r>
      <w:r w:rsidRPr="00823FB4">
        <w:rPr>
          <w:rFonts w:ascii="Calibri" w:hAnsi="Calibri"/>
          <w:sz w:val="22"/>
          <w:szCs w:val="22"/>
          <w:lang w:val="en-GB"/>
        </w:rPr>
        <w:t xml:space="preserve"> that </w:t>
      </w:r>
      <w:r w:rsidR="00517250">
        <w:rPr>
          <w:rFonts w:ascii="Calibri" w:hAnsi="Calibri"/>
          <w:sz w:val="22"/>
          <w:szCs w:val="22"/>
          <w:lang w:val="en-GB"/>
        </w:rPr>
        <w:t>t</w:t>
      </w:r>
      <w:r w:rsidR="001050D4">
        <w:rPr>
          <w:rFonts w:ascii="Calibri" w:hAnsi="Calibri"/>
          <w:sz w:val="22"/>
          <w:szCs w:val="22"/>
          <w:lang w:val="en-GB"/>
        </w:rPr>
        <w:t xml:space="preserve">here are varying </w:t>
      </w:r>
      <w:r w:rsidR="00E94872">
        <w:rPr>
          <w:rFonts w:ascii="Calibri" w:hAnsi="Calibri"/>
          <w:sz w:val="22"/>
          <w:szCs w:val="22"/>
          <w:lang w:val="en-GB"/>
        </w:rPr>
        <w:t>views about</w:t>
      </w:r>
      <w:r w:rsidRPr="00823FB4">
        <w:rPr>
          <w:rFonts w:ascii="Calibri" w:hAnsi="Calibri"/>
          <w:sz w:val="22"/>
          <w:szCs w:val="22"/>
          <w:lang w:val="en-GB"/>
        </w:rPr>
        <w:t xml:space="preserve"> the purpose, benefits and rationale for flexible funding. In particular, </w:t>
      </w:r>
      <w:r w:rsidR="00AB35E7">
        <w:rPr>
          <w:rFonts w:ascii="Calibri" w:hAnsi="Calibri"/>
          <w:sz w:val="22"/>
          <w:szCs w:val="22"/>
          <w:lang w:val="en-GB"/>
        </w:rPr>
        <w:t>the</w:t>
      </w:r>
      <w:r w:rsidR="00517250">
        <w:rPr>
          <w:rFonts w:ascii="Calibri" w:hAnsi="Calibri"/>
          <w:sz w:val="22"/>
          <w:szCs w:val="22"/>
          <w:lang w:val="en-GB"/>
        </w:rPr>
        <w:t xml:space="preserve"> </w:t>
      </w:r>
      <w:r w:rsidR="00E47260" w:rsidRPr="00823FB4">
        <w:rPr>
          <w:rFonts w:ascii="Calibri" w:hAnsi="Calibri"/>
          <w:sz w:val="22"/>
          <w:szCs w:val="22"/>
          <w:lang w:val="en-GB"/>
        </w:rPr>
        <w:t xml:space="preserve">emphasis on criteria and justifications for allocating funding to particular </w:t>
      </w:r>
      <w:r w:rsidR="00D518A4">
        <w:rPr>
          <w:rFonts w:ascii="Calibri" w:hAnsi="Calibri"/>
          <w:sz w:val="22"/>
          <w:szCs w:val="22"/>
          <w:lang w:val="en-GB"/>
        </w:rPr>
        <w:t xml:space="preserve">(under-funded) </w:t>
      </w:r>
      <w:r w:rsidR="00E47260" w:rsidRPr="00823FB4">
        <w:rPr>
          <w:rFonts w:ascii="Calibri" w:hAnsi="Calibri"/>
          <w:sz w:val="22"/>
          <w:szCs w:val="22"/>
          <w:lang w:val="en-GB"/>
        </w:rPr>
        <w:t xml:space="preserve">crises indicates that </w:t>
      </w:r>
      <w:r w:rsidRPr="00823FB4">
        <w:rPr>
          <w:rFonts w:ascii="Calibri" w:hAnsi="Calibri"/>
          <w:sz w:val="22"/>
          <w:szCs w:val="22"/>
          <w:lang w:val="en-GB"/>
        </w:rPr>
        <w:t>many donors understand flexible financing as being a resource primarily intended to be allocated towards c</w:t>
      </w:r>
      <w:r w:rsidR="001009CB" w:rsidRPr="00823FB4">
        <w:rPr>
          <w:rFonts w:ascii="Calibri" w:hAnsi="Calibri"/>
          <w:sz w:val="22"/>
          <w:szCs w:val="22"/>
          <w:lang w:val="en-GB"/>
        </w:rPr>
        <w:t xml:space="preserve">risis response. </w:t>
      </w:r>
      <w:r w:rsidR="00776805" w:rsidRPr="00823FB4">
        <w:rPr>
          <w:rFonts w:ascii="Calibri" w:hAnsi="Calibri"/>
          <w:sz w:val="22"/>
          <w:szCs w:val="22"/>
          <w:lang w:val="en-GB"/>
        </w:rPr>
        <w:t xml:space="preserve">However, some donors see that flexible funding offers other benefits. </w:t>
      </w:r>
      <w:r w:rsidR="00AC61AC" w:rsidRPr="00823FB4">
        <w:rPr>
          <w:rFonts w:ascii="Calibri" w:hAnsi="Calibri"/>
          <w:sz w:val="22"/>
          <w:szCs w:val="22"/>
          <w:lang w:val="en-GB"/>
        </w:rPr>
        <w:t xml:space="preserve">One donor expressed strongly </w:t>
      </w:r>
      <w:r w:rsidR="00E94872">
        <w:rPr>
          <w:rFonts w:ascii="Calibri" w:hAnsi="Calibri"/>
          <w:sz w:val="22"/>
          <w:szCs w:val="22"/>
          <w:lang w:val="en-GB"/>
        </w:rPr>
        <w:t xml:space="preserve">that, for them, </w:t>
      </w:r>
      <w:r w:rsidR="00AC61AC" w:rsidRPr="00823FB4">
        <w:rPr>
          <w:rFonts w:ascii="Calibri" w:hAnsi="Calibri"/>
          <w:sz w:val="22"/>
          <w:szCs w:val="22"/>
          <w:lang w:val="en-GB"/>
        </w:rPr>
        <w:t xml:space="preserve">the rationale for core funding was to </w:t>
      </w:r>
      <w:r w:rsidR="00E94872">
        <w:rPr>
          <w:rFonts w:ascii="Calibri" w:hAnsi="Calibri"/>
          <w:sz w:val="22"/>
          <w:szCs w:val="22"/>
          <w:lang w:val="en-GB"/>
        </w:rPr>
        <w:t>invest in the standing respons</w:t>
      </w:r>
      <w:r w:rsidR="00AC61AC" w:rsidRPr="00823FB4">
        <w:rPr>
          <w:rFonts w:ascii="Calibri" w:hAnsi="Calibri"/>
          <w:sz w:val="22"/>
          <w:szCs w:val="22"/>
          <w:lang w:val="en-GB"/>
        </w:rPr>
        <w:t xml:space="preserve">e capacity and global reach of </w:t>
      </w:r>
      <w:r w:rsidR="00E94872">
        <w:rPr>
          <w:rFonts w:ascii="Calibri" w:hAnsi="Calibri"/>
          <w:sz w:val="22"/>
          <w:szCs w:val="22"/>
          <w:lang w:val="en-GB"/>
        </w:rPr>
        <w:t>partners</w:t>
      </w:r>
      <w:r w:rsidR="00AC61AC" w:rsidRPr="00823FB4">
        <w:rPr>
          <w:rFonts w:ascii="Calibri" w:hAnsi="Calibri"/>
          <w:sz w:val="22"/>
          <w:szCs w:val="22"/>
          <w:lang w:val="en-GB"/>
        </w:rPr>
        <w:t xml:space="preserve">. </w:t>
      </w:r>
    </w:p>
    <w:p w14:paraId="7F689C07" w14:textId="77777777" w:rsidR="00026FB7" w:rsidRDefault="00026FB7" w:rsidP="006D5745">
      <w:pPr>
        <w:spacing w:after="120"/>
        <w:contextualSpacing/>
        <w:jc w:val="both"/>
        <w:rPr>
          <w:rFonts w:ascii="Calibri" w:hAnsi="Calibri"/>
          <w:sz w:val="22"/>
          <w:szCs w:val="22"/>
          <w:lang w:val="en-GB"/>
        </w:rPr>
      </w:pPr>
    </w:p>
    <w:p w14:paraId="2F94AE00" w14:textId="6D01F6DE" w:rsidR="00BE1F12" w:rsidRDefault="00912548" w:rsidP="006D5745">
      <w:pPr>
        <w:spacing w:after="120"/>
        <w:contextualSpacing/>
        <w:jc w:val="both"/>
        <w:rPr>
          <w:rFonts w:ascii="Calibri" w:hAnsi="Calibri"/>
          <w:sz w:val="22"/>
          <w:szCs w:val="22"/>
          <w:lang w:val="en-GB"/>
        </w:rPr>
      </w:pPr>
      <w:r>
        <w:rPr>
          <w:rFonts w:ascii="Calibri" w:hAnsi="Calibri"/>
          <w:sz w:val="22"/>
          <w:szCs w:val="22"/>
          <w:lang w:val="en-GB"/>
        </w:rPr>
        <w:t xml:space="preserve">Responses to the agency survey show that flexible funding </w:t>
      </w:r>
      <w:r w:rsidR="00EA5569">
        <w:rPr>
          <w:rFonts w:ascii="Calibri" w:hAnsi="Calibri"/>
          <w:sz w:val="22"/>
          <w:szCs w:val="22"/>
          <w:lang w:val="en-GB"/>
        </w:rPr>
        <w:t>enables agencies to do a wide range of things, including</w:t>
      </w:r>
      <w:r w:rsidR="00D518A4">
        <w:rPr>
          <w:rFonts w:ascii="Calibri" w:hAnsi="Calibri"/>
          <w:sz w:val="22"/>
          <w:szCs w:val="22"/>
          <w:lang w:val="en-GB"/>
        </w:rPr>
        <w:t xml:space="preserve"> to</w:t>
      </w:r>
      <w:r w:rsidR="00BE1F12">
        <w:rPr>
          <w:rFonts w:ascii="Calibri" w:hAnsi="Calibri"/>
          <w:sz w:val="22"/>
          <w:szCs w:val="22"/>
          <w:lang w:val="en-GB"/>
        </w:rPr>
        <w:t xml:space="preserve">: </w:t>
      </w:r>
    </w:p>
    <w:p w14:paraId="2DD40781" w14:textId="77777777" w:rsidR="00BE1F12" w:rsidRDefault="00BE1F12" w:rsidP="00BE1F12">
      <w:pPr>
        <w:pStyle w:val="ListParagraph"/>
        <w:numPr>
          <w:ilvl w:val="0"/>
          <w:numId w:val="20"/>
        </w:numPr>
        <w:jc w:val="both"/>
        <w:rPr>
          <w:rFonts w:ascii="Calibri" w:hAnsi="Calibri"/>
          <w:sz w:val="22"/>
          <w:szCs w:val="22"/>
          <w:lang w:val="en-GB"/>
        </w:rPr>
      </w:pPr>
      <w:r w:rsidRPr="00BE1F12">
        <w:rPr>
          <w:rFonts w:ascii="Calibri" w:hAnsi="Calibri"/>
          <w:sz w:val="22"/>
          <w:szCs w:val="22"/>
          <w:lang w:val="en-GB"/>
        </w:rPr>
        <w:t>R</w:t>
      </w:r>
      <w:r w:rsidR="00587B87" w:rsidRPr="00BE1F12">
        <w:rPr>
          <w:rFonts w:ascii="Calibri" w:hAnsi="Calibri"/>
          <w:sz w:val="22"/>
          <w:szCs w:val="22"/>
          <w:lang w:val="en-GB"/>
        </w:rPr>
        <w:t xml:space="preserve">espond quickly to emergency situations before other funding arrives, </w:t>
      </w:r>
    </w:p>
    <w:p w14:paraId="4F7D51EB" w14:textId="77777777" w:rsidR="00026FB7" w:rsidRPr="00BE1F12" w:rsidRDefault="00026FB7" w:rsidP="00026FB7">
      <w:pPr>
        <w:pStyle w:val="ListParagraph"/>
        <w:numPr>
          <w:ilvl w:val="0"/>
          <w:numId w:val="20"/>
        </w:numPr>
        <w:spacing w:after="120"/>
        <w:jc w:val="both"/>
        <w:rPr>
          <w:rFonts w:ascii="Calibri" w:hAnsi="Calibri"/>
          <w:sz w:val="22"/>
          <w:szCs w:val="22"/>
          <w:lang w:val="en-GB"/>
        </w:rPr>
      </w:pPr>
      <w:r w:rsidRPr="00BE1F12">
        <w:rPr>
          <w:rFonts w:ascii="Calibri" w:hAnsi="Calibri"/>
          <w:sz w:val="22"/>
          <w:szCs w:val="22"/>
          <w:lang w:val="en-GB"/>
        </w:rPr>
        <w:t xml:space="preserve">Pre-position stocks in strategic locations, </w:t>
      </w:r>
    </w:p>
    <w:p w14:paraId="00536138" w14:textId="2A4418E9" w:rsidR="00026FB7" w:rsidRPr="00AB35E7" w:rsidRDefault="00026FB7" w:rsidP="00026FB7">
      <w:pPr>
        <w:pStyle w:val="ListParagraph"/>
        <w:numPr>
          <w:ilvl w:val="0"/>
          <w:numId w:val="20"/>
        </w:numPr>
        <w:jc w:val="both"/>
        <w:rPr>
          <w:rFonts w:ascii="Calibri" w:hAnsi="Calibri"/>
          <w:sz w:val="22"/>
          <w:szCs w:val="22"/>
          <w:lang w:val="en-GB"/>
        </w:rPr>
      </w:pPr>
      <w:r w:rsidRPr="00BE1F12">
        <w:rPr>
          <w:rFonts w:ascii="Calibri" w:hAnsi="Calibri"/>
          <w:sz w:val="22"/>
          <w:szCs w:val="22"/>
          <w:lang w:val="en-GB"/>
        </w:rPr>
        <w:t xml:space="preserve">Deploy technical experts to support country office responses to emergencies, </w:t>
      </w:r>
    </w:p>
    <w:p w14:paraId="3418EA0F" w14:textId="7DC3527F" w:rsidR="00026FB7" w:rsidRDefault="00BE1F12" w:rsidP="00BE1F12">
      <w:pPr>
        <w:pStyle w:val="ListParagraph"/>
        <w:numPr>
          <w:ilvl w:val="0"/>
          <w:numId w:val="20"/>
        </w:numPr>
        <w:jc w:val="both"/>
        <w:rPr>
          <w:rFonts w:ascii="Calibri" w:hAnsi="Calibri"/>
          <w:sz w:val="22"/>
          <w:szCs w:val="22"/>
          <w:lang w:val="en-GB"/>
        </w:rPr>
      </w:pPr>
      <w:r w:rsidRPr="00BE1F12">
        <w:rPr>
          <w:rFonts w:ascii="Calibri" w:hAnsi="Calibri"/>
          <w:sz w:val="22"/>
          <w:szCs w:val="22"/>
          <w:lang w:val="en-GB"/>
        </w:rPr>
        <w:t xml:space="preserve">Fill gaps due to insufficient levels of earmarked funding </w:t>
      </w:r>
      <w:r w:rsidR="002A7E1A">
        <w:rPr>
          <w:rFonts w:ascii="Calibri" w:hAnsi="Calibri"/>
          <w:sz w:val="22"/>
          <w:szCs w:val="22"/>
          <w:lang w:val="en-GB"/>
        </w:rPr>
        <w:t xml:space="preserve">including providing continuity of funding in protracted crises </w:t>
      </w:r>
      <w:r w:rsidR="00026FB7">
        <w:rPr>
          <w:rFonts w:ascii="Calibri" w:hAnsi="Calibri"/>
          <w:sz w:val="22"/>
          <w:szCs w:val="22"/>
          <w:lang w:val="en-GB"/>
        </w:rPr>
        <w:t>and funding under-funded crises</w:t>
      </w:r>
      <w:r w:rsidR="00AD04B3">
        <w:rPr>
          <w:rFonts w:ascii="Calibri" w:hAnsi="Calibri"/>
          <w:sz w:val="22"/>
          <w:szCs w:val="22"/>
          <w:lang w:val="en-GB"/>
        </w:rPr>
        <w:t>,</w:t>
      </w:r>
      <w:r w:rsidR="00026FB7">
        <w:rPr>
          <w:rFonts w:ascii="Calibri" w:hAnsi="Calibri"/>
          <w:sz w:val="22"/>
          <w:szCs w:val="22"/>
          <w:lang w:val="en-GB"/>
        </w:rPr>
        <w:t xml:space="preserve"> </w:t>
      </w:r>
    </w:p>
    <w:p w14:paraId="7F62C4FF" w14:textId="117C73DF" w:rsidR="00BE1F12" w:rsidRPr="00026FB7" w:rsidRDefault="00026FB7" w:rsidP="00026FB7">
      <w:pPr>
        <w:pStyle w:val="ListParagraph"/>
        <w:numPr>
          <w:ilvl w:val="0"/>
          <w:numId w:val="20"/>
        </w:numPr>
        <w:jc w:val="both"/>
        <w:rPr>
          <w:rFonts w:ascii="Calibri" w:hAnsi="Calibri"/>
          <w:sz w:val="22"/>
          <w:szCs w:val="22"/>
          <w:lang w:val="en-GB"/>
        </w:rPr>
      </w:pPr>
      <w:r w:rsidRPr="00BE1F12">
        <w:rPr>
          <w:rFonts w:ascii="Calibri" w:hAnsi="Calibri"/>
          <w:sz w:val="22"/>
          <w:szCs w:val="22"/>
          <w:lang w:val="en-GB"/>
        </w:rPr>
        <w:t xml:space="preserve">Better integrate humanitarian and development funding by bridging emergency interventions and longer-term investments, </w:t>
      </w:r>
    </w:p>
    <w:p w14:paraId="6D6203C2" w14:textId="6E75E197" w:rsidR="00BE1F12" w:rsidRPr="00BE1F12" w:rsidRDefault="00BE1F12" w:rsidP="00BE1F12">
      <w:pPr>
        <w:pStyle w:val="ListParagraph"/>
        <w:numPr>
          <w:ilvl w:val="0"/>
          <w:numId w:val="20"/>
        </w:numPr>
        <w:jc w:val="both"/>
        <w:rPr>
          <w:rFonts w:ascii="Calibri" w:hAnsi="Calibri"/>
          <w:sz w:val="22"/>
          <w:szCs w:val="22"/>
          <w:lang w:val="en-GB"/>
        </w:rPr>
      </w:pPr>
      <w:r w:rsidRPr="00BE1F12">
        <w:rPr>
          <w:rFonts w:ascii="Calibri" w:hAnsi="Calibri"/>
          <w:sz w:val="22"/>
          <w:szCs w:val="22"/>
          <w:lang w:val="en-GB"/>
        </w:rPr>
        <w:t xml:space="preserve">Fund global programmes, such as for partnerships, preparedness and policy development, </w:t>
      </w:r>
    </w:p>
    <w:p w14:paraId="77F2E28C" w14:textId="77777777" w:rsidR="00026FB7" w:rsidRDefault="00BE1F12" w:rsidP="006D5745">
      <w:pPr>
        <w:pStyle w:val="ListParagraph"/>
        <w:numPr>
          <w:ilvl w:val="0"/>
          <w:numId w:val="20"/>
        </w:numPr>
        <w:spacing w:after="120"/>
        <w:ind w:left="714" w:hanging="357"/>
        <w:jc w:val="both"/>
        <w:rPr>
          <w:rFonts w:ascii="Calibri" w:hAnsi="Calibri"/>
          <w:sz w:val="22"/>
          <w:szCs w:val="22"/>
          <w:lang w:val="en-GB"/>
        </w:rPr>
      </w:pPr>
      <w:r w:rsidRPr="00BE1F12">
        <w:rPr>
          <w:rFonts w:ascii="Calibri" w:hAnsi="Calibri"/>
          <w:sz w:val="22"/>
          <w:szCs w:val="22"/>
          <w:lang w:val="en-GB"/>
        </w:rPr>
        <w:t>I</w:t>
      </w:r>
      <w:r w:rsidR="006D5745">
        <w:rPr>
          <w:rFonts w:ascii="Calibri" w:hAnsi="Calibri"/>
          <w:sz w:val="22"/>
          <w:szCs w:val="22"/>
          <w:lang w:val="en-GB"/>
        </w:rPr>
        <w:t>dentify innovative solutions</w:t>
      </w:r>
      <w:r w:rsidR="00026FB7">
        <w:rPr>
          <w:rFonts w:ascii="Calibri" w:hAnsi="Calibri"/>
          <w:sz w:val="22"/>
          <w:szCs w:val="22"/>
          <w:lang w:val="en-GB"/>
        </w:rPr>
        <w:t xml:space="preserve"> to complex problems, </w:t>
      </w:r>
    </w:p>
    <w:p w14:paraId="6A5FF358" w14:textId="42F9B12E" w:rsidR="00BF127C" w:rsidRDefault="001050D4" w:rsidP="006D5745">
      <w:pPr>
        <w:pStyle w:val="ListParagraph"/>
        <w:numPr>
          <w:ilvl w:val="0"/>
          <w:numId w:val="20"/>
        </w:numPr>
        <w:spacing w:after="120"/>
        <w:ind w:left="714" w:hanging="357"/>
        <w:jc w:val="both"/>
        <w:rPr>
          <w:rFonts w:ascii="Calibri" w:hAnsi="Calibri"/>
          <w:sz w:val="22"/>
          <w:szCs w:val="22"/>
          <w:lang w:val="en-GB"/>
        </w:rPr>
      </w:pPr>
      <w:r>
        <w:rPr>
          <w:rFonts w:ascii="Calibri" w:hAnsi="Calibri"/>
          <w:sz w:val="22"/>
          <w:szCs w:val="22"/>
          <w:lang w:val="en-GB"/>
        </w:rPr>
        <w:t xml:space="preserve">Enable a reduction in grant-management and fundraising transaction costs, </w:t>
      </w:r>
      <w:r w:rsidR="00BF127C">
        <w:rPr>
          <w:rFonts w:ascii="Calibri" w:hAnsi="Calibri"/>
          <w:sz w:val="22"/>
          <w:szCs w:val="22"/>
          <w:lang w:val="en-GB"/>
        </w:rPr>
        <w:t xml:space="preserve"> </w:t>
      </w:r>
    </w:p>
    <w:p w14:paraId="6D15397B" w14:textId="60CC5F31" w:rsidR="008753B1" w:rsidRPr="00AB35E7" w:rsidRDefault="002C4A0C" w:rsidP="00A23C39">
      <w:pPr>
        <w:pStyle w:val="ListParagraph"/>
        <w:numPr>
          <w:ilvl w:val="0"/>
          <w:numId w:val="20"/>
        </w:numPr>
        <w:spacing w:after="120"/>
        <w:ind w:left="714" w:hanging="357"/>
        <w:jc w:val="both"/>
        <w:rPr>
          <w:rFonts w:ascii="Calibri" w:hAnsi="Calibri"/>
          <w:sz w:val="22"/>
          <w:szCs w:val="22"/>
          <w:lang w:val="en-GB"/>
        </w:rPr>
      </w:pPr>
      <w:r>
        <w:rPr>
          <w:rFonts w:ascii="Calibri" w:hAnsi="Calibri"/>
          <w:sz w:val="22"/>
          <w:szCs w:val="22"/>
          <w:lang w:val="en-GB"/>
        </w:rPr>
        <w:lastRenderedPageBreak/>
        <w:t xml:space="preserve">Compensate for shortfalls in core costs left by earmarked contributions. </w:t>
      </w:r>
    </w:p>
    <w:p w14:paraId="03DD7E34" w14:textId="1F0170A0" w:rsidR="009C720A" w:rsidRPr="00823FB4" w:rsidRDefault="00E94872" w:rsidP="00F81AA2">
      <w:pPr>
        <w:spacing w:after="120"/>
        <w:contextualSpacing/>
        <w:jc w:val="both"/>
        <w:rPr>
          <w:rFonts w:ascii="Calibri" w:hAnsi="Calibri"/>
          <w:sz w:val="22"/>
          <w:szCs w:val="22"/>
          <w:lang w:val="en-GB"/>
        </w:rPr>
      </w:pPr>
      <w:r>
        <w:rPr>
          <w:rFonts w:ascii="Calibri" w:hAnsi="Calibri"/>
          <w:sz w:val="22"/>
          <w:szCs w:val="22"/>
          <w:lang w:val="en-GB"/>
        </w:rPr>
        <w:t xml:space="preserve">These different views and uses of flexible funding highlight the need for greater clarity about its purpose and benefits. </w:t>
      </w:r>
      <w:r w:rsidR="009C720A" w:rsidRPr="00823FB4">
        <w:rPr>
          <w:rFonts w:ascii="Calibri" w:hAnsi="Calibri"/>
          <w:sz w:val="22"/>
          <w:szCs w:val="22"/>
          <w:lang w:val="en-GB"/>
        </w:rPr>
        <w:t xml:space="preserve">Sweden’s 2016 non-paper on the value of flexibility in humanitarian financing provides a concise summary of commonly identified </w:t>
      </w:r>
      <w:r>
        <w:rPr>
          <w:rFonts w:ascii="Calibri" w:hAnsi="Calibri"/>
          <w:sz w:val="22"/>
          <w:szCs w:val="22"/>
          <w:lang w:val="en-GB"/>
        </w:rPr>
        <w:t>characteristics</w:t>
      </w:r>
      <w:r w:rsidR="009C720A" w:rsidRPr="00823FB4">
        <w:rPr>
          <w:rFonts w:ascii="Calibri" w:hAnsi="Calibri"/>
          <w:sz w:val="22"/>
          <w:szCs w:val="22"/>
          <w:lang w:val="en-GB"/>
        </w:rPr>
        <w:t xml:space="preserve"> and comparative advantages</w:t>
      </w:r>
      <w:r w:rsidR="00392984" w:rsidRPr="00823FB4">
        <w:rPr>
          <w:rFonts w:ascii="Calibri" w:hAnsi="Calibri"/>
          <w:sz w:val="22"/>
          <w:szCs w:val="22"/>
          <w:lang w:val="en-GB"/>
        </w:rPr>
        <w:t xml:space="preserve"> of flexible funding</w:t>
      </w:r>
      <w:r w:rsidR="009C720A" w:rsidRPr="00823FB4">
        <w:rPr>
          <w:rFonts w:ascii="Calibri" w:hAnsi="Calibri"/>
          <w:sz w:val="22"/>
          <w:szCs w:val="22"/>
          <w:lang w:val="en-GB"/>
        </w:rPr>
        <w:t xml:space="preserve">: </w:t>
      </w:r>
    </w:p>
    <w:p w14:paraId="57BCBA18" w14:textId="545E4CDE" w:rsidR="009C720A" w:rsidRPr="00823FB4" w:rsidRDefault="009F49DD" w:rsidP="00E94872">
      <w:pPr>
        <w:pStyle w:val="ListParagraph"/>
        <w:numPr>
          <w:ilvl w:val="0"/>
          <w:numId w:val="8"/>
        </w:numPr>
        <w:spacing w:after="120"/>
        <w:jc w:val="both"/>
        <w:rPr>
          <w:rFonts w:ascii="Calibri" w:hAnsi="Calibri"/>
          <w:sz w:val="22"/>
          <w:szCs w:val="22"/>
          <w:lang w:val="en-GB"/>
        </w:rPr>
      </w:pPr>
      <w:r>
        <w:rPr>
          <w:rFonts w:ascii="Calibri" w:hAnsi="Calibri"/>
          <w:sz w:val="22"/>
          <w:szCs w:val="22"/>
          <w:lang w:val="en-GB"/>
        </w:rPr>
        <w:t>It provides organis</w:t>
      </w:r>
      <w:r w:rsidR="009C720A" w:rsidRPr="00823FB4">
        <w:rPr>
          <w:rFonts w:ascii="Calibri" w:hAnsi="Calibri"/>
          <w:sz w:val="22"/>
          <w:szCs w:val="22"/>
          <w:lang w:val="en-GB"/>
        </w:rPr>
        <w:t>ations with the flexibility to respond rapidly to the most pressing humanitarian needs;</w:t>
      </w:r>
    </w:p>
    <w:p w14:paraId="7B617D30" w14:textId="6240CD2D" w:rsidR="009C720A" w:rsidRPr="00823FB4" w:rsidRDefault="009F49DD" w:rsidP="00E94872">
      <w:pPr>
        <w:pStyle w:val="ListParagraph"/>
        <w:numPr>
          <w:ilvl w:val="0"/>
          <w:numId w:val="8"/>
        </w:numPr>
        <w:spacing w:after="120"/>
        <w:jc w:val="both"/>
        <w:rPr>
          <w:rFonts w:ascii="Calibri" w:hAnsi="Calibri"/>
          <w:sz w:val="22"/>
          <w:szCs w:val="22"/>
          <w:lang w:val="en-GB"/>
        </w:rPr>
      </w:pPr>
      <w:r>
        <w:rPr>
          <w:rFonts w:ascii="Calibri" w:hAnsi="Calibri"/>
          <w:sz w:val="22"/>
          <w:szCs w:val="22"/>
          <w:lang w:val="en-GB"/>
        </w:rPr>
        <w:t>It provides organis</w:t>
      </w:r>
      <w:r w:rsidR="009C720A" w:rsidRPr="00823FB4">
        <w:rPr>
          <w:rFonts w:ascii="Calibri" w:hAnsi="Calibri"/>
          <w:sz w:val="22"/>
          <w:szCs w:val="22"/>
          <w:lang w:val="en-GB"/>
        </w:rPr>
        <w:t>ations with the long-term stability to manage programmes and administration effectively; and</w:t>
      </w:r>
    </w:p>
    <w:p w14:paraId="2B93B053" w14:textId="4CFE61F1" w:rsidR="00921A9E" w:rsidRDefault="009F49DD" w:rsidP="00E94872">
      <w:pPr>
        <w:pStyle w:val="ListParagraph"/>
        <w:numPr>
          <w:ilvl w:val="0"/>
          <w:numId w:val="8"/>
        </w:numPr>
        <w:spacing w:after="120"/>
        <w:ind w:left="714" w:hanging="357"/>
        <w:contextualSpacing w:val="0"/>
        <w:jc w:val="both"/>
        <w:rPr>
          <w:rFonts w:ascii="Calibri" w:hAnsi="Calibri"/>
          <w:sz w:val="22"/>
          <w:szCs w:val="22"/>
          <w:lang w:val="en-GB"/>
        </w:rPr>
      </w:pPr>
      <w:r>
        <w:rPr>
          <w:rFonts w:ascii="Calibri" w:hAnsi="Calibri"/>
          <w:sz w:val="22"/>
          <w:szCs w:val="22"/>
          <w:lang w:val="en-GB"/>
        </w:rPr>
        <w:t>It ensures multilateral organis</w:t>
      </w:r>
      <w:r w:rsidR="009C720A" w:rsidRPr="00823FB4">
        <w:rPr>
          <w:rFonts w:ascii="Calibri" w:hAnsi="Calibri"/>
          <w:sz w:val="22"/>
          <w:szCs w:val="22"/>
          <w:lang w:val="en-GB"/>
        </w:rPr>
        <w:t xml:space="preserve">ations are resourced to implement the strategic plans, objectives and priorities </w:t>
      </w:r>
      <w:r w:rsidR="00517250">
        <w:rPr>
          <w:rFonts w:ascii="Calibri" w:hAnsi="Calibri"/>
          <w:sz w:val="22"/>
          <w:szCs w:val="22"/>
          <w:lang w:val="en-GB"/>
        </w:rPr>
        <w:t>that</w:t>
      </w:r>
      <w:r w:rsidR="009C720A" w:rsidRPr="00823FB4">
        <w:rPr>
          <w:rFonts w:ascii="Calibri" w:hAnsi="Calibri"/>
          <w:sz w:val="22"/>
          <w:szCs w:val="22"/>
          <w:lang w:val="en-GB"/>
        </w:rPr>
        <w:t xml:space="preserve"> have been democratically determined in relevant governance structures. This includes the capacity for principled humanitarian action.</w:t>
      </w:r>
    </w:p>
    <w:p w14:paraId="1DF13376" w14:textId="187DCECD" w:rsidR="00A454E2" w:rsidRDefault="000D4401" w:rsidP="00155D15">
      <w:pPr>
        <w:spacing w:after="120"/>
        <w:jc w:val="both"/>
        <w:rPr>
          <w:rFonts w:ascii="Calibri" w:hAnsi="Calibri"/>
          <w:sz w:val="22"/>
          <w:szCs w:val="22"/>
          <w:lang w:val="en-GB"/>
        </w:rPr>
      </w:pPr>
      <w:r>
        <w:rPr>
          <w:rFonts w:ascii="Calibri" w:hAnsi="Calibri"/>
          <w:sz w:val="22"/>
          <w:szCs w:val="22"/>
          <w:lang w:val="en-GB"/>
        </w:rPr>
        <w:t>Sweden’s definition is consistent with the practical benefits of flexible financing described by recipient organisations</w:t>
      </w:r>
      <w:r w:rsidR="00155D15">
        <w:rPr>
          <w:rFonts w:ascii="Calibri" w:hAnsi="Calibri"/>
          <w:sz w:val="22"/>
          <w:szCs w:val="22"/>
          <w:lang w:val="en-GB"/>
        </w:rPr>
        <w:t>.</w:t>
      </w:r>
      <w:r w:rsidR="00026FB7">
        <w:rPr>
          <w:rFonts w:ascii="Calibri" w:hAnsi="Calibri"/>
          <w:sz w:val="22"/>
          <w:szCs w:val="22"/>
          <w:lang w:val="en-GB"/>
        </w:rPr>
        <w:t xml:space="preserve"> </w:t>
      </w:r>
      <w:r w:rsidR="00155D15">
        <w:rPr>
          <w:rFonts w:ascii="Calibri" w:hAnsi="Calibri"/>
          <w:sz w:val="22"/>
          <w:szCs w:val="22"/>
          <w:lang w:val="en-GB"/>
        </w:rPr>
        <w:t>However,</w:t>
      </w:r>
      <w:r w:rsidR="002A7E1A">
        <w:rPr>
          <w:rFonts w:ascii="Calibri" w:hAnsi="Calibri"/>
          <w:sz w:val="22"/>
          <w:szCs w:val="22"/>
          <w:lang w:val="en-GB"/>
        </w:rPr>
        <w:t xml:space="preserve"> </w:t>
      </w:r>
      <w:r w:rsidR="00026FB7">
        <w:rPr>
          <w:rFonts w:ascii="Calibri" w:hAnsi="Calibri"/>
          <w:sz w:val="22"/>
          <w:szCs w:val="22"/>
          <w:lang w:val="en-GB"/>
        </w:rPr>
        <w:t>it reflects a</w:t>
      </w:r>
      <w:r w:rsidR="002A7E1A">
        <w:rPr>
          <w:rFonts w:ascii="Calibri" w:hAnsi="Calibri"/>
          <w:sz w:val="22"/>
          <w:szCs w:val="22"/>
          <w:lang w:val="en-GB"/>
        </w:rPr>
        <w:t xml:space="preserve"> more traditional </w:t>
      </w:r>
      <w:r w:rsidR="00155D15">
        <w:rPr>
          <w:rFonts w:ascii="Calibri" w:hAnsi="Calibri"/>
          <w:sz w:val="22"/>
          <w:szCs w:val="22"/>
          <w:lang w:val="en-GB"/>
        </w:rPr>
        <w:t>and</w:t>
      </w:r>
      <w:r w:rsidR="002A7E1A">
        <w:rPr>
          <w:rFonts w:ascii="Calibri" w:hAnsi="Calibri"/>
          <w:sz w:val="22"/>
          <w:szCs w:val="22"/>
          <w:lang w:val="en-GB"/>
        </w:rPr>
        <w:t xml:space="preserve"> narrower </w:t>
      </w:r>
      <w:r w:rsidR="00AA2CAE">
        <w:rPr>
          <w:rFonts w:ascii="Calibri" w:hAnsi="Calibri"/>
          <w:sz w:val="22"/>
          <w:szCs w:val="22"/>
          <w:lang w:val="en-GB"/>
        </w:rPr>
        <w:t>understanding</w:t>
      </w:r>
      <w:r w:rsidR="002A7E1A">
        <w:rPr>
          <w:rFonts w:ascii="Calibri" w:hAnsi="Calibri"/>
          <w:sz w:val="22"/>
          <w:szCs w:val="22"/>
          <w:lang w:val="en-GB"/>
        </w:rPr>
        <w:t xml:space="preserve"> of flexible funding centred on core contributions</w:t>
      </w:r>
      <w:r w:rsidR="00026FB7">
        <w:rPr>
          <w:rFonts w:ascii="Calibri" w:hAnsi="Calibri"/>
          <w:sz w:val="22"/>
          <w:szCs w:val="22"/>
          <w:lang w:val="en-GB"/>
        </w:rPr>
        <w:t>. The Grand Bargain</w:t>
      </w:r>
      <w:r w:rsidR="002A7E1A">
        <w:rPr>
          <w:rFonts w:ascii="Calibri" w:hAnsi="Calibri"/>
          <w:sz w:val="22"/>
          <w:szCs w:val="22"/>
          <w:lang w:val="en-GB"/>
        </w:rPr>
        <w:t xml:space="preserve"> considerably expands this definition </w:t>
      </w:r>
      <w:r w:rsidR="004A6586">
        <w:rPr>
          <w:rFonts w:ascii="Calibri" w:hAnsi="Calibri"/>
          <w:sz w:val="22"/>
          <w:szCs w:val="22"/>
          <w:lang w:val="en-GB"/>
        </w:rPr>
        <w:t>by identifying different degrees</w:t>
      </w:r>
      <w:r w:rsidR="002A7E1A">
        <w:rPr>
          <w:rFonts w:ascii="Calibri" w:hAnsi="Calibri"/>
          <w:sz w:val="22"/>
          <w:szCs w:val="22"/>
          <w:lang w:val="en-GB"/>
        </w:rPr>
        <w:t xml:space="preserve"> </w:t>
      </w:r>
      <w:r w:rsidR="004A6586">
        <w:rPr>
          <w:rFonts w:ascii="Calibri" w:hAnsi="Calibri"/>
          <w:sz w:val="22"/>
          <w:szCs w:val="22"/>
          <w:lang w:val="en-GB"/>
        </w:rPr>
        <w:t>of flexibility</w:t>
      </w:r>
      <w:r w:rsidR="002A7E1A">
        <w:rPr>
          <w:rFonts w:ascii="Calibri" w:hAnsi="Calibri"/>
          <w:sz w:val="22"/>
          <w:szCs w:val="22"/>
          <w:lang w:val="en-GB"/>
        </w:rPr>
        <w:t xml:space="preserve"> </w:t>
      </w:r>
      <w:r w:rsidR="004A6586">
        <w:rPr>
          <w:rFonts w:ascii="Calibri" w:hAnsi="Calibri"/>
          <w:sz w:val="22"/>
          <w:szCs w:val="22"/>
          <w:lang w:val="en-GB"/>
        </w:rPr>
        <w:t>that</w:t>
      </w:r>
      <w:r w:rsidR="002A7E1A">
        <w:rPr>
          <w:rFonts w:ascii="Calibri" w:hAnsi="Calibri"/>
          <w:sz w:val="22"/>
          <w:szCs w:val="22"/>
          <w:lang w:val="en-GB"/>
        </w:rPr>
        <w:t xml:space="preserve"> may offer </w:t>
      </w:r>
      <w:r w:rsidR="002A7E1A">
        <w:rPr>
          <w:rFonts w:ascii="Calibri" w:hAnsi="Calibri"/>
          <w:i/>
          <w:sz w:val="22"/>
          <w:szCs w:val="22"/>
          <w:lang w:val="en-GB"/>
        </w:rPr>
        <w:t>some</w:t>
      </w:r>
      <w:r w:rsidR="002A7E1A">
        <w:rPr>
          <w:rFonts w:ascii="Calibri" w:hAnsi="Calibri"/>
          <w:sz w:val="22"/>
          <w:szCs w:val="22"/>
          <w:lang w:val="en-GB"/>
        </w:rPr>
        <w:t xml:space="preserve"> but not all of the benefits envisaged in Sweden’s more classic definition.</w:t>
      </w:r>
      <w:r w:rsidR="00A454E2">
        <w:rPr>
          <w:rFonts w:ascii="Calibri" w:hAnsi="Calibri"/>
          <w:sz w:val="22"/>
          <w:szCs w:val="22"/>
          <w:lang w:val="en-GB"/>
        </w:rPr>
        <w:t xml:space="preserve"> For instance (and as noted below) inclusion of the CERF in the category of un</w:t>
      </w:r>
      <w:r w:rsidR="00155D15">
        <w:rPr>
          <w:rFonts w:ascii="Calibri" w:hAnsi="Calibri"/>
          <w:sz w:val="22"/>
          <w:szCs w:val="22"/>
          <w:lang w:val="en-GB"/>
        </w:rPr>
        <w:t>-</w:t>
      </w:r>
      <w:r w:rsidR="00A454E2">
        <w:rPr>
          <w:rFonts w:ascii="Calibri" w:hAnsi="Calibri"/>
          <w:sz w:val="22"/>
          <w:szCs w:val="22"/>
          <w:lang w:val="en-GB"/>
        </w:rPr>
        <w:t>earmarked funding is controversial since it may be un</w:t>
      </w:r>
      <w:r w:rsidR="00155D15">
        <w:rPr>
          <w:rFonts w:ascii="Calibri" w:hAnsi="Calibri"/>
          <w:sz w:val="22"/>
          <w:szCs w:val="22"/>
          <w:lang w:val="en-GB"/>
        </w:rPr>
        <w:t>-</w:t>
      </w:r>
      <w:r w:rsidR="00A454E2">
        <w:rPr>
          <w:rFonts w:ascii="Calibri" w:hAnsi="Calibri"/>
          <w:sz w:val="22"/>
          <w:szCs w:val="22"/>
          <w:lang w:val="en-GB"/>
        </w:rPr>
        <w:t>earmarked from th</w:t>
      </w:r>
      <w:r w:rsidR="004A6586">
        <w:rPr>
          <w:rFonts w:ascii="Calibri" w:hAnsi="Calibri"/>
          <w:sz w:val="22"/>
          <w:szCs w:val="22"/>
          <w:lang w:val="en-GB"/>
        </w:rPr>
        <w:t>e perspective of the donor only</w:t>
      </w:r>
      <w:r w:rsidR="001F03CC">
        <w:rPr>
          <w:rFonts w:ascii="Calibri" w:hAnsi="Calibri"/>
          <w:sz w:val="22"/>
          <w:szCs w:val="22"/>
          <w:lang w:val="en-GB"/>
        </w:rPr>
        <w:t>,</w:t>
      </w:r>
      <w:r w:rsidR="004A6586">
        <w:rPr>
          <w:rFonts w:ascii="Calibri" w:hAnsi="Calibri"/>
          <w:sz w:val="22"/>
          <w:szCs w:val="22"/>
          <w:lang w:val="en-GB"/>
        </w:rPr>
        <w:t xml:space="preserve"> </w:t>
      </w:r>
      <w:r w:rsidR="00A454E2">
        <w:rPr>
          <w:rFonts w:ascii="Calibri" w:hAnsi="Calibri"/>
          <w:sz w:val="22"/>
          <w:szCs w:val="22"/>
          <w:lang w:val="en-GB"/>
        </w:rPr>
        <w:t xml:space="preserve">it may contribute to efficient and timely allocation of funds to crises at the global-level, </w:t>
      </w:r>
      <w:r w:rsidR="001F03CC">
        <w:rPr>
          <w:rFonts w:ascii="Calibri" w:hAnsi="Calibri"/>
          <w:sz w:val="22"/>
          <w:szCs w:val="22"/>
          <w:lang w:val="en-GB"/>
        </w:rPr>
        <w:t xml:space="preserve">but </w:t>
      </w:r>
      <w:r w:rsidR="00A454E2">
        <w:rPr>
          <w:rFonts w:ascii="Calibri" w:hAnsi="Calibri"/>
          <w:sz w:val="22"/>
          <w:szCs w:val="22"/>
          <w:lang w:val="en-GB"/>
        </w:rPr>
        <w:t xml:space="preserve">it does not provide benefits (b) and (c) to recipient organisations. </w:t>
      </w:r>
    </w:p>
    <w:p w14:paraId="5D77DC52" w14:textId="3ADB0BC2" w:rsidR="002A7E1A" w:rsidRPr="00850A7A" w:rsidRDefault="00A454E2" w:rsidP="00850A7A">
      <w:pPr>
        <w:spacing w:after="120"/>
        <w:jc w:val="both"/>
        <w:rPr>
          <w:rFonts w:ascii="Calibri" w:hAnsi="Calibri"/>
          <w:sz w:val="22"/>
          <w:szCs w:val="22"/>
          <w:lang w:val="en-GB"/>
        </w:rPr>
      </w:pPr>
      <w:r w:rsidRPr="00823FB4">
        <w:rPr>
          <w:rFonts w:ascii="Calibri" w:hAnsi="Calibri"/>
          <w:sz w:val="22"/>
          <w:szCs w:val="22"/>
          <w:lang w:val="en-GB"/>
        </w:rPr>
        <w:t>This paper recommends that</w:t>
      </w:r>
      <w:r>
        <w:rPr>
          <w:rFonts w:ascii="Calibri" w:hAnsi="Calibri"/>
          <w:sz w:val="22"/>
          <w:szCs w:val="22"/>
          <w:lang w:val="en-GB"/>
        </w:rPr>
        <w:t xml:space="preserve"> </w:t>
      </w:r>
      <w:r w:rsidRPr="00823FB4">
        <w:rPr>
          <w:rFonts w:ascii="Calibri" w:hAnsi="Calibri"/>
          <w:sz w:val="22"/>
          <w:szCs w:val="22"/>
          <w:lang w:val="en-GB"/>
        </w:rPr>
        <w:t xml:space="preserve">signatories should </w:t>
      </w:r>
      <w:r>
        <w:rPr>
          <w:rFonts w:ascii="Calibri" w:hAnsi="Calibri"/>
          <w:sz w:val="22"/>
          <w:szCs w:val="22"/>
          <w:lang w:val="en-GB"/>
        </w:rPr>
        <w:t xml:space="preserve">unpack their understandings and expectations </w:t>
      </w:r>
      <w:r w:rsidRPr="00823FB4">
        <w:rPr>
          <w:rFonts w:ascii="Calibri" w:hAnsi="Calibri"/>
          <w:sz w:val="22"/>
          <w:szCs w:val="22"/>
          <w:lang w:val="en-GB"/>
        </w:rPr>
        <w:t xml:space="preserve">of </w:t>
      </w:r>
      <w:r>
        <w:rPr>
          <w:rFonts w:ascii="Calibri" w:hAnsi="Calibri"/>
          <w:sz w:val="22"/>
          <w:szCs w:val="22"/>
          <w:lang w:val="en-GB"/>
        </w:rPr>
        <w:t xml:space="preserve">the purpose and </w:t>
      </w:r>
      <w:r w:rsidR="004A6586">
        <w:rPr>
          <w:rFonts w:ascii="Calibri" w:hAnsi="Calibri"/>
          <w:sz w:val="22"/>
          <w:szCs w:val="22"/>
          <w:lang w:val="en-GB"/>
        </w:rPr>
        <w:t>characteristics</w:t>
      </w:r>
      <w:r>
        <w:rPr>
          <w:rFonts w:ascii="Calibri" w:hAnsi="Calibri"/>
          <w:sz w:val="22"/>
          <w:szCs w:val="22"/>
          <w:lang w:val="en-GB"/>
        </w:rPr>
        <w:t xml:space="preserve"> of </w:t>
      </w:r>
      <w:r w:rsidRPr="00823FB4">
        <w:rPr>
          <w:rFonts w:ascii="Calibri" w:hAnsi="Calibri"/>
          <w:sz w:val="22"/>
          <w:szCs w:val="22"/>
          <w:lang w:val="en-GB"/>
        </w:rPr>
        <w:t>flexible financing</w:t>
      </w:r>
      <w:r>
        <w:rPr>
          <w:rFonts w:ascii="Calibri" w:hAnsi="Calibri"/>
          <w:sz w:val="22"/>
          <w:szCs w:val="22"/>
          <w:lang w:val="en-GB"/>
        </w:rPr>
        <w:t xml:space="preserve"> </w:t>
      </w:r>
      <w:r w:rsidR="00AA2CAE">
        <w:rPr>
          <w:rFonts w:ascii="Calibri" w:hAnsi="Calibri"/>
          <w:sz w:val="22"/>
          <w:szCs w:val="22"/>
          <w:lang w:val="en-GB"/>
        </w:rPr>
        <w:t>in order to define and agree</w:t>
      </w:r>
      <w:r>
        <w:rPr>
          <w:rFonts w:ascii="Calibri" w:hAnsi="Calibri"/>
          <w:sz w:val="22"/>
          <w:szCs w:val="22"/>
          <w:lang w:val="en-GB"/>
        </w:rPr>
        <w:t xml:space="preserve"> on</w:t>
      </w:r>
      <w:r w:rsidRPr="00823FB4">
        <w:rPr>
          <w:rFonts w:ascii="Calibri" w:hAnsi="Calibri"/>
          <w:sz w:val="22"/>
          <w:szCs w:val="22"/>
          <w:lang w:val="en-GB"/>
        </w:rPr>
        <w:t xml:space="preserve"> the theoretical and desired advantages across different degrees of flexibility and different modalities. </w:t>
      </w:r>
      <w:r>
        <w:rPr>
          <w:rFonts w:ascii="Calibri" w:hAnsi="Calibri"/>
          <w:sz w:val="22"/>
          <w:szCs w:val="22"/>
          <w:lang w:val="en-GB"/>
        </w:rPr>
        <w:t>It may be advisable to differentiate the types of financing accordi</w:t>
      </w:r>
      <w:r w:rsidR="00B105E5">
        <w:rPr>
          <w:rFonts w:ascii="Calibri" w:hAnsi="Calibri"/>
          <w:sz w:val="22"/>
          <w:szCs w:val="22"/>
          <w:lang w:val="en-GB"/>
        </w:rPr>
        <w:t xml:space="preserve">ng to the nature of </w:t>
      </w:r>
      <w:r w:rsidR="00155D15">
        <w:rPr>
          <w:rFonts w:ascii="Calibri" w:hAnsi="Calibri"/>
          <w:sz w:val="22"/>
          <w:szCs w:val="22"/>
          <w:lang w:val="en-GB"/>
        </w:rPr>
        <w:t>the</w:t>
      </w:r>
      <w:r w:rsidR="00B105E5">
        <w:rPr>
          <w:rFonts w:ascii="Calibri" w:hAnsi="Calibri"/>
          <w:sz w:val="22"/>
          <w:szCs w:val="22"/>
          <w:lang w:val="en-GB"/>
        </w:rPr>
        <w:t xml:space="preserve"> </w:t>
      </w:r>
      <w:r w:rsidR="004A6586">
        <w:rPr>
          <w:rFonts w:ascii="Calibri" w:hAnsi="Calibri"/>
          <w:sz w:val="22"/>
          <w:szCs w:val="22"/>
          <w:lang w:val="en-GB"/>
        </w:rPr>
        <w:t>benefits that they offer</w:t>
      </w:r>
      <w:r w:rsidR="00B105E5">
        <w:rPr>
          <w:rFonts w:ascii="Calibri" w:hAnsi="Calibri"/>
          <w:sz w:val="22"/>
          <w:szCs w:val="22"/>
          <w:lang w:val="en-GB"/>
        </w:rPr>
        <w:t xml:space="preserve">. In particular, </w:t>
      </w:r>
      <w:r w:rsidR="004A6586">
        <w:rPr>
          <w:rFonts w:ascii="Calibri" w:hAnsi="Calibri"/>
          <w:sz w:val="22"/>
          <w:szCs w:val="22"/>
          <w:lang w:val="en-GB"/>
        </w:rPr>
        <w:t>it is important to distinguish</w:t>
      </w:r>
      <w:r w:rsidR="00B105E5">
        <w:rPr>
          <w:rFonts w:ascii="Calibri" w:hAnsi="Calibri"/>
          <w:sz w:val="22"/>
          <w:szCs w:val="22"/>
          <w:lang w:val="en-GB"/>
        </w:rPr>
        <w:t xml:space="preserve"> between whether flexibility gains a</w:t>
      </w:r>
      <w:r w:rsidR="00EB6150">
        <w:rPr>
          <w:rFonts w:ascii="Calibri" w:hAnsi="Calibri"/>
          <w:sz w:val="22"/>
          <w:szCs w:val="22"/>
          <w:lang w:val="en-GB"/>
        </w:rPr>
        <w:t>re</w:t>
      </w:r>
      <w:r w:rsidR="00B105E5">
        <w:rPr>
          <w:rFonts w:ascii="Calibri" w:hAnsi="Calibri"/>
          <w:sz w:val="22"/>
          <w:szCs w:val="22"/>
          <w:lang w:val="en-GB"/>
        </w:rPr>
        <w:t xml:space="preserve"> derived at the global or co</w:t>
      </w:r>
      <w:r w:rsidR="004A6586">
        <w:rPr>
          <w:rFonts w:ascii="Calibri" w:hAnsi="Calibri"/>
          <w:sz w:val="22"/>
          <w:szCs w:val="22"/>
          <w:lang w:val="en-GB"/>
        </w:rPr>
        <w:t>untry level, and differentiate</w:t>
      </w:r>
      <w:r w:rsidR="00B105E5">
        <w:rPr>
          <w:rFonts w:ascii="Calibri" w:hAnsi="Calibri"/>
          <w:sz w:val="22"/>
          <w:szCs w:val="22"/>
          <w:lang w:val="en-GB"/>
        </w:rPr>
        <w:t xml:space="preserve"> between whether benefits accrue at the crisis-level or </w:t>
      </w:r>
      <w:r w:rsidR="001F03CC">
        <w:rPr>
          <w:rFonts w:ascii="Calibri" w:hAnsi="Calibri"/>
          <w:sz w:val="22"/>
          <w:szCs w:val="22"/>
          <w:lang w:val="en-GB"/>
        </w:rPr>
        <w:t>to</w:t>
      </w:r>
      <w:r w:rsidR="00B105E5">
        <w:rPr>
          <w:rFonts w:ascii="Calibri" w:hAnsi="Calibri"/>
          <w:sz w:val="22"/>
          <w:szCs w:val="22"/>
          <w:lang w:val="en-GB"/>
        </w:rPr>
        <w:t xml:space="preserve"> recipient organisations. Reaching clarity on the </w:t>
      </w:r>
      <w:r w:rsidR="004A6586">
        <w:rPr>
          <w:rFonts w:ascii="Calibri" w:hAnsi="Calibri"/>
          <w:sz w:val="22"/>
          <w:szCs w:val="22"/>
          <w:lang w:val="en-GB"/>
        </w:rPr>
        <w:t>characteristics</w:t>
      </w:r>
      <w:r w:rsidR="00B105E5">
        <w:rPr>
          <w:rFonts w:ascii="Calibri" w:hAnsi="Calibri"/>
          <w:sz w:val="22"/>
          <w:szCs w:val="22"/>
          <w:lang w:val="en-GB"/>
        </w:rPr>
        <w:t xml:space="preserve"> and purpose of different modes of flexible financing</w:t>
      </w:r>
      <w:r w:rsidRPr="00823FB4">
        <w:rPr>
          <w:rFonts w:ascii="Calibri" w:hAnsi="Calibri"/>
          <w:sz w:val="22"/>
          <w:szCs w:val="22"/>
          <w:lang w:val="en-GB"/>
        </w:rPr>
        <w:t xml:space="preserve"> will help </w:t>
      </w:r>
      <w:r w:rsidR="00B105E5">
        <w:rPr>
          <w:rFonts w:ascii="Calibri" w:hAnsi="Calibri"/>
          <w:sz w:val="22"/>
          <w:szCs w:val="22"/>
          <w:lang w:val="en-GB"/>
        </w:rPr>
        <w:t>signatories</w:t>
      </w:r>
      <w:r w:rsidRPr="00823FB4">
        <w:rPr>
          <w:rFonts w:ascii="Calibri" w:hAnsi="Calibri"/>
          <w:sz w:val="22"/>
          <w:szCs w:val="22"/>
          <w:lang w:val="en-GB"/>
        </w:rPr>
        <w:t xml:space="preserve"> to focus </w:t>
      </w:r>
      <w:r w:rsidR="004A6586">
        <w:rPr>
          <w:rFonts w:ascii="Calibri" w:hAnsi="Calibri"/>
          <w:sz w:val="22"/>
          <w:szCs w:val="22"/>
          <w:lang w:val="en-GB"/>
        </w:rPr>
        <w:t>on</w:t>
      </w:r>
      <w:r w:rsidRPr="00823FB4">
        <w:rPr>
          <w:rFonts w:ascii="Calibri" w:hAnsi="Calibri"/>
          <w:sz w:val="22"/>
          <w:szCs w:val="22"/>
          <w:lang w:val="en-GB"/>
        </w:rPr>
        <w:t xml:space="preserve"> specific policy actions and incentives</w:t>
      </w:r>
      <w:r w:rsidR="004A6586">
        <w:rPr>
          <w:rFonts w:ascii="Calibri" w:hAnsi="Calibri"/>
          <w:sz w:val="22"/>
          <w:szCs w:val="22"/>
          <w:lang w:val="en-GB"/>
        </w:rPr>
        <w:t xml:space="preserve"> </w:t>
      </w:r>
      <w:r w:rsidR="001F03CC">
        <w:rPr>
          <w:rFonts w:ascii="Calibri" w:hAnsi="Calibri"/>
          <w:sz w:val="22"/>
          <w:szCs w:val="22"/>
          <w:lang w:val="en-GB"/>
        </w:rPr>
        <w:t>to increase</w:t>
      </w:r>
      <w:r w:rsidR="004A6586">
        <w:rPr>
          <w:rFonts w:ascii="Calibri" w:hAnsi="Calibri"/>
          <w:sz w:val="22"/>
          <w:szCs w:val="22"/>
          <w:lang w:val="en-GB"/>
        </w:rPr>
        <w:t xml:space="preserve"> flexibility</w:t>
      </w:r>
      <w:r w:rsidR="00EB6150">
        <w:rPr>
          <w:rFonts w:ascii="Calibri" w:hAnsi="Calibri"/>
          <w:sz w:val="22"/>
          <w:szCs w:val="22"/>
          <w:lang w:val="en-GB"/>
        </w:rPr>
        <w:t>,</w:t>
      </w:r>
      <w:r w:rsidRPr="00823FB4">
        <w:rPr>
          <w:rFonts w:ascii="Calibri" w:hAnsi="Calibri"/>
          <w:sz w:val="22"/>
          <w:szCs w:val="22"/>
          <w:lang w:val="en-GB"/>
        </w:rPr>
        <w:t xml:space="preserve"> and to </w:t>
      </w:r>
      <w:r w:rsidR="001F03CC">
        <w:rPr>
          <w:rFonts w:ascii="Calibri" w:hAnsi="Calibri"/>
          <w:sz w:val="22"/>
          <w:szCs w:val="22"/>
          <w:lang w:val="en-GB"/>
        </w:rPr>
        <w:t>identify</w:t>
      </w:r>
      <w:r w:rsidRPr="00823FB4">
        <w:rPr>
          <w:rFonts w:ascii="Calibri" w:hAnsi="Calibri"/>
          <w:sz w:val="22"/>
          <w:szCs w:val="22"/>
          <w:lang w:val="en-GB"/>
        </w:rPr>
        <w:t xml:space="preserve"> mutually agreed and realistic</w:t>
      </w:r>
      <w:r w:rsidR="00B105E5">
        <w:rPr>
          <w:rFonts w:ascii="Calibri" w:hAnsi="Calibri"/>
          <w:sz w:val="22"/>
          <w:szCs w:val="22"/>
          <w:lang w:val="en-GB"/>
        </w:rPr>
        <w:t xml:space="preserve"> expectations</w:t>
      </w:r>
      <w:r w:rsidRPr="00823FB4">
        <w:rPr>
          <w:rFonts w:ascii="Calibri" w:hAnsi="Calibri"/>
          <w:sz w:val="22"/>
          <w:szCs w:val="22"/>
          <w:lang w:val="en-GB"/>
        </w:rPr>
        <w:t xml:space="preserve">. </w:t>
      </w:r>
      <w:r w:rsidR="002A7E1A">
        <w:rPr>
          <w:rFonts w:ascii="Calibri" w:hAnsi="Calibri"/>
          <w:sz w:val="22"/>
          <w:szCs w:val="22"/>
          <w:lang w:val="en-GB"/>
        </w:rPr>
        <w:t xml:space="preserve"> </w:t>
      </w:r>
    </w:p>
    <w:p w14:paraId="17BCB9F1" w14:textId="73D0F77C" w:rsidR="00370EA4" w:rsidRPr="00823FB4" w:rsidRDefault="00370EA4" w:rsidP="00370EA4">
      <w:pPr>
        <w:pStyle w:val="ListParagraph"/>
        <w:numPr>
          <w:ilvl w:val="0"/>
          <w:numId w:val="1"/>
        </w:numPr>
        <w:rPr>
          <w:rFonts w:ascii="Calibri" w:hAnsi="Calibri"/>
          <w:b/>
          <w:sz w:val="22"/>
          <w:szCs w:val="22"/>
          <w:lang w:val="en-GB"/>
        </w:rPr>
      </w:pPr>
      <w:r w:rsidRPr="00823FB4">
        <w:rPr>
          <w:rFonts w:ascii="Calibri" w:hAnsi="Calibri"/>
          <w:b/>
          <w:sz w:val="22"/>
          <w:szCs w:val="22"/>
          <w:lang w:val="en-GB"/>
        </w:rPr>
        <w:t>Identification of issues of concern to donors</w:t>
      </w:r>
    </w:p>
    <w:p w14:paraId="2D46E486" w14:textId="6EDBC379" w:rsidR="00A14876" w:rsidRPr="00814B5E" w:rsidRDefault="00A14876" w:rsidP="00814B5E">
      <w:pPr>
        <w:spacing w:after="120"/>
        <w:jc w:val="both"/>
        <w:rPr>
          <w:sz w:val="22"/>
          <w:szCs w:val="22"/>
          <w:lang w:val="en-GB"/>
        </w:rPr>
      </w:pPr>
      <w:r w:rsidRPr="00823FB4">
        <w:rPr>
          <w:sz w:val="22"/>
          <w:szCs w:val="22"/>
          <w:lang w:val="en-GB"/>
        </w:rPr>
        <w:t xml:space="preserve">Increasing the flexibility of humanitarian financing has long been a high-level policy priority and was formally asserted as </w:t>
      </w:r>
      <w:r w:rsidR="00052A0F" w:rsidRPr="00823FB4">
        <w:rPr>
          <w:sz w:val="22"/>
          <w:szCs w:val="22"/>
          <w:lang w:val="en-GB"/>
        </w:rPr>
        <w:t xml:space="preserve">an </w:t>
      </w:r>
      <w:r w:rsidRPr="00823FB4">
        <w:rPr>
          <w:sz w:val="22"/>
          <w:szCs w:val="22"/>
          <w:lang w:val="en-GB"/>
        </w:rPr>
        <w:t xml:space="preserve">element of good policy and practice in the 2003 Good Humanitarian Donorship principles: </w:t>
      </w:r>
    </w:p>
    <w:p w14:paraId="434826E8" w14:textId="3D04D2CE" w:rsidR="00A14876" w:rsidRPr="00823FB4" w:rsidRDefault="00A14876" w:rsidP="00A23C39">
      <w:pPr>
        <w:spacing w:after="120"/>
        <w:jc w:val="both"/>
        <w:rPr>
          <w:rFonts w:cs="Arial"/>
          <w:color w:val="000000" w:themeColor="text1"/>
          <w:sz w:val="22"/>
          <w:szCs w:val="22"/>
          <w:lang w:val="en-GB"/>
        </w:rPr>
      </w:pPr>
      <w:r w:rsidRPr="00823FB4">
        <w:rPr>
          <w:color w:val="000000" w:themeColor="text1"/>
          <w:sz w:val="22"/>
          <w:szCs w:val="22"/>
          <w:lang w:val="en-GB"/>
        </w:rPr>
        <w:t xml:space="preserve">“GHD 13: </w:t>
      </w:r>
      <w:r w:rsidRPr="00823FB4">
        <w:rPr>
          <w:rFonts w:cs="Arial"/>
          <w:color w:val="000000" w:themeColor="text1"/>
          <w:sz w:val="22"/>
          <w:szCs w:val="22"/>
          <w:lang w:val="en-GB"/>
        </w:rPr>
        <w:t xml:space="preserve">While stressing the importance of transparent and strategic priority-setting and financial planning by implementing organisations, </w:t>
      </w:r>
      <w:r w:rsidRPr="00823FB4">
        <w:rPr>
          <w:rFonts w:cs="Arial"/>
          <w:b/>
          <w:color w:val="000000" w:themeColor="text1"/>
          <w:sz w:val="22"/>
          <w:szCs w:val="22"/>
          <w:lang w:val="en-GB"/>
        </w:rPr>
        <w:t>explore the possibility of reducing, or enhancing the flexibility of, earmarking</w:t>
      </w:r>
      <w:r w:rsidRPr="00823FB4">
        <w:rPr>
          <w:rFonts w:cs="Arial"/>
          <w:color w:val="000000" w:themeColor="text1"/>
          <w:sz w:val="22"/>
          <w:szCs w:val="22"/>
          <w:lang w:val="en-GB"/>
        </w:rPr>
        <w:t xml:space="preserve">, and of introducing longer-term funding arrangements.” (emphasis added) </w:t>
      </w:r>
    </w:p>
    <w:p w14:paraId="25C3BA52" w14:textId="77777777" w:rsidR="00850A7A" w:rsidRDefault="00052A0F" w:rsidP="00A23C39">
      <w:pPr>
        <w:spacing w:after="120"/>
        <w:jc w:val="both"/>
        <w:rPr>
          <w:sz w:val="22"/>
          <w:szCs w:val="22"/>
          <w:lang w:val="en-GB"/>
        </w:rPr>
      </w:pPr>
      <w:r w:rsidRPr="00823FB4">
        <w:rPr>
          <w:sz w:val="22"/>
          <w:szCs w:val="22"/>
          <w:lang w:val="en-GB"/>
        </w:rPr>
        <w:t>Yet i</w:t>
      </w:r>
      <w:r w:rsidR="002A783B" w:rsidRPr="00823FB4">
        <w:rPr>
          <w:sz w:val="22"/>
          <w:szCs w:val="22"/>
          <w:lang w:val="en-GB"/>
        </w:rPr>
        <w:t xml:space="preserve">n the period following the agreement of the 2003 GHD principles, overall, multilateral ODA from donors reporting to the OECD DAC has </w:t>
      </w:r>
      <w:r w:rsidR="00823FB4" w:rsidRPr="00823FB4">
        <w:rPr>
          <w:sz w:val="22"/>
          <w:szCs w:val="22"/>
          <w:lang w:val="en-GB"/>
        </w:rPr>
        <w:t>decreased</w:t>
      </w:r>
      <w:r w:rsidR="002A783B" w:rsidRPr="00823FB4">
        <w:rPr>
          <w:sz w:val="22"/>
          <w:szCs w:val="22"/>
          <w:lang w:val="en-GB"/>
        </w:rPr>
        <w:t xml:space="preserve"> dramatically, from 74% of total humanitarian contributions to leading humanitarian multilateral organisations (UNHCR, UNRWA, WFP and UNICEF) in 2004, to just 12% of the total in 2014.</w:t>
      </w:r>
      <w:r w:rsidR="00E81A00" w:rsidRPr="00823FB4">
        <w:rPr>
          <w:rStyle w:val="FootnoteReference"/>
          <w:sz w:val="22"/>
          <w:szCs w:val="22"/>
          <w:lang w:val="en-GB"/>
        </w:rPr>
        <w:footnoteReference w:id="1"/>
      </w:r>
      <w:r w:rsidR="002A783B" w:rsidRPr="00823FB4">
        <w:rPr>
          <w:sz w:val="22"/>
          <w:szCs w:val="22"/>
          <w:lang w:val="en-GB"/>
        </w:rPr>
        <w:t xml:space="preserve"> This trend towards a proportional reduction in core multilateral contributions</w:t>
      </w:r>
      <w:r w:rsidR="00823FB4">
        <w:rPr>
          <w:sz w:val="22"/>
          <w:szCs w:val="22"/>
          <w:lang w:val="en-GB"/>
        </w:rPr>
        <w:t>,</w:t>
      </w:r>
      <w:r w:rsidR="002A783B" w:rsidRPr="00823FB4">
        <w:rPr>
          <w:sz w:val="22"/>
          <w:szCs w:val="22"/>
          <w:lang w:val="en-GB"/>
        </w:rPr>
        <w:t xml:space="preserve"> during a period of growth in bilateral ODA to multilateral organisations, is </w:t>
      </w:r>
      <w:r w:rsidR="002A783B" w:rsidRPr="00823FB4">
        <w:rPr>
          <w:sz w:val="22"/>
          <w:szCs w:val="22"/>
          <w:lang w:val="en-GB"/>
        </w:rPr>
        <w:lastRenderedPageBreak/>
        <w:t xml:space="preserve">consistent with the global trend in total ODA contributions (i.e. including both development and humanitarian funds) to multilateral organisations (Totora &amp; Steensen, 2014). </w:t>
      </w:r>
    </w:p>
    <w:p w14:paraId="47651CEE" w14:textId="296EE172" w:rsidR="00537549" w:rsidRPr="00823FB4" w:rsidRDefault="00517250" w:rsidP="00A23C39">
      <w:pPr>
        <w:spacing w:after="120"/>
        <w:jc w:val="both"/>
        <w:rPr>
          <w:sz w:val="22"/>
          <w:szCs w:val="22"/>
          <w:lang w:val="en-GB"/>
        </w:rPr>
      </w:pPr>
      <w:r>
        <w:rPr>
          <w:sz w:val="22"/>
          <w:szCs w:val="22"/>
          <w:lang w:val="en-GB"/>
        </w:rPr>
        <w:t xml:space="preserve">The agencies that responded to </w:t>
      </w:r>
      <w:r w:rsidR="00BB0E1F">
        <w:rPr>
          <w:sz w:val="22"/>
          <w:szCs w:val="22"/>
          <w:lang w:val="en-GB"/>
        </w:rPr>
        <w:t xml:space="preserve">the </w:t>
      </w:r>
      <w:r>
        <w:rPr>
          <w:sz w:val="22"/>
          <w:szCs w:val="22"/>
          <w:lang w:val="en-GB"/>
        </w:rPr>
        <w:t>survey had seen this global trend reflected in their funding</w:t>
      </w:r>
      <w:r w:rsidR="007D18DE">
        <w:rPr>
          <w:sz w:val="22"/>
          <w:szCs w:val="22"/>
          <w:lang w:val="en-GB"/>
        </w:rPr>
        <w:t xml:space="preserve">. For example, while UNICEF’s total funding had increased by USD 843 million, from USD 2.1 billion </w:t>
      </w:r>
      <w:r w:rsidR="002D0210">
        <w:rPr>
          <w:sz w:val="22"/>
          <w:szCs w:val="22"/>
          <w:lang w:val="en-GB"/>
        </w:rPr>
        <w:t xml:space="preserve">in 2012 </w:t>
      </w:r>
      <w:r w:rsidR="007D18DE">
        <w:rPr>
          <w:sz w:val="22"/>
          <w:szCs w:val="22"/>
          <w:lang w:val="en-GB"/>
        </w:rPr>
        <w:t>to USD 2.95 billion</w:t>
      </w:r>
      <w:r w:rsidR="002D0210">
        <w:rPr>
          <w:sz w:val="22"/>
          <w:szCs w:val="22"/>
          <w:lang w:val="en-GB"/>
        </w:rPr>
        <w:t xml:space="preserve"> in 2015</w:t>
      </w:r>
      <w:r w:rsidR="007D18DE">
        <w:rPr>
          <w:sz w:val="22"/>
          <w:szCs w:val="22"/>
          <w:lang w:val="en-GB"/>
        </w:rPr>
        <w:t xml:space="preserve">, most of this increase was in tightly earmarked funding (while un-earmarked funding had decreased </w:t>
      </w:r>
      <w:r w:rsidR="002D0210">
        <w:rPr>
          <w:sz w:val="22"/>
          <w:szCs w:val="22"/>
          <w:lang w:val="en-GB"/>
        </w:rPr>
        <w:t xml:space="preserve">slightly </w:t>
      </w:r>
      <w:r w:rsidR="007D18DE">
        <w:rPr>
          <w:sz w:val="22"/>
          <w:szCs w:val="22"/>
          <w:lang w:val="en-GB"/>
        </w:rPr>
        <w:t xml:space="preserve">from USD 1.28 billion to USD 1.17 billion). </w:t>
      </w:r>
      <w:r w:rsidR="00DC3478">
        <w:rPr>
          <w:sz w:val="22"/>
          <w:szCs w:val="22"/>
          <w:lang w:val="en-GB"/>
        </w:rPr>
        <w:t xml:space="preserve">Similarly, un-earmarked funding as a share of UNHCR’s </w:t>
      </w:r>
      <w:r w:rsidR="00F11776">
        <w:rPr>
          <w:sz w:val="22"/>
          <w:szCs w:val="22"/>
          <w:lang w:val="en-GB"/>
        </w:rPr>
        <w:t xml:space="preserve">total funding </w:t>
      </w:r>
      <w:r w:rsidR="00DC3478">
        <w:rPr>
          <w:sz w:val="22"/>
          <w:szCs w:val="22"/>
          <w:lang w:val="en-GB"/>
        </w:rPr>
        <w:t xml:space="preserve">decreased from 20% in 2012 to 14% in 2016 while earmarked funding increased from being 20% of UNHCR’s </w:t>
      </w:r>
      <w:r w:rsidR="00F11776">
        <w:rPr>
          <w:sz w:val="22"/>
          <w:szCs w:val="22"/>
          <w:lang w:val="en-GB"/>
        </w:rPr>
        <w:t>funding</w:t>
      </w:r>
      <w:r w:rsidR="00DC3478">
        <w:rPr>
          <w:sz w:val="22"/>
          <w:szCs w:val="22"/>
          <w:lang w:val="en-GB"/>
        </w:rPr>
        <w:t xml:space="preserve"> in 2012 to comprising 43% </w:t>
      </w:r>
      <w:r w:rsidR="00F11776">
        <w:rPr>
          <w:sz w:val="22"/>
          <w:szCs w:val="22"/>
          <w:lang w:val="en-GB"/>
        </w:rPr>
        <w:t>of its funding</w:t>
      </w:r>
      <w:r w:rsidR="00DC3478">
        <w:rPr>
          <w:sz w:val="22"/>
          <w:szCs w:val="22"/>
          <w:lang w:val="en-GB"/>
        </w:rPr>
        <w:t xml:space="preserve"> in 2016.</w:t>
      </w:r>
      <w:r w:rsidR="00A811E1">
        <w:rPr>
          <w:sz w:val="22"/>
          <w:szCs w:val="22"/>
          <w:lang w:val="en-GB"/>
        </w:rPr>
        <w:t xml:space="preserve"> For OCHA, un-earmarked funding has fallen from being 51% of its total income in </w:t>
      </w:r>
      <w:r w:rsidR="00AF4BCE">
        <w:rPr>
          <w:sz w:val="22"/>
          <w:szCs w:val="22"/>
          <w:lang w:val="en-GB"/>
        </w:rPr>
        <w:t>2012 to being 39</w:t>
      </w:r>
      <w:r w:rsidR="00A811E1">
        <w:rPr>
          <w:sz w:val="22"/>
          <w:szCs w:val="22"/>
          <w:lang w:val="en-GB"/>
        </w:rPr>
        <w:t>% of total income in 2016.</w:t>
      </w:r>
      <w:r w:rsidR="009342DB">
        <w:rPr>
          <w:sz w:val="22"/>
          <w:szCs w:val="22"/>
          <w:lang w:val="en-GB"/>
        </w:rPr>
        <w:t xml:space="preserve"> </w:t>
      </w:r>
      <w:r w:rsidR="009342DB">
        <w:rPr>
          <w:rFonts w:ascii="Calibri" w:hAnsi="Calibri"/>
          <w:sz w:val="22"/>
          <w:szCs w:val="22"/>
          <w:lang w:val="en-GB"/>
        </w:rPr>
        <w:t xml:space="preserve">Most respondents mentioned that </w:t>
      </w:r>
      <w:r w:rsidR="003831CD">
        <w:rPr>
          <w:rFonts w:ascii="Calibri" w:hAnsi="Calibri"/>
          <w:sz w:val="22"/>
          <w:szCs w:val="22"/>
          <w:lang w:val="en-GB"/>
        </w:rPr>
        <w:t xml:space="preserve">an increase in </w:t>
      </w:r>
      <w:r w:rsidR="009342DB">
        <w:rPr>
          <w:rFonts w:ascii="Calibri" w:hAnsi="Calibri"/>
          <w:sz w:val="22"/>
          <w:szCs w:val="22"/>
          <w:lang w:val="en-GB"/>
        </w:rPr>
        <w:t xml:space="preserve">country or crisis-specific appeals might have encouraged donors to increase earmarking, thereby countering </w:t>
      </w:r>
      <w:r w:rsidR="003831CD">
        <w:rPr>
          <w:rFonts w:ascii="Calibri" w:hAnsi="Calibri"/>
          <w:sz w:val="22"/>
          <w:szCs w:val="22"/>
          <w:lang w:val="en-GB"/>
        </w:rPr>
        <w:t>calls for more</w:t>
      </w:r>
      <w:r w:rsidR="009342DB">
        <w:rPr>
          <w:rFonts w:ascii="Calibri" w:hAnsi="Calibri"/>
          <w:sz w:val="22"/>
          <w:szCs w:val="22"/>
          <w:lang w:val="en-GB"/>
        </w:rPr>
        <w:t xml:space="preserve"> flexible funding.</w:t>
      </w:r>
    </w:p>
    <w:p w14:paraId="0C768F9C" w14:textId="123E2C8F" w:rsidR="004A66B9" w:rsidRPr="004B043C" w:rsidRDefault="00215E87" w:rsidP="004B043C">
      <w:pPr>
        <w:spacing w:after="120"/>
        <w:jc w:val="both"/>
        <w:rPr>
          <w:rFonts w:ascii="Calibri" w:hAnsi="Calibri" w:cs="Arial"/>
          <w:color w:val="000000" w:themeColor="text1"/>
          <w:sz w:val="22"/>
          <w:szCs w:val="22"/>
          <w:lang w:val="en-GB"/>
        </w:rPr>
      </w:pPr>
      <w:r w:rsidRPr="00823FB4">
        <w:rPr>
          <w:rFonts w:cs="Arial"/>
          <w:color w:val="000000" w:themeColor="text1"/>
          <w:sz w:val="22"/>
          <w:szCs w:val="22"/>
          <w:lang w:val="en-GB"/>
        </w:rPr>
        <w:t xml:space="preserve">Earmarking is a means by which </w:t>
      </w:r>
      <w:r w:rsidR="00823FB4">
        <w:rPr>
          <w:rFonts w:cs="Arial"/>
          <w:color w:val="000000" w:themeColor="text1"/>
          <w:sz w:val="22"/>
          <w:szCs w:val="22"/>
          <w:lang w:val="en-GB"/>
        </w:rPr>
        <w:t>donors can</w:t>
      </w:r>
      <w:r w:rsidR="00823FB4" w:rsidRPr="00823FB4">
        <w:rPr>
          <w:rFonts w:cs="Arial"/>
          <w:color w:val="000000" w:themeColor="text1"/>
          <w:sz w:val="22"/>
          <w:szCs w:val="22"/>
          <w:lang w:val="en-GB"/>
        </w:rPr>
        <w:t xml:space="preserve"> </w:t>
      </w:r>
      <w:r w:rsidRPr="00823FB4">
        <w:rPr>
          <w:rFonts w:cs="Arial"/>
          <w:color w:val="000000" w:themeColor="text1"/>
          <w:sz w:val="22"/>
          <w:szCs w:val="22"/>
          <w:lang w:val="en-GB"/>
        </w:rPr>
        <w:t xml:space="preserve">exert a greater degree of control over the </w:t>
      </w:r>
      <w:r w:rsidR="00823FB4">
        <w:rPr>
          <w:rFonts w:cs="Arial"/>
          <w:color w:val="000000" w:themeColor="text1"/>
          <w:sz w:val="22"/>
          <w:szCs w:val="22"/>
          <w:lang w:val="en-GB"/>
        </w:rPr>
        <w:t>allocation</w:t>
      </w:r>
      <w:r w:rsidR="00823FB4" w:rsidRPr="00823FB4">
        <w:rPr>
          <w:rFonts w:cs="Arial"/>
          <w:color w:val="000000" w:themeColor="text1"/>
          <w:sz w:val="22"/>
          <w:szCs w:val="22"/>
          <w:lang w:val="en-GB"/>
        </w:rPr>
        <w:t xml:space="preserve"> </w:t>
      </w:r>
      <w:r w:rsidRPr="00823FB4">
        <w:rPr>
          <w:rFonts w:cs="Arial"/>
          <w:color w:val="000000" w:themeColor="text1"/>
          <w:sz w:val="22"/>
          <w:szCs w:val="22"/>
          <w:lang w:val="en-GB"/>
        </w:rPr>
        <w:t xml:space="preserve">of funds and </w:t>
      </w:r>
      <w:r w:rsidR="00823FB4">
        <w:rPr>
          <w:rFonts w:cs="Arial"/>
          <w:color w:val="000000" w:themeColor="text1"/>
          <w:sz w:val="22"/>
          <w:szCs w:val="22"/>
          <w:lang w:val="en-GB"/>
        </w:rPr>
        <w:t>get</w:t>
      </w:r>
      <w:r w:rsidRPr="00823FB4">
        <w:rPr>
          <w:rFonts w:cs="Arial"/>
          <w:color w:val="000000" w:themeColor="text1"/>
          <w:sz w:val="22"/>
          <w:szCs w:val="22"/>
          <w:lang w:val="en-GB"/>
        </w:rPr>
        <w:t xml:space="preserve"> greater visibility </w:t>
      </w:r>
      <w:r w:rsidR="00823FB4">
        <w:rPr>
          <w:rFonts w:cs="Arial"/>
          <w:color w:val="000000" w:themeColor="text1"/>
          <w:sz w:val="22"/>
          <w:szCs w:val="22"/>
          <w:lang w:val="en-GB"/>
        </w:rPr>
        <w:t>for their</w:t>
      </w:r>
      <w:r w:rsidRPr="00823FB4">
        <w:rPr>
          <w:rFonts w:cs="Arial"/>
          <w:color w:val="000000" w:themeColor="text1"/>
          <w:sz w:val="22"/>
          <w:szCs w:val="22"/>
          <w:lang w:val="en-GB"/>
        </w:rPr>
        <w:t xml:space="preserve"> contributions.</w:t>
      </w:r>
      <w:r w:rsidRPr="00823FB4">
        <w:rPr>
          <w:rStyle w:val="FootnoteReference"/>
          <w:rFonts w:cs="Arial"/>
          <w:color w:val="000000" w:themeColor="text1"/>
          <w:sz w:val="22"/>
          <w:szCs w:val="22"/>
          <w:lang w:val="en-GB"/>
        </w:rPr>
        <w:footnoteReference w:id="2"/>
      </w:r>
      <w:r w:rsidRPr="00823FB4">
        <w:rPr>
          <w:rFonts w:cs="Arial"/>
          <w:color w:val="000000" w:themeColor="text1"/>
          <w:sz w:val="22"/>
          <w:szCs w:val="22"/>
          <w:lang w:val="en-GB"/>
        </w:rPr>
        <w:t xml:space="preserve"> </w:t>
      </w:r>
      <w:r w:rsidR="00102046">
        <w:rPr>
          <w:rFonts w:cs="Arial"/>
          <w:color w:val="000000" w:themeColor="text1"/>
          <w:sz w:val="22"/>
          <w:szCs w:val="22"/>
          <w:lang w:val="en-GB"/>
        </w:rPr>
        <w:t>D</w:t>
      </w:r>
      <w:r w:rsidRPr="00823FB4">
        <w:rPr>
          <w:rFonts w:cs="Arial"/>
          <w:color w:val="000000" w:themeColor="text1"/>
          <w:sz w:val="22"/>
          <w:szCs w:val="22"/>
          <w:lang w:val="en-GB"/>
        </w:rPr>
        <w:t>onors and major recipients of core un</w:t>
      </w:r>
      <w:r w:rsidR="00823FB4">
        <w:rPr>
          <w:rFonts w:cs="Arial"/>
          <w:color w:val="000000" w:themeColor="text1"/>
          <w:sz w:val="22"/>
          <w:szCs w:val="22"/>
          <w:lang w:val="en-GB"/>
        </w:rPr>
        <w:t>-</w:t>
      </w:r>
      <w:r w:rsidRPr="00823FB4">
        <w:rPr>
          <w:rFonts w:cs="Arial"/>
          <w:color w:val="000000" w:themeColor="text1"/>
          <w:sz w:val="22"/>
          <w:szCs w:val="22"/>
          <w:lang w:val="en-GB"/>
        </w:rPr>
        <w:t>earmarked funding contributions m</w:t>
      </w:r>
      <w:r w:rsidR="00102046">
        <w:rPr>
          <w:rFonts w:cs="Arial"/>
          <w:color w:val="000000" w:themeColor="text1"/>
          <w:sz w:val="22"/>
          <w:szCs w:val="22"/>
          <w:lang w:val="en-GB"/>
        </w:rPr>
        <w:t xml:space="preserve">utually </w:t>
      </w:r>
      <w:r w:rsidR="00052A0F" w:rsidRPr="00823FB4">
        <w:rPr>
          <w:rFonts w:cs="Arial"/>
          <w:color w:val="000000" w:themeColor="text1"/>
          <w:sz w:val="22"/>
          <w:szCs w:val="22"/>
          <w:lang w:val="en-GB"/>
        </w:rPr>
        <w:t xml:space="preserve">agreed to waive project-level </w:t>
      </w:r>
      <w:r w:rsidRPr="00823FB4">
        <w:rPr>
          <w:rFonts w:cs="Arial"/>
          <w:color w:val="000000" w:themeColor="text1"/>
          <w:sz w:val="22"/>
          <w:szCs w:val="22"/>
          <w:lang w:val="en-GB"/>
        </w:rPr>
        <w:t xml:space="preserve">reporting requirements and to accept a general annual narrative and financial report in the interests of efficiency. Therefore in </w:t>
      </w:r>
      <w:r w:rsidR="00052A0F" w:rsidRPr="00823FB4">
        <w:rPr>
          <w:rFonts w:cs="Arial"/>
          <w:color w:val="000000" w:themeColor="text1"/>
          <w:sz w:val="22"/>
          <w:szCs w:val="22"/>
          <w:lang w:val="en-GB"/>
        </w:rPr>
        <w:t>choosing not to earmark</w:t>
      </w:r>
      <w:r w:rsidRPr="00823FB4">
        <w:rPr>
          <w:rFonts w:cs="Arial"/>
          <w:color w:val="000000" w:themeColor="text1"/>
          <w:sz w:val="22"/>
          <w:szCs w:val="22"/>
          <w:lang w:val="en-GB"/>
        </w:rPr>
        <w:t xml:space="preserve">, not only do donors cede control and visibility, they also agree to cede </w:t>
      </w:r>
      <w:r w:rsidR="00967007" w:rsidRPr="00823FB4">
        <w:rPr>
          <w:rFonts w:cs="Arial"/>
          <w:color w:val="000000" w:themeColor="text1"/>
          <w:sz w:val="22"/>
          <w:szCs w:val="22"/>
          <w:lang w:val="en-GB"/>
        </w:rPr>
        <w:t xml:space="preserve">“line of sight” accounting for their individual contributions. </w:t>
      </w:r>
      <w:r w:rsidR="00087D47" w:rsidRPr="00823FB4">
        <w:rPr>
          <w:rFonts w:cs="Arial"/>
          <w:color w:val="000000" w:themeColor="text1"/>
          <w:sz w:val="22"/>
          <w:szCs w:val="22"/>
          <w:lang w:val="en-GB"/>
        </w:rPr>
        <w:t xml:space="preserve">The extent to which donors are willing and able to cede control and visibility </w:t>
      </w:r>
      <w:r w:rsidR="00823FB4">
        <w:rPr>
          <w:rFonts w:cs="Arial"/>
          <w:color w:val="000000" w:themeColor="text1"/>
          <w:sz w:val="22"/>
          <w:szCs w:val="22"/>
          <w:lang w:val="en-GB"/>
        </w:rPr>
        <w:t>depends</w:t>
      </w:r>
      <w:r w:rsidR="00087D47" w:rsidRPr="00823FB4">
        <w:rPr>
          <w:rFonts w:cs="Arial"/>
          <w:color w:val="000000" w:themeColor="text1"/>
          <w:sz w:val="22"/>
          <w:szCs w:val="22"/>
          <w:lang w:val="en-GB"/>
        </w:rPr>
        <w:t xml:space="preserve"> on both the level of trust </w:t>
      </w:r>
      <w:r w:rsidR="00823FB4">
        <w:rPr>
          <w:rFonts w:cs="Arial"/>
          <w:color w:val="000000" w:themeColor="text1"/>
          <w:sz w:val="22"/>
          <w:szCs w:val="22"/>
          <w:lang w:val="en-GB"/>
        </w:rPr>
        <w:t xml:space="preserve">that </w:t>
      </w:r>
      <w:r w:rsidR="00087D47" w:rsidRPr="00823FB4">
        <w:rPr>
          <w:rFonts w:cs="Arial"/>
          <w:color w:val="000000" w:themeColor="text1"/>
          <w:sz w:val="22"/>
          <w:szCs w:val="22"/>
          <w:lang w:val="en-GB"/>
        </w:rPr>
        <w:t xml:space="preserve">they have in their partners to spend funds efficiency and effectively, and on the extent to which they are required to account for results and demonstrate </w:t>
      </w:r>
      <w:r w:rsidR="00823FB4">
        <w:rPr>
          <w:rFonts w:cs="Arial"/>
          <w:color w:val="000000" w:themeColor="text1"/>
          <w:sz w:val="22"/>
          <w:szCs w:val="22"/>
          <w:lang w:val="en-GB"/>
        </w:rPr>
        <w:t>how</w:t>
      </w:r>
      <w:r w:rsidR="00087D47" w:rsidRPr="00823FB4">
        <w:rPr>
          <w:rFonts w:cs="Arial"/>
          <w:color w:val="000000" w:themeColor="text1"/>
          <w:sz w:val="22"/>
          <w:szCs w:val="22"/>
          <w:lang w:val="en-GB"/>
        </w:rPr>
        <w:t xml:space="preserve"> their contributions</w:t>
      </w:r>
      <w:r w:rsidR="00823FB4">
        <w:rPr>
          <w:rFonts w:cs="Arial"/>
          <w:color w:val="000000" w:themeColor="text1"/>
          <w:sz w:val="22"/>
          <w:szCs w:val="22"/>
          <w:lang w:val="en-GB"/>
        </w:rPr>
        <w:t xml:space="preserve"> have been used</w:t>
      </w:r>
      <w:r w:rsidR="00087D47" w:rsidRPr="00823FB4">
        <w:rPr>
          <w:rFonts w:cs="Arial"/>
          <w:color w:val="000000" w:themeColor="text1"/>
          <w:sz w:val="22"/>
          <w:szCs w:val="22"/>
          <w:lang w:val="en-GB"/>
        </w:rPr>
        <w:t xml:space="preserve">. </w:t>
      </w:r>
      <w:r w:rsidRPr="00823FB4">
        <w:rPr>
          <w:rFonts w:cs="Arial"/>
          <w:color w:val="000000" w:themeColor="text1"/>
          <w:sz w:val="22"/>
          <w:szCs w:val="22"/>
          <w:lang w:val="en-GB"/>
        </w:rPr>
        <w:t xml:space="preserve">The popularity of earmarking </w:t>
      </w:r>
      <w:r w:rsidRPr="004B043C">
        <w:rPr>
          <w:rFonts w:ascii="Calibri" w:hAnsi="Calibri" w:cs="Arial"/>
          <w:color w:val="000000" w:themeColor="text1"/>
          <w:sz w:val="22"/>
          <w:szCs w:val="22"/>
          <w:lang w:val="en-GB"/>
        </w:rPr>
        <w:t xml:space="preserve">therefore </w:t>
      </w:r>
      <w:r w:rsidR="00087D47" w:rsidRPr="004B043C">
        <w:rPr>
          <w:rFonts w:ascii="Calibri" w:hAnsi="Calibri" w:cs="Arial"/>
          <w:color w:val="000000" w:themeColor="text1"/>
          <w:sz w:val="22"/>
          <w:szCs w:val="22"/>
          <w:lang w:val="en-GB"/>
        </w:rPr>
        <w:t>tends to shift</w:t>
      </w:r>
      <w:r w:rsidRPr="004B043C">
        <w:rPr>
          <w:rFonts w:ascii="Calibri" w:hAnsi="Calibri" w:cs="Arial"/>
          <w:color w:val="000000" w:themeColor="text1"/>
          <w:sz w:val="22"/>
          <w:szCs w:val="22"/>
          <w:lang w:val="en-GB"/>
        </w:rPr>
        <w:t xml:space="preserve"> in response to wider political factors and the changing nature of relationships bet</w:t>
      </w:r>
      <w:r w:rsidR="00967007" w:rsidRPr="004B043C">
        <w:rPr>
          <w:rFonts w:ascii="Calibri" w:hAnsi="Calibri" w:cs="Arial"/>
          <w:color w:val="000000" w:themeColor="text1"/>
          <w:sz w:val="22"/>
          <w:szCs w:val="22"/>
          <w:lang w:val="en-GB"/>
        </w:rPr>
        <w:t>ween donors and their partners</w:t>
      </w:r>
      <w:r w:rsidR="00087D47" w:rsidRPr="004B043C">
        <w:rPr>
          <w:rFonts w:ascii="Calibri" w:hAnsi="Calibri" w:cs="Arial"/>
          <w:color w:val="000000" w:themeColor="text1"/>
          <w:sz w:val="22"/>
          <w:szCs w:val="22"/>
          <w:lang w:val="en-GB"/>
        </w:rPr>
        <w:t xml:space="preserve">. </w:t>
      </w:r>
    </w:p>
    <w:p w14:paraId="3503186B" w14:textId="151ED7A0" w:rsidR="008E6081" w:rsidRPr="004B043C" w:rsidRDefault="00087D47" w:rsidP="004B043C">
      <w:pPr>
        <w:spacing w:after="120"/>
        <w:jc w:val="both"/>
        <w:rPr>
          <w:rFonts w:cs="Arial"/>
          <w:color w:val="000000" w:themeColor="text1"/>
          <w:sz w:val="22"/>
          <w:szCs w:val="22"/>
          <w:lang w:val="en-GB"/>
        </w:rPr>
      </w:pPr>
      <w:r w:rsidRPr="00823FB4">
        <w:rPr>
          <w:rFonts w:ascii="Calibri" w:hAnsi="Calibri"/>
          <w:sz w:val="22"/>
          <w:szCs w:val="22"/>
          <w:lang w:val="en-GB"/>
        </w:rPr>
        <w:t>C</w:t>
      </w:r>
      <w:r w:rsidR="00967007" w:rsidRPr="00823FB4">
        <w:rPr>
          <w:rFonts w:ascii="Calibri" w:hAnsi="Calibri"/>
          <w:sz w:val="22"/>
          <w:szCs w:val="22"/>
          <w:lang w:val="en-GB"/>
        </w:rPr>
        <w:t xml:space="preserve">urrently, </w:t>
      </w:r>
      <w:r w:rsidR="00102046">
        <w:rPr>
          <w:rFonts w:ascii="Calibri" w:hAnsi="Calibri"/>
          <w:sz w:val="22"/>
          <w:szCs w:val="22"/>
          <w:lang w:val="en-GB"/>
        </w:rPr>
        <w:t>many donors face increased</w:t>
      </w:r>
      <w:r w:rsidR="00967007" w:rsidRPr="00823FB4">
        <w:rPr>
          <w:rFonts w:ascii="Calibri" w:hAnsi="Calibri"/>
          <w:sz w:val="22"/>
          <w:szCs w:val="22"/>
          <w:lang w:val="en-GB"/>
        </w:rPr>
        <w:t xml:space="preserve"> domestic pressure to justify their </w:t>
      </w:r>
      <w:r w:rsidR="00102046">
        <w:rPr>
          <w:rFonts w:ascii="Calibri" w:hAnsi="Calibri"/>
          <w:sz w:val="22"/>
          <w:szCs w:val="22"/>
          <w:lang w:val="en-GB"/>
        </w:rPr>
        <w:t>aid expenditures</w:t>
      </w:r>
      <w:r w:rsidR="00967007" w:rsidRPr="00823FB4">
        <w:rPr>
          <w:rFonts w:ascii="Calibri" w:hAnsi="Calibri"/>
          <w:sz w:val="22"/>
          <w:szCs w:val="22"/>
          <w:lang w:val="en-GB"/>
        </w:rPr>
        <w:t xml:space="preserve">. In reality, for a number of donors, </w:t>
      </w:r>
      <w:r w:rsidR="00823FB4">
        <w:rPr>
          <w:rFonts w:ascii="Calibri" w:hAnsi="Calibri"/>
          <w:sz w:val="22"/>
          <w:szCs w:val="22"/>
          <w:lang w:val="en-GB"/>
        </w:rPr>
        <w:t xml:space="preserve">it is a challenge to </w:t>
      </w:r>
      <w:r w:rsidR="00967007" w:rsidRPr="00823FB4">
        <w:rPr>
          <w:rFonts w:ascii="Calibri" w:hAnsi="Calibri"/>
          <w:sz w:val="22"/>
          <w:szCs w:val="22"/>
          <w:lang w:val="en-GB"/>
        </w:rPr>
        <w:t xml:space="preserve">protect existing </w:t>
      </w:r>
      <w:r w:rsidRPr="00823FB4">
        <w:rPr>
          <w:rFonts w:ascii="Calibri" w:hAnsi="Calibri"/>
          <w:sz w:val="22"/>
          <w:szCs w:val="22"/>
          <w:lang w:val="en-GB"/>
        </w:rPr>
        <w:t xml:space="preserve">levels of </w:t>
      </w:r>
      <w:r w:rsidR="00967007" w:rsidRPr="00823FB4">
        <w:rPr>
          <w:rFonts w:ascii="Calibri" w:hAnsi="Calibri"/>
          <w:sz w:val="22"/>
          <w:szCs w:val="22"/>
          <w:lang w:val="en-GB"/>
        </w:rPr>
        <w:t xml:space="preserve">flexible financing </w:t>
      </w:r>
      <w:r w:rsidR="00823FB4">
        <w:rPr>
          <w:rFonts w:ascii="Calibri" w:hAnsi="Calibri"/>
          <w:sz w:val="22"/>
          <w:szCs w:val="22"/>
          <w:lang w:val="en-GB"/>
        </w:rPr>
        <w:t>and</w:t>
      </w:r>
      <w:r w:rsidR="00967007" w:rsidRPr="00823FB4">
        <w:rPr>
          <w:rFonts w:ascii="Calibri" w:hAnsi="Calibri"/>
          <w:sz w:val="22"/>
          <w:szCs w:val="22"/>
          <w:lang w:val="en-GB"/>
        </w:rPr>
        <w:t xml:space="preserve"> </w:t>
      </w:r>
      <w:r w:rsidR="00823FB4">
        <w:rPr>
          <w:rFonts w:ascii="Calibri" w:hAnsi="Calibri"/>
          <w:sz w:val="22"/>
          <w:szCs w:val="22"/>
          <w:lang w:val="en-GB"/>
        </w:rPr>
        <w:t xml:space="preserve">even more challenging to try to identify </w:t>
      </w:r>
      <w:r w:rsidR="00967007" w:rsidRPr="00823FB4">
        <w:rPr>
          <w:rFonts w:ascii="Calibri" w:hAnsi="Calibri"/>
          <w:sz w:val="22"/>
          <w:szCs w:val="22"/>
          <w:lang w:val="en-GB"/>
        </w:rPr>
        <w:t>opportunities to scale</w:t>
      </w:r>
      <w:r w:rsidR="00823FB4">
        <w:rPr>
          <w:rFonts w:ascii="Calibri" w:hAnsi="Calibri"/>
          <w:sz w:val="22"/>
          <w:szCs w:val="22"/>
          <w:lang w:val="en-GB"/>
        </w:rPr>
        <w:t>-</w:t>
      </w:r>
      <w:r w:rsidR="00967007" w:rsidRPr="00823FB4">
        <w:rPr>
          <w:rFonts w:ascii="Calibri" w:hAnsi="Calibri"/>
          <w:sz w:val="22"/>
          <w:szCs w:val="22"/>
          <w:lang w:val="en-GB"/>
        </w:rPr>
        <w:t xml:space="preserve">up </w:t>
      </w:r>
      <w:r w:rsidR="00823FB4">
        <w:rPr>
          <w:rFonts w:ascii="Calibri" w:hAnsi="Calibri"/>
          <w:sz w:val="22"/>
          <w:szCs w:val="22"/>
          <w:lang w:val="en-GB"/>
        </w:rPr>
        <w:t>un-earmarked funding</w:t>
      </w:r>
      <w:r w:rsidR="00967007" w:rsidRPr="00823FB4">
        <w:rPr>
          <w:rFonts w:ascii="Calibri" w:hAnsi="Calibri"/>
          <w:sz w:val="22"/>
          <w:szCs w:val="22"/>
          <w:lang w:val="en-GB"/>
        </w:rPr>
        <w:t xml:space="preserve">. </w:t>
      </w:r>
      <w:r w:rsidR="00967007" w:rsidRPr="00823FB4">
        <w:rPr>
          <w:sz w:val="22"/>
          <w:szCs w:val="22"/>
          <w:lang w:val="en-GB"/>
        </w:rPr>
        <w:t xml:space="preserve">The Grand Bargain dialogue </w:t>
      </w:r>
      <w:r w:rsidRPr="00823FB4">
        <w:rPr>
          <w:sz w:val="22"/>
          <w:szCs w:val="22"/>
          <w:lang w:val="en-GB"/>
        </w:rPr>
        <w:t xml:space="preserve">therefore </w:t>
      </w:r>
      <w:r w:rsidR="00967007" w:rsidRPr="00823FB4">
        <w:rPr>
          <w:sz w:val="22"/>
          <w:szCs w:val="22"/>
          <w:lang w:val="en-GB"/>
        </w:rPr>
        <w:t xml:space="preserve">provides an important opportunity for donors to articulate </w:t>
      </w:r>
      <w:r w:rsidR="00823FB4">
        <w:rPr>
          <w:sz w:val="22"/>
          <w:szCs w:val="22"/>
          <w:lang w:val="en-GB"/>
        </w:rPr>
        <w:t xml:space="preserve">transparently </w:t>
      </w:r>
      <w:r w:rsidR="00967007" w:rsidRPr="00823FB4">
        <w:rPr>
          <w:sz w:val="22"/>
          <w:szCs w:val="22"/>
          <w:lang w:val="en-GB"/>
        </w:rPr>
        <w:t>the challenges and disincentives they face in meeting their policy commitments to provide more flexible un</w:t>
      </w:r>
      <w:r w:rsidR="00823FB4">
        <w:rPr>
          <w:sz w:val="22"/>
          <w:szCs w:val="22"/>
          <w:lang w:val="en-GB"/>
        </w:rPr>
        <w:t>-</w:t>
      </w:r>
      <w:r w:rsidR="00967007" w:rsidRPr="00823FB4">
        <w:rPr>
          <w:sz w:val="22"/>
          <w:szCs w:val="22"/>
          <w:lang w:val="en-GB"/>
        </w:rPr>
        <w:t>earmarked funding</w:t>
      </w:r>
      <w:r w:rsidRPr="00823FB4">
        <w:rPr>
          <w:sz w:val="22"/>
          <w:szCs w:val="22"/>
          <w:lang w:val="en-GB"/>
        </w:rPr>
        <w:t>, and to look for mutually satisfactory solutions with their partners</w:t>
      </w:r>
      <w:r w:rsidR="00102046">
        <w:rPr>
          <w:sz w:val="22"/>
          <w:szCs w:val="22"/>
          <w:lang w:val="en-GB"/>
        </w:rPr>
        <w:t xml:space="preserve">, which will help them to navigate these tensions. </w:t>
      </w:r>
    </w:p>
    <w:p w14:paraId="40A37A29" w14:textId="2726126B" w:rsidR="00660B12" w:rsidRPr="00660B12" w:rsidRDefault="00660B12" w:rsidP="00D56A60">
      <w:pPr>
        <w:outlineLvl w:val="0"/>
        <w:rPr>
          <w:rFonts w:ascii="Calibri" w:hAnsi="Calibri"/>
          <w:b/>
          <w:i/>
          <w:sz w:val="22"/>
          <w:szCs w:val="22"/>
          <w:lang w:val="en-GB"/>
        </w:rPr>
      </w:pPr>
      <w:r w:rsidRPr="00660B12">
        <w:rPr>
          <w:rFonts w:ascii="Calibri" w:hAnsi="Calibri"/>
          <w:b/>
          <w:i/>
          <w:sz w:val="22"/>
          <w:szCs w:val="22"/>
          <w:lang w:val="en-GB"/>
        </w:rPr>
        <w:t xml:space="preserve">Issue area 1: Accounting for results, visibility and </w:t>
      </w:r>
      <w:r w:rsidR="008E6081">
        <w:rPr>
          <w:rFonts w:ascii="Calibri" w:hAnsi="Calibri"/>
          <w:b/>
          <w:i/>
          <w:sz w:val="22"/>
          <w:szCs w:val="22"/>
          <w:lang w:val="en-GB"/>
        </w:rPr>
        <w:t xml:space="preserve">transparent </w:t>
      </w:r>
      <w:r w:rsidRPr="00660B12">
        <w:rPr>
          <w:rFonts w:ascii="Calibri" w:hAnsi="Calibri"/>
          <w:b/>
          <w:i/>
          <w:sz w:val="22"/>
          <w:szCs w:val="22"/>
          <w:lang w:val="en-GB"/>
        </w:rPr>
        <w:t xml:space="preserve">decision-making </w:t>
      </w:r>
    </w:p>
    <w:p w14:paraId="12577B34" w14:textId="3809CD37" w:rsidR="003B6049" w:rsidRPr="00823FB4" w:rsidRDefault="00814B5E" w:rsidP="00814B5E">
      <w:pPr>
        <w:jc w:val="both"/>
        <w:rPr>
          <w:rFonts w:cs="Arial"/>
          <w:color w:val="000000" w:themeColor="text1"/>
          <w:sz w:val="22"/>
          <w:szCs w:val="22"/>
          <w:lang w:val="en-GB"/>
        </w:rPr>
      </w:pPr>
      <w:r>
        <w:rPr>
          <w:rFonts w:ascii="Calibri" w:hAnsi="Calibri"/>
          <w:sz w:val="22"/>
          <w:szCs w:val="22"/>
          <w:lang w:val="en-GB"/>
        </w:rPr>
        <w:t xml:space="preserve">Table 1 below presents a consolidated summary of donor issues highlighted in the responses to the survey. These focus mainly on three </w:t>
      </w:r>
      <w:r w:rsidR="00EF28A1">
        <w:rPr>
          <w:rFonts w:ascii="Calibri" w:hAnsi="Calibri"/>
          <w:sz w:val="22"/>
          <w:szCs w:val="22"/>
          <w:lang w:val="en-GB"/>
        </w:rPr>
        <w:t>areas</w:t>
      </w:r>
      <w:r>
        <w:rPr>
          <w:rFonts w:ascii="Calibri" w:hAnsi="Calibri"/>
          <w:sz w:val="22"/>
          <w:szCs w:val="22"/>
          <w:lang w:val="en-GB"/>
        </w:rPr>
        <w:t xml:space="preserve"> - accounting for results, visibility and </w:t>
      </w:r>
      <w:r w:rsidR="008E6081">
        <w:rPr>
          <w:rFonts w:ascii="Calibri" w:hAnsi="Calibri"/>
          <w:sz w:val="22"/>
          <w:szCs w:val="22"/>
          <w:lang w:val="en-GB"/>
        </w:rPr>
        <w:t xml:space="preserve">transparent </w:t>
      </w:r>
      <w:r>
        <w:rPr>
          <w:rFonts w:ascii="Calibri" w:hAnsi="Calibri"/>
          <w:sz w:val="22"/>
          <w:szCs w:val="22"/>
          <w:lang w:val="en-GB"/>
        </w:rPr>
        <w:t>decision-making</w:t>
      </w:r>
      <w:r w:rsidR="008E6081">
        <w:rPr>
          <w:rFonts w:ascii="Calibri" w:hAnsi="Calibri"/>
          <w:sz w:val="22"/>
          <w:szCs w:val="22"/>
          <w:lang w:val="en-GB"/>
        </w:rPr>
        <w:t xml:space="preserve"> on the use of un-earmarked funds</w:t>
      </w:r>
      <w:r>
        <w:rPr>
          <w:rFonts w:ascii="Calibri" w:hAnsi="Calibri"/>
          <w:sz w:val="22"/>
          <w:szCs w:val="22"/>
          <w:lang w:val="en-GB"/>
        </w:rPr>
        <w:t xml:space="preserve">. More specifically, donors are concerned about </w:t>
      </w:r>
      <w:r w:rsidRPr="00823FB4">
        <w:rPr>
          <w:rFonts w:ascii="Calibri" w:hAnsi="Calibri"/>
          <w:sz w:val="22"/>
          <w:szCs w:val="22"/>
          <w:lang w:val="en-GB"/>
        </w:rPr>
        <w:t>difficulties in accounting for results in a timely and granular manner</w:t>
      </w:r>
      <w:r>
        <w:rPr>
          <w:rFonts w:ascii="Calibri" w:hAnsi="Calibri"/>
          <w:sz w:val="22"/>
          <w:szCs w:val="22"/>
          <w:lang w:val="en-GB"/>
        </w:rPr>
        <w:t>;</w:t>
      </w:r>
      <w:r w:rsidRPr="00823FB4">
        <w:rPr>
          <w:rFonts w:ascii="Calibri" w:hAnsi="Calibri"/>
          <w:sz w:val="22"/>
          <w:szCs w:val="22"/>
          <w:lang w:val="en-GB"/>
        </w:rPr>
        <w:t xml:space="preserve"> the need to have some visibility or recognition for</w:t>
      </w:r>
      <w:r>
        <w:rPr>
          <w:rFonts w:ascii="Calibri" w:hAnsi="Calibri"/>
          <w:sz w:val="22"/>
          <w:szCs w:val="22"/>
          <w:lang w:val="en-GB"/>
        </w:rPr>
        <w:t xml:space="preserve"> their </w:t>
      </w:r>
      <w:r w:rsidR="000A07A0">
        <w:rPr>
          <w:rFonts w:ascii="Calibri" w:hAnsi="Calibri"/>
          <w:sz w:val="22"/>
          <w:szCs w:val="22"/>
          <w:lang w:val="en-GB"/>
        </w:rPr>
        <w:t xml:space="preserve">un-earmarked </w:t>
      </w:r>
      <w:r>
        <w:rPr>
          <w:rFonts w:ascii="Calibri" w:hAnsi="Calibri"/>
          <w:sz w:val="22"/>
          <w:szCs w:val="22"/>
          <w:lang w:val="en-GB"/>
        </w:rPr>
        <w:t xml:space="preserve">contributions; </w:t>
      </w:r>
      <w:r w:rsidRPr="00823FB4">
        <w:rPr>
          <w:rFonts w:ascii="Calibri" w:hAnsi="Calibri"/>
          <w:sz w:val="22"/>
          <w:szCs w:val="22"/>
          <w:lang w:val="en-GB"/>
        </w:rPr>
        <w:t xml:space="preserve">and a range of questions and concerns around how </w:t>
      </w:r>
      <w:r w:rsidR="008E6081">
        <w:rPr>
          <w:rFonts w:ascii="Calibri" w:hAnsi="Calibri"/>
          <w:sz w:val="22"/>
          <w:szCs w:val="22"/>
          <w:lang w:val="en-GB"/>
        </w:rPr>
        <w:t xml:space="preserve">un-earmarked </w:t>
      </w:r>
      <w:r w:rsidRPr="00823FB4">
        <w:rPr>
          <w:rFonts w:ascii="Calibri" w:hAnsi="Calibri"/>
          <w:sz w:val="22"/>
          <w:szCs w:val="22"/>
          <w:lang w:val="en-GB"/>
        </w:rPr>
        <w:t>funds are allocated</w:t>
      </w:r>
      <w:r>
        <w:rPr>
          <w:rFonts w:ascii="Calibri" w:hAnsi="Calibri"/>
          <w:sz w:val="22"/>
          <w:szCs w:val="22"/>
          <w:lang w:val="en-GB"/>
        </w:rPr>
        <w:t xml:space="preserve">. </w:t>
      </w:r>
      <w:r w:rsidR="00087D47" w:rsidRPr="00823FB4">
        <w:rPr>
          <w:rFonts w:ascii="Calibri" w:hAnsi="Calibri"/>
          <w:sz w:val="22"/>
          <w:szCs w:val="22"/>
          <w:lang w:val="en-GB"/>
        </w:rPr>
        <w:t xml:space="preserve">These challenges and the beginnings of practical solutions are already anticipated and reflected in the </w:t>
      </w:r>
      <w:r w:rsidR="00823FB4">
        <w:rPr>
          <w:rFonts w:ascii="Calibri" w:hAnsi="Calibri"/>
          <w:sz w:val="22"/>
          <w:szCs w:val="22"/>
          <w:lang w:val="en-GB"/>
        </w:rPr>
        <w:t xml:space="preserve">following </w:t>
      </w:r>
      <w:r w:rsidR="00087D47" w:rsidRPr="00823FB4">
        <w:rPr>
          <w:rFonts w:ascii="Calibri" w:hAnsi="Calibri"/>
          <w:sz w:val="22"/>
          <w:szCs w:val="22"/>
          <w:lang w:val="en-GB"/>
        </w:rPr>
        <w:t xml:space="preserve">Grand Bargain commitments: </w:t>
      </w:r>
    </w:p>
    <w:p w14:paraId="2B7FA79E" w14:textId="77777777" w:rsidR="00723C45" w:rsidRPr="00823FB4" w:rsidRDefault="00723C45" w:rsidP="002053B3">
      <w:pPr>
        <w:pStyle w:val="NormalWeb"/>
        <w:numPr>
          <w:ilvl w:val="0"/>
          <w:numId w:val="7"/>
        </w:numPr>
        <w:spacing w:before="120" w:beforeAutospacing="0" w:after="0" w:afterAutospacing="0"/>
        <w:ind w:left="714" w:hanging="357"/>
        <w:jc w:val="both"/>
        <w:rPr>
          <w:rFonts w:ascii="Calibri" w:hAnsi="Calibri"/>
          <w:sz w:val="22"/>
          <w:szCs w:val="22"/>
          <w:lang w:val="en-GB"/>
        </w:rPr>
      </w:pPr>
      <w:r w:rsidRPr="00823FB4">
        <w:rPr>
          <w:rFonts w:ascii="Calibri" w:hAnsi="Calibri"/>
          <w:sz w:val="22"/>
          <w:szCs w:val="22"/>
          <w:lang w:val="en-GB"/>
        </w:rPr>
        <w:t>Jointly determine, on an annual basis, the most effective and efficient way of reporting on un-earmarked and softly earmarked funding and to initiate this reporting by the end of 2017.</w:t>
      </w:r>
    </w:p>
    <w:p w14:paraId="5B4E1BFB" w14:textId="77777777" w:rsidR="00723C45" w:rsidRPr="00823FB4" w:rsidRDefault="00723C45" w:rsidP="002053B3">
      <w:pPr>
        <w:pStyle w:val="NormalWeb"/>
        <w:numPr>
          <w:ilvl w:val="0"/>
          <w:numId w:val="7"/>
        </w:numPr>
        <w:jc w:val="both"/>
        <w:rPr>
          <w:rFonts w:ascii="Calibri" w:hAnsi="Calibri"/>
          <w:sz w:val="22"/>
          <w:szCs w:val="22"/>
          <w:lang w:val="en-GB"/>
        </w:rPr>
      </w:pPr>
      <w:r w:rsidRPr="00823FB4">
        <w:rPr>
          <w:rFonts w:ascii="Calibri" w:hAnsi="Calibri"/>
          <w:sz w:val="22"/>
          <w:szCs w:val="22"/>
          <w:lang w:val="en-GB"/>
        </w:rPr>
        <w:lastRenderedPageBreak/>
        <w:t xml:space="preserve">Be transparent and regularly share information with donors outlining the criteria for how core and un-earmarked funding is allocated (for example, urgent needs, emergency preparedness, forgotten contexts, improved management) </w:t>
      </w:r>
    </w:p>
    <w:p w14:paraId="5E94663E" w14:textId="77777777" w:rsidR="00723C45" w:rsidRPr="00823FB4" w:rsidRDefault="00723C45" w:rsidP="005D457D">
      <w:pPr>
        <w:pStyle w:val="NormalWeb"/>
        <w:numPr>
          <w:ilvl w:val="0"/>
          <w:numId w:val="7"/>
        </w:numPr>
        <w:spacing w:before="0" w:beforeAutospacing="0" w:after="120" w:afterAutospacing="0"/>
        <w:ind w:left="714" w:hanging="357"/>
        <w:jc w:val="both"/>
        <w:rPr>
          <w:rFonts w:ascii="Calibri" w:hAnsi="Calibri"/>
          <w:sz w:val="22"/>
          <w:szCs w:val="22"/>
          <w:lang w:val="en-GB"/>
        </w:rPr>
      </w:pPr>
      <w:r w:rsidRPr="00823FB4">
        <w:rPr>
          <w:rFonts w:ascii="Calibri" w:hAnsi="Calibri"/>
          <w:sz w:val="22"/>
          <w:szCs w:val="22"/>
          <w:lang w:val="en-GB"/>
        </w:rPr>
        <w:t xml:space="preserve">Increase the visibility of un-earmarked and softly earmarked funding, thereby recognising the contribution made by donors. </w:t>
      </w:r>
    </w:p>
    <w:p w14:paraId="3BAB9027" w14:textId="005EEC85" w:rsidR="003333AC" w:rsidRDefault="005D457D" w:rsidP="005D457D">
      <w:pPr>
        <w:spacing w:after="120"/>
        <w:jc w:val="both"/>
        <w:rPr>
          <w:rFonts w:cs="Arial"/>
          <w:color w:val="000000" w:themeColor="text1"/>
          <w:sz w:val="22"/>
          <w:szCs w:val="22"/>
          <w:lang w:val="en-GB"/>
        </w:rPr>
      </w:pPr>
      <w:r w:rsidRPr="005D457D">
        <w:rPr>
          <w:rFonts w:ascii="Calibri" w:hAnsi="Calibri" w:cs="Arial"/>
          <w:color w:val="000000" w:themeColor="text1"/>
          <w:sz w:val="22"/>
          <w:szCs w:val="22"/>
          <w:lang w:val="en-GB"/>
        </w:rPr>
        <w:t>Recognising that donors need some visibility and recognition for their un-earmarked funding, agencies</w:t>
      </w:r>
      <w:r w:rsidRPr="005D457D">
        <w:rPr>
          <w:rFonts w:cs="Arial"/>
          <w:color w:val="000000" w:themeColor="text1"/>
          <w:sz w:val="22"/>
          <w:szCs w:val="22"/>
          <w:lang w:val="en-GB"/>
        </w:rPr>
        <w:t xml:space="preserve"> have begun developing different ways to provide this. Those responding to the </w:t>
      </w:r>
      <w:r w:rsidR="00AA2CAE">
        <w:rPr>
          <w:rFonts w:cs="Arial"/>
          <w:color w:val="000000" w:themeColor="text1"/>
          <w:sz w:val="22"/>
          <w:szCs w:val="22"/>
          <w:lang w:val="en-GB"/>
        </w:rPr>
        <w:t xml:space="preserve">agency </w:t>
      </w:r>
      <w:r w:rsidRPr="005D457D">
        <w:rPr>
          <w:rFonts w:cs="Arial"/>
          <w:color w:val="000000" w:themeColor="text1"/>
          <w:sz w:val="22"/>
          <w:szCs w:val="22"/>
          <w:lang w:val="en-GB"/>
        </w:rPr>
        <w:t xml:space="preserve">survey noted that they publish the list of donors providing un-earmarked funding on their websites, highlight un-earmarked contributions in annual/global reports, produce an annual report on the use of un-earmarked funding </w:t>
      </w:r>
      <w:r w:rsidR="003333AC">
        <w:rPr>
          <w:rFonts w:cs="Arial"/>
          <w:color w:val="000000" w:themeColor="text1"/>
          <w:sz w:val="22"/>
          <w:szCs w:val="22"/>
          <w:lang w:val="en-GB"/>
        </w:rPr>
        <w:t>and</w:t>
      </w:r>
      <w:r w:rsidRPr="005D457D">
        <w:rPr>
          <w:rFonts w:cs="Arial"/>
          <w:color w:val="000000" w:themeColor="text1"/>
          <w:sz w:val="22"/>
          <w:szCs w:val="22"/>
          <w:lang w:val="en-GB"/>
        </w:rPr>
        <w:t xml:space="preserve"> highlight the un-earmarked contributions of donors</w:t>
      </w:r>
      <w:r w:rsidR="003333AC">
        <w:rPr>
          <w:rFonts w:cs="Arial"/>
          <w:color w:val="000000" w:themeColor="text1"/>
          <w:sz w:val="22"/>
          <w:szCs w:val="22"/>
          <w:lang w:val="en-GB"/>
        </w:rPr>
        <w:t xml:space="preserve"> in publicity materials, official statements and social media communications</w:t>
      </w:r>
      <w:r w:rsidRPr="005D457D">
        <w:rPr>
          <w:rFonts w:cs="Arial"/>
          <w:color w:val="000000" w:themeColor="text1"/>
          <w:sz w:val="22"/>
          <w:szCs w:val="22"/>
          <w:lang w:val="en-GB"/>
        </w:rPr>
        <w:t xml:space="preserve">. </w:t>
      </w:r>
    </w:p>
    <w:p w14:paraId="51900CCF" w14:textId="255B00D9" w:rsidR="005D457D" w:rsidRPr="005D457D" w:rsidRDefault="000A07A0" w:rsidP="005D457D">
      <w:pPr>
        <w:spacing w:after="120"/>
        <w:jc w:val="both"/>
        <w:rPr>
          <w:rFonts w:ascii="Calibri" w:hAnsi="Calibri"/>
          <w:sz w:val="22"/>
          <w:szCs w:val="22"/>
          <w:lang w:val="en-GB"/>
        </w:rPr>
      </w:pPr>
      <w:r>
        <w:rPr>
          <w:rFonts w:cs="Arial"/>
          <w:color w:val="000000" w:themeColor="text1"/>
          <w:sz w:val="22"/>
          <w:szCs w:val="22"/>
          <w:lang w:val="en-GB"/>
        </w:rPr>
        <w:t>Responses to the survey show that s</w:t>
      </w:r>
      <w:r w:rsidR="005D457D" w:rsidRPr="005D457D">
        <w:rPr>
          <w:rFonts w:cs="Arial"/>
          <w:color w:val="000000" w:themeColor="text1"/>
          <w:sz w:val="22"/>
          <w:szCs w:val="22"/>
          <w:lang w:val="en-GB"/>
        </w:rPr>
        <w:t xml:space="preserve">ome agencies have also sought to ensure that donors trust them to make the right decisions about the use of un-earmarked funds by developing methodologies for the allocation of these funds. For example, UNICEF </w:t>
      </w:r>
      <w:r w:rsidR="005D457D" w:rsidRPr="005D457D">
        <w:rPr>
          <w:rFonts w:ascii="Calibri" w:hAnsi="Calibri" w:cs="Arial"/>
          <w:sz w:val="22"/>
          <w:szCs w:val="22"/>
          <w:lang w:val="en-GB"/>
        </w:rPr>
        <w:t xml:space="preserve">has the </w:t>
      </w:r>
      <w:r w:rsidR="005D457D" w:rsidRPr="005D457D">
        <w:rPr>
          <w:rFonts w:ascii="Calibri" w:hAnsi="Calibri"/>
          <w:sz w:val="22"/>
          <w:szCs w:val="22"/>
        </w:rPr>
        <w:t>Allocation of Thematic Funding Guidelines to provide guidance on process, priorities, as well as floors and ceilings for the allocation of its softly earmarked Global Thematic Funding. The Allocations Advisory Committee makes recommendations for the allocation of Global Thematic Funding while the Deputy Executive Directors and UNICEF Executive Director make the decisions.</w:t>
      </w:r>
      <w:r w:rsidR="005D457D" w:rsidRPr="00836607">
        <w:rPr>
          <w:rStyle w:val="FootnoteReference"/>
          <w:rFonts w:ascii="Calibri" w:hAnsi="Calibri"/>
          <w:sz w:val="22"/>
          <w:szCs w:val="22"/>
        </w:rPr>
        <w:footnoteReference w:id="3"/>
      </w:r>
      <w:r w:rsidR="005D457D" w:rsidRPr="005D457D">
        <w:rPr>
          <w:rFonts w:ascii="Calibri" w:hAnsi="Calibri"/>
          <w:sz w:val="22"/>
          <w:szCs w:val="22"/>
        </w:rPr>
        <w:t xml:space="preserve"> </w:t>
      </w:r>
      <w:r w:rsidR="005D457D" w:rsidRPr="005D457D">
        <w:rPr>
          <w:rFonts w:ascii="Calibri" w:hAnsi="Calibri"/>
          <w:sz w:val="22"/>
          <w:szCs w:val="22"/>
          <w:lang w:val="en-GB"/>
        </w:rPr>
        <w:t xml:space="preserve">In addition, several donors cited WFP as a good practice example of an agency that gives visibility to donors that contribute un-earmarked funding and is transparent about its decision-making processes for the use of un-earmarked funds. This is illustrated in Box 1 below. </w:t>
      </w:r>
    </w:p>
    <w:p w14:paraId="1E484335" w14:textId="77777777" w:rsidR="005D457D" w:rsidRDefault="005D457D" w:rsidP="00D56A60">
      <w:pPr>
        <w:pStyle w:val="Caption"/>
        <w:outlineLvl w:val="0"/>
        <w:rPr>
          <w:rFonts w:ascii="Calibri" w:hAnsi="Calibri"/>
          <w:sz w:val="22"/>
          <w:szCs w:val="22"/>
          <w:lang w:val="en-GB"/>
        </w:rPr>
      </w:pPr>
      <w:r>
        <w:t xml:space="preserve">Box </w:t>
      </w:r>
      <w:fldSimple w:instr=" SEQ Box \* ARABIC ">
        <w:r>
          <w:rPr>
            <w:noProof/>
          </w:rPr>
          <w:t>1</w:t>
        </w:r>
      </w:fldSimple>
      <w:r>
        <w:t xml:space="preserve">: Good practice example: WFP’s responses to donor requests for visibility and transparency </w:t>
      </w:r>
    </w:p>
    <w:tbl>
      <w:tblPr>
        <w:tblStyle w:val="TableGrid"/>
        <w:tblW w:w="0" w:type="auto"/>
        <w:shd w:val="clear" w:color="auto" w:fill="EDEDED" w:themeFill="accent3" w:themeFillTint="33"/>
        <w:tblLook w:val="04A0" w:firstRow="1" w:lastRow="0" w:firstColumn="1" w:lastColumn="0" w:noHBand="0" w:noVBand="1"/>
      </w:tblPr>
      <w:tblGrid>
        <w:gridCol w:w="9236"/>
      </w:tblGrid>
      <w:tr w:rsidR="005D457D" w:rsidRPr="00173847" w14:paraId="11C93B16" w14:textId="77777777" w:rsidTr="00634F94">
        <w:tc>
          <w:tcPr>
            <w:tcW w:w="9236" w:type="dxa"/>
            <w:shd w:val="clear" w:color="auto" w:fill="EDEDED" w:themeFill="accent3" w:themeFillTint="33"/>
          </w:tcPr>
          <w:p w14:paraId="55471235" w14:textId="77777777" w:rsidR="005D457D" w:rsidRPr="008E6081" w:rsidRDefault="005D457D" w:rsidP="00634F94">
            <w:pPr>
              <w:rPr>
                <w:rFonts w:ascii="Calibri" w:hAnsi="Calibri"/>
                <w:sz w:val="22"/>
                <w:szCs w:val="22"/>
                <w:lang w:val="en-GB"/>
              </w:rPr>
            </w:pPr>
            <w:r w:rsidRPr="008E6081">
              <w:rPr>
                <w:rFonts w:ascii="Calibri" w:hAnsi="Calibri"/>
                <w:b/>
                <w:i/>
                <w:sz w:val="22"/>
                <w:szCs w:val="22"/>
                <w:lang w:val="en-GB"/>
              </w:rPr>
              <w:t>Visibility</w:t>
            </w:r>
            <w:r w:rsidRPr="008E6081">
              <w:rPr>
                <w:rFonts w:ascii="Calibri" w:hAnsi="Calibri"/>
                <w:sz w:val="22"/>
                <w:szCs w:val="22"/>
                <w:lang w:val="en-GB"/>
              </w:rPr>
              <w:t>: WFP lists donors providing un-earmarked/multilateral funding together with their contributions separately from other donors on its website. WFP also uses social media to make multilateral contributions more visible and communicate the results achieved. Its online platforms and social media outreach (website, Facebook pages and Twitter accounts) provide regular visibility for the strategic role that multilateral funds are playing in achieving Zero Hunger. Regular information on WFP’s use of un-earmarked funding posted on its website can help donors to demonstrate the value of these contributions to various stakeholders.</w:t>
            </w:r>
          </w:p>
          <w:p w14:paraId="22925FCF" w14:textId="77777777" w:rsidR="005D457D" w:rsidRPr="008E6081" w:rsidRDefault="005D457D" w:rsidP="00634F94">
            <w:pPr>
              <w:rPr>
                <w:rFonts w:ascii="Calibri" w:hAnsi="Calibri"/>
                <w:sz w:val="22"/>
                <w:szCs w:val="22"/>
                <w:lang w:val="en-GB"/>
              </w:rPr>
            </w:pPr>
          </w:p>
          <w:p w14:paraId="647258E5" w14:textId="77777777" w:rsidR="005D457D" w:rsidRPr="00173847" w:rsidRDefault="005D457D" w:rsidP="00634F94">
            <w:pPr>
              <w:rPr>
                <w:rFonts w:ascii="Calibri" w:hAnsi="Calibri"/>
                <w:sz w:val="21"/>
                <w:szCs w:val="22"/>
                <w:lang w:val="en-GB"/>
              </w:rPr>
            </w:pPr>
            <w:r w:rsidRPr="008E6081">
              <w:rPr>
                <w:rFonts w:ascii="Calibri" w:hAnsi="Calibri"/>
                <w:b/>
                <w:i/>
                <w:sz w:val="22"/>
                <w:szCs w:val="22"/>
                <w:lang w:val="en-GB"/>
              </w:rPr>
              <w:t>Transparency</w:t>
            </w:r>
            <w:r w:rsidRPr="008E6081">
              <w:rPr>
                <w:rFonts w:ascii="Calibri" w:hAnsi="Calibri"/>
                <w:sz w:val="22"/>
                <w:szCs w:val="22"/>
                <w:lang w:val="en-GB"/>
              </w:rPr>
              <w:t>: WFP has a Strategic Resource Allocation Committee (SRAC) that reviews and oversees the prioritisation and allocation of all its multilateral funding. The SRAC Secretariat prioritises the use of multilateral funding according to an established set of quantitative and qualitative criteria. Based on this prioritisation and on a set of guiding principles, the Secretariat suggests possible allocations to the SRAC. The SRAC’s decisions on the use of multilateral funding and contributions to WFP’s Immediate Response Account (IRA) are available on WFP’s website on a monthly basis. WFP also produces an annual report on the use of its multilateral funding that is available to the public on its website. In addition, WFP shares the final list of the allocation of contributions with multilateral donors, if necessary.</w:t>
            </w:r>
          </w:p>
        </w:tc>
      </w:tr>
    </w:tbl>
    <w:p w14:paraId="6FEC7210" w14:textId="77777777" w:rsidR="005D457D" w:rsidRPr="005D457D" w:rsidRDefault="005D457D" w:rsidP="005D457D">
      <w:pPr>
        <w:jc w:val="both"/>
        <w:rPr>
          <w:rFonts w:cs="Arial"/>
          <w:color w:val="000000" w:themeColor="text1"/>
          <w:sz w:val="22"/>
          <w:szCs w:val="22"/>
          <w:lang w:val="en-GB"/>
        </w:rPr>
      </w:pPr>
    </w:p>
    <w:p w14:paraId="3EF6F1ED" w14:textId="3EEBBAB9" w:rsidR="00D71A84" w:rsidRDefault="00AA2CAE" w:rsidP="00D71A84">
      <w:pPr>
        <w:jc w:val="both"/>
        <w:rPr>
          <w:rFonts w:ascii="Calibri" w:hAnsi="Calibri"/>
          <w:sz w:val="22"/>
          <w:szCs w:val="22"/>
          <w:lang w:val="en-GB"/>
        </w:rPr>
      </w:pPr>
      <w:r>
        <w:rPr>
          <w:rFonts w:ascii="Calibri" w:hAnsi="Calibri"/>
          <w:sz w:val="22"/>
          <w:szCs w:val="22"/>
          <w:lang w:val="en-GB"/>
        </w:rPr>
        <w:t>D</w:t>
      </w:r>
      <w:r w:rsidR="001050D4">
        <w:rPr>
          <w:rFonts w:ascii="Calibri" w:hAnsi="Calibri"/>
          <w:sz w:val="22"/>
          <w:szCs w:val="22"/>
          <w:lang w:val="en-GB"/>
        </w:rPr>
        <w:t xml:space="preserve">espite improvements in the tools and content of reporting on results and the ways in which recipients provided visibility for donor contributions, feedback from donors indicate that these efforts do not yet fully address their needs and requirements. </w:t>
      </w:r>
      <w:r w:rsidR="008E6081" w:rsidRPr="008E6081">
        <w:rPr>
          <w:rFonts w:ascii="Calibri" w:hAnsi="Calibri"/>
          <w:sz w:val="22"/>
          <w:szCs w:val="22"/>
          <w:lang w:val="en-GB"/>
        </w:rPr>
        <w:t xml:space="preserve">Table 1 highlights the links between donor concerns and existing Grand Bargain commitments together with other potential opportunities for solutions. </w:t>
      </w:r>
    </w:p>
    <w:p w14:paraId="27D730F6" w14:textId="22ABDB6E" w:rsidR="00C0045C" w:rsidRPr="00823FB4" w:rsidRDefault="00C0045C" w:rsidP="00D71A84">
      <w:pPr>
        <w:jc w:val="both"/>
        <w:rPr>
          <w:rFonts w:ascii="Calibri" w:hAnsi="Calibri"/>
          <w:b/>
          <w:i/>
          <w:sz w:val="22"/>
          <w:szCs w:val="22"/>
          <w:lang w:val="en-GB"/>
        </w:rPr>
        <w:sectPr w:rsidR="00C0045C" w:rsidRPr="00823FB4" w:rsidSect="00F877E5">
          <w:footerReference w:type="even" r:id="rId8"/>
          <w:footerReference w:type="default" r:id="rId9"/>
          <w:footerReference w:type="first" r:id="rId10"/>
          <w:pgSz w:w="11900" w:h="16840"/>
          <w:pgMar w:top="1440" w:right="1440" w:bottom="1440" w:left="1440" w:header="720" w:footer="720" w:gutter="0"/>
          <w:pgNumType w:start="0"/>
          <w:cols w:space="720"/>
          <w:titlePg/>
          <w:docGrid w:linePitch="360"/>
        </w:sectPr>
      </w:pPr>
      <w:r w:rsidRPr="00823FB4">
        <w:rPr>
          <w:rFonts w:ascii="Calibri" w:hAnsi="Calibri"/>
          <w:b/>
          <w:i/>
          <w:sz w:val="22"/>
          <w:szCs w:val="22"/>
          <w:lang w:val="en-GB"/>
        </w:rPr>
        <w:br w:type="page"/>
      </w:r>
    </w:p>
    <w:p w14:paraId="1C70B42C" w14:textId="3E94EAF9" w:rsidR="00AE1188" w:rsidRPr="00823FB4" w:rsidRDefault="00087D47" w:rsidP="00D56A60">
      <w:pPr>
        <w:pStyle w:val="Caption"/>
        <w:outlineLvl w:val="0"/>
        <w:rPr>
          <w:rFonts w:ascii="Calibri" w:hAnsi="Calibri"/>
          <w:sz w:val="22"/>
          <w:szCs w:val="22"/>
          <w:lang w:val="en-GB"/>
        </w:rPr>
      </w:pPr>
      <w:r w:rsidRPr="00823FB4">
        <w:rPr>
          <w:lang w:val="en-GB"/>
        </w:rPr>
        <w:lastRenderedPageBreak/>
        <w:t xml:space="preserve">Table </w:t>
      </w:r>
      <w:r w:rsidR="00092941" w:rsidRPr="00823FB4">
        <w:rPr>
          <w:lang w:val="en-GB"/>
        </w:rPr>
        <w:fldChar w:fldCharType="begin"/>
      </w:r>
      <w:r w:rsidR="00092941" w:rsidRPr="00823FB4">
        <w:rPr>
          <w:lang w:val="en-GB"/>
        </w:rPr>
        <w:instrText xml:space="preserve"> SEQ Table \* ARABIC </w:instrText>
      </w:r>
      <w:r w:rsidR="00092941" w:rsidRPr="00823FB4">
        <w:rPr>
          <w:lang w:val="en-GB"/>
        </w:rPr>
        <w:fldChar w:fldCharType="separate"/>
      </w:r>
      <w:r w:rsidR="00BC1942">
        <w:rPr>
          <w:noProof/>
          <w:lang w:val="en-GB"/>
        </w:rPr>
        <w:t>1</w:t>
      </w:r>
      <w:r w:rsidR="00092941" w:rsidRPr="00823FB4">
        <w:rPr>
          <w:noProof/>
          <w:lang w:val="en-GB"/>
        </w:rPr>
        <w:fldChar w:fldCharType="end"/>
      </w:r>
      <w:r w:rsidRPr="00823FB4">
        <w:rPr>
          <w:lang w:val="en-GB"/>
        </w:rPr>
        <w:t xml:space="preserve">: Consolidated donor responses </w:t>
      </w:r>
      <w:r w:rsidR="00173847">
        <w:rPr>
          <w:lang w:val="en-GB"/>
        </w:rPr>
        <w:t xml:space="preserve">on accounting for results, visibility and decision-making </w:t>
      </w:r>
    </w:p>
    <w:tbl>
      <w:tblPr>
        <w:tblStyle w:val="GridTable1Light1"/>
        <w:tblW w:w="5206" w:type="pct"/>
        <w:tblInd w:w="-342" w:type="dxa"/>
        <w:tblLook w:val="04A0" w:firstRow="1" w:lastRow="0" w:firstColumn="1" w:lastColumn="0" w:noHBand="0" w:noVBand="1"/>
      </w:tblPr>
      <w:tblGrid>
        <w:gridCol w:w="1981"/>
        <w:gridCol w:w="6657"/>
        <w:gridCol w:w="6122"/>
      </w:tblGrid>
      <w:tr w:rsidR="00765121" w:rsidRPr="00765121" w14:paraId="70C159F3" w14:textId="77777777" w:rsidTr="007651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pct"/>
          </w:tcPr>
          <w:p w14:paraId="4C4B4A24" w14:textId="77777777" w:rsidR="00AE1188" w:rsidRPr="00765121" w:rsidRDefault="00AE1188" w:rsidP="00AE1188">
            <w:pPr>
              <w:rPr>
                <w:rFonts w:ascii="Calibri" w:hAnsi="Calibri"/>
                <w:i/>
                <w:sz w:val="20"/>
                <w:szCs w:val="20"/>
                <w:lang w:val="en-GB"/>
              </w:rPr>
            </w:pPr>
            <w:r w:rsidRPr="00765121">
              <w:rPr>
                <w:rFonts w:ascii="Calibri" w:hAnsi="Calibri"/>
                <w:i/>
                <w:sz w:val="20"/>
                <w:szCs w:val="20"/>
                <w:lang w:val="en-GB"/>
              </w:rPr>
              <w:t>Theme</w:t>
            </w:r>
          </w:p>
        </w:tc>
        <w:tc>
          <w:tcPr>
            <w:tcW w:w="2255" w:type="pct"/>
          </w:tcPr>
          <w:p w14:paraId="7F682C3A" w14:textId="77777777" w:rsidR="00AE1188" w:rsidRPr="00765121" w:rsidRDefault="00AE1188" w:rsidP="00AE1188">
            <w:pPr>
              <w:cnfStyle w:val="100000000000" w:firstRow="1" w:lastRow="0" w:firstColumn="0" w:lastColumn="0" w:oddVBand="0" w:evenVBand="0" w:oddHBand="0" w:evenHBand="0" w:firstRowFirstColumn="0" w:firstRowLastColumn="0" w:lastRowFirstColumn="0" w:lastRowLastColumn="0"/>
              <w:rPr>
                <w:rFonts w:ascii="Calibri" w:hAnsi="Calibri"/>
                <w:i/>
                <w:sz w:val="20"/>
                <w:szCs w:val="20"/>
                <w:lang w:val="en-GB"/>
              </w:rPr>
            </w:pPr>
            <w:r w:rsidRPr="00765121">
              <w:rPr>
                <w:rFonts w:ascii="Calibri" w:hAnsi="Calibri"/>
                <w:i/>
                <w:sz w:val="20"/>
                <w:szCs w:val="20"/>
                <w:lang w:val="en-GB"/>
              </w:rPr>
              <w:t>Issue</w:t>
            </w:r>
          </w:p>
        </w:tc>
        <w:tc>
          <w:tcPr>
            <w:tcW w:w="2074" w:type="pct"/>
          </w:tcPr>
          <w:p w14:paraId="5A75B583" w14:textId="48584C24" w:rsidR="00AE1188" w:rsidRPr="00765121" w:rsidRDefault="00AE1188" w:rsidP="00AE1188">
            <w:pPr>
              <w:cnfStyle w:val="100000000000" w:firstRow="1" w:lastRow="0" w:firstColumn="0" w:lastColumn="0" w:oddVBand="0" w:evenVBand="0" w:oddHBand="0" w:evenHBand="0" w:firstRowFirstColumn="0" w:firstRowLastColumn="0" w:lastRowFirstColumn="0" w:lastRowLastColumn="0"/>
              <w:rPr>
                <w:rFonts w:ascii="Calibri" w:hAnsi="Calibri"/>
                <w:i/>
                <w:sz w:val="20"/>
                <w:szCs w:val="20"/>
                <w:lang w:val="en-GB"/>
              </w:rPr>
            </w:pPr>
            <w:r w:rsidRPr="00765121">
              <w:rPr>
                <w:rFonts w:ascii="Calibri" w:hAnsi="Calibri"/>
                <w:i/>
                <w:sz w:val="20"/>
                <w:szCs w:val="20"/>
                <w:lang w:val="en-GB"/>
              </w:rPr>
              <w:t>Comment</w:t>
            </w:r>
            <w:r w:rsidR="009C720A" w:rsidRPr="00765121">
              <w:rPr>
                <w:rFonts w:ascii="Calibri" w:hAnsi="Calibri"/>
                <w:i/>
                <w:sz w:val="20"/>
                <w:szCs w:val="20"/>
                <w:lang w:val="en-GB"/>
              </w:rPr>
              <w:t xml:space="preserve">ary </w:t>
            </w:r>
          </w:p>
        </w:tc>
      </w:tr>
      <w:tr w:rsidR="00765121" w:rsidRPr="00765121" w14:paraId="35B25E0A" w14:textId="77777777" w:rsidTr="00765121">
        <w:tc>
          <w:tcPr>
            <w:cnfStyle w:val="001000000000" w:firstRow="0" w:lastRow="0" w:firstColumn="1" w:lastColumn="0" w:oddVBand="0" w:evenVBand="0" w:oddHBand="0" w:evenHBand="0" w:firstRowFirstColumn="0" w:firstRowLastColumn="0" w:lastRowFirstColumn="0" w:lastRowLastColumn="0"/>
            <w:tcW w:w="671" w:type="pct"/>
          </w:tcPr>
          <w:p w14:paraId="44A4A6AE" w14:textId="0A1B2DD4" w:rsidR="00AE1188" w:rsidRPr="00765121" w:rsidRDefault="009C720A" w:rsidP="00AE1188">
            <w:pPr>
              <w:rPr>
                <w:rFonts w:ascii="Calibri" w:hAnsi="Calibri"/>
                <w:b w:val="0"/>
                <w:sz w:val="20"/>
                <w:szCs w:val="20"/>
                <w:lang w:val="en-GB"/>
              </w:rPr>
            </w:pPr>
            <w:r w:rsidRPr="00765121">
              <w:rPr>
                <w:rFonts w:ascii="Calibri" w:hAnsi="Calibri"/>
                <w:b w:val="0"/>
                <w:sz w:val="20"/>
                <w:szCs w:val="20"/>
                <w:lang w:val="en-GB"/>
              </w:rPr>
              <w:t>Account</w:t>
            </w:r>
            <w:r w:rsidR="00866202" w:rsidRPr="00765121">
              <w:rPr>
                <w:rFonts w:ascii="Calibri" w:hAnsi="Calibri"/>
                <w:b w:val="0"/>
                <w:sz w:val="20"/>
                <w:szCs w:val="20"/>
                <w:lang w:val="en-GB"/>
              </w:rPr>
              <w:t xml:space="preserve">ing for results </w:t>
            </w:r>
          </w:p>
        </w:tc>
        <w:tc>
          <w:tcPr>
            <w:tcW w:w="2255" w:type="pct"/>
          </w:tcPr>
          <w:p w14:paraId="735F4A47" w14:textId="52D566B9" w:rsidR="00866202" w:rsidRPr="00765121" w:rsidRDefault="00866202" w:rsidP="00A07AB6">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GB"/>
              </w:rPr>
            </w:pPr>
            <w:r w:rsidRPr="00765121">
              <w:rPr>
                <w:rFonts w:ascii="Calibri" w:hAnsi="Calibri"/>
                <w:sz w:val="20"/>
                <w:szCs w:val="20"/>
                <w:lang w:val="en-GB"/>
              </w:rPr>
              <w:t>The ability to account for results</w:t>
            </w:r>
            <w:r w:rsidR="00FB0FFD" w:rsidRPr="00765121">
              <w:rPr>
                <w:rFonts w:ascii="Calibri" w:hAnsi="Calibri"/>
                <w:sz w:val="20"/>
                <w:szCs w:val="20"/>
                <w:lang w:val="en-GB"/>
              </w:rPr>
              <w:t xml:space="preserve"> is a common area of concern, though to different degrees and with different emphasis. </w:t>
            </w:r>
          </w:p>
          <w:p w14:paraId="1A519AAE" w14:textId="77777777" w:rsidR="00866202" w:rsidRPr="00765121" w:rsidRDefault="00866202" w:rsidP="00A07AB6">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GB"/>
              </w:rPr>
            </w:pPr>
          </w:p>
          <w:p w14:paraId="7AD13F54" w14:textId="08733679" w:rsidR="00B96E9D" w:rsidRPr="00765121" w:rsidRDefault="00B96E9D" w:rsidP="00A07AB6">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GB"/>
              </w:rPr>
            </w:pPr>
            <w:r w:rsidRPr="00765121">
              <w:rPr>
                <w:rFonts w:ascii="Calibri" w:hAnsi="Calibri"/>
                <w:sz w:val="20"/>
                <w:szCs w:val="20"/>
                <w:lang w:val="en-GB"/>
              </w:rPr>
              <w:t xml:space="preserve">Donors providing </w:t>
            </w:r>
            <w:r w:rsidR="006F030F" w:rsidRPr="00765121">
              <w:rPr>
                <w:rFonts w:ascii="Calibri" w:hAnsi="Calibri"/>
                <w:sz w:val="20"/>
                <w:szCs w:val="20"/>
                <w:lang w:val="en-GB"/>
              </w:rPr>
              <w:t xml:space="preserve">core </w:t>
            </w:r>
            <w:r w:rsidRPr="00765121">
              <w:rPr>
                <w:rFonts w:ascii="Calibri" w:hAnsi="Calibri"/>
                <w:sz w:val="20"/>
                <w:szCs w:val="20"/>
                <w:lang w:val="en-GB"/>
              </w:rPr>
              <w:t>un</w:t>
            </w:r>
            <w:r w:rsidR="00B6004A" w:rsidRPr="00765121">
              <w:rPr>
                <w:rFonts w:ascii="Calibri" w:hAnsi="Calibri"/>
                <w:sz w:val="20"/>
                <w:szCs w:val="20"/>
                <w:lang w:val="en-GB"/>
              </w:rPr>
              <w:t>-</w:t>
            </w:r>
            <w:r w:rsidRPr="00765121">
              <w:rPr>
                <w:rFonts w:ascii="Calibri" w:hAnsi="Calibri"/>
                <w:sz w:val="20"/>
                <w:szCs w:val="20"/>
                <w:lang w:val="en-GB"/>
              </w:rPr>
              <w:t>earmarked funding have ag</w:t>
            </w:r>
            <w:r w:rsidR="00F24B1E" w:rsidRPr="00765121">
              <w:rPr>
                <w:rFonts w:ascii="Calibri" w:hAnsi="Calibri"/>
                <w:sz w:val="20"/>
                <w:szCs w:val="20"/>
                <w:lang w:val="en-GB"/>
              </w:rPr>
              <w:t xml:space="preserve">reed to accept common reporting, which they </w:t>
            </w:r>
            <w:r w:rsidR="002B6B44" w:rsidRPr="00765121">
              <w:rPr>
                <w:rFonts w:ascii="Calibri" w:hAnsi="Calibri"/>
                <w:sz w:val="20"/>
                <w:szCs w:val="20"/>
                <w:lang w:val="en-GB"/>
              </w:rPr>
              <w:t>acknowledge</w:t>
            </w:r>
            <w:r w:rsidR="00F24B1E" w:rsidRPr="00765121">
              <w:rPr>
                <w:rFonts w:ascii="Calibri" w:hAnsi="Calibri"/>
                <w:sz w:val="20"/>
                <w:szCs w:val="20"/>
                <w:lang w:val="en-GB"/>
              </w:rPr>
              <w:t xml:space="preserve"> is an important contribution to efficiency. At the same time however, a number of donors who have historically been strong supporters of core un</w:t>
            </w:r>
            <w:r w:rsidR="00B6004A" w:rsidRPr="00765121">
              <w:rPr>
                <w:rFonts w:ascii="Calibri" w:hAnsi="Calibri"/>
                <w:sz w:val="20"/>
                <w:szCs w:val="20"/>
                <w:lang w:val="en-GB"/>
              </w:rPr>
              <w:t>-</w:t>
            </w:r>
            <w:r w:rsidR="00F24B1E" w:rsidRPr="00765121">
              <w:rPr>
                <w:rFonts w:ascii="Calibri" w:hAnsi="Calibri"/>
                <w:sz w:val="20"/>
                <w:szCs w:val="20"/>
                <w:lang w:val="en-GB"/>
              </w:rPr>
              <w:t xml:space="preserve">earmarked funding are facing increasing domestic political pressure to demonstrate and justify exactly how tax-payer funded contributions have been spent, often in real-time, particularly during </w:t>
            </w:r>
            <w:r w:rsidR="006F030F" w:rsidRPr="00765121">
              <w:rPr>
                <w:rFonts w:ascii="Calibri" w:hAnsi="Calibri"/>
                <w:sz w:val="20"/>
                <w:szCs w:val="20"/>
                <w:lang w:val="en-GB"/>
              </w:rPr>
              <w:t xml:space="preserve">high-profile evolving crises. </w:t>
            </w:r>
            <w:r w:rsidR="002B6B44" w:rsidRPr="00765121">
              <w:rPr>
                <w:rFonts w:ascii="Calibri" w:hAnsi="Calibri"/>
                <w:sz w:val="20"/>
                <w:szCs w:val="20"/>
                <w:lang w:val="en-GB"/>
              </w:rPr>
              <w:t>The most frequent</w:t>
            </w:r>
            <w:r w:rsidR="002434F5" w:rsidRPr="00765121">
              <w:rPr>
                <w:rFonts w:ascii="Calibri" w:hAnsi="Calibri"/>
                <w:sz w:val="20"/>
                <w:szCs w:val="20"/>
                <w:lang w:val="en-GB"/>
              </w:rPr>
              <w:t>ly cited information need is how</w:t>
            </w:r>
            <w:r w:rsidR="002B6B44" w:rsidRPr="00765121">
              <w:rPr>
                <w:rFonts w:ascii="Calibri" w:hAnsi="Calibri"/>
                <w:sz w:val="20"/>
                <w:szCs w:val="20"/>
                <w:lang w:val="en-GB"/>
              </w:rPr>
              <w:t xml:space="preserve"> much core funding was spent in which crisis. </w:t>
            </w:r>
            <w:r w:rsidR="006F030F" w:rsidRPr="00765121">
              <w:rPr>
                <w:rFonts w:ascii="Calibri" w:hAnsi="Calibri"/>
                <w:sz w:val="20"/>
                <w:szCs w:val="20"/>
                <w:lang w:val="en-GB"/>
              </w:rPr>
              <w:t xml:space="preserve">These information needs are </w:t>
            </w:r>
            <w:r w:rsidR="00F24B1E" w:rsidRPr="00765121">
              <w:rPr>
                <w:rFonts w:ascii="Calibri" w:hAnsi="Calibri"/>
                <w:sz w:val="20"/>
                <w:szCs w:val="20"/>
                <w:lang w:val="en-GB"/>
              </w:rPr>
              <w:t xml:space="preserve">not currently supported by general annual reports. </w:t>
            </w:r>
          </w:p>
          <w:p w14:paraId="5A65F68C" w14:textId="77777777" w:rsidR="00F24B1E" w:rsidRPr="00765121" w:rsidRDefault="00F24B1E" w:rsidP="00A07AB6">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GB"/>
              </w:rPr>
            </w:pPr>
          </w:p>
          <w:p w14:paraId="14B038B2" w14:textId="46FD669F" w:rsidR="00F24B1E" w:rsidRPr="00765121" w:rsidRDefault="00F24B1E" w:rsidP="00A07AB6">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GB"/>
              </w:rPr>
            </w:pPr>
            <w:r w:rsidRPr="00765121">
              <w:rPr>
                <w:rFonts w:ascii="Calibri" w:hAnsi="Calibri"/>
                <w:sz w:val="20"/>
                <w:szCs w:val="20"/>
                <w:lang w:val="en-GB"/>
              </w:rPr>
              <w:t>For donors who do not currently provide core un</w:t>
            </w:r>
            <w:r w:rsidR="00B6004A" w:rsidRPr="00765121">
              <w:rPr>
                <w:rFonts w:ascii="Calibri" w:hAnsi="Calibri"/>
                <w:sz w:val="20"/>
                <w:szCs w:val="20"/>
                <w:lang w:val="en-GB"/>
              </w:rPr>
              <w:t>-</w:t>
            </w:r>
            <w:r w:rsidRPr="00765121">
              <w:rPr>
                <w:rFonts w:ascii="Calibri" w:hAnsi="Calibri"/>
                <w:sz w:val="20"/>
                <w:szCs w:val="20"/>
                <w:lang w:val="en-GB"/>
              </w:rPr>
              <w:t xml:space="preserve">earmarked funding, or who </w:t>
            </w:r>
            <w:r w:rsidR="002B6B44" w:rsidRPr="00765121">
              <w:rPr>
                <w:rFonts w:ascii="Calibri" w:hAnsi="Calibri"/>
                <w:sz w:val="20"/>
                <w:szCs w:val="20"/>
                <w:lang w:val="en-GB"/>
              </w:rPr>
              <w:t xml:space="preserve">provide low levels, the current level of information on results </w:t>
            </w:r>
            <w:r w:rsidR="007576CC" w:rsidRPr="00765121">
              <w:rPr>
                <w:rFonts w:ascii="Calibri" w:hAnsi="Calibri"/>
                <w:sz w:val="20"/>
                <w:szCs w:val="20"/>
                <w:lang w:val="en-GB"/>
              </w:rPr>
              <w:t xml:space="preserve">would be an </w:t>
            </w:r>
            <w:r w:rsidR="00866202" w:rsidRPr="00765121">
              <w:rPr>
                <w:rFonts w:ascii="Calibri" w:hAnsi="Calibri"/>
                <w:sz w:val="20"/>
                <w:szCs w:val="20"/>
                <w:lang w:val="en-GB"/>
              </w:rPr>
              <w:t>obstacle t</w:t>
            </w:r>
            <w:r w:rsidRPr="00765121">
              <w:rPr>
                <w:rFonts w:ascii="Calibri" w:hAnsi="Calibri"/>
                <w:sz w:val="20"/>
                <w:szCs w:val="20"/>
                <w:lang w:val="en-GB"/>
              </w:rPr>
              <w:t xml:space="preserve">o their ability to </w:t>
            </w:r>
            <w:r w:rsidR="00866202" w:rsidRPr="00765121">
              <w:rPr>
                <w:rFonts w:ascii="Calibri" w:hAnsi="Calibri"/>
                <w:sz w:val="20"/>
                <w:szCs w:val="20"/>
                <w:lang w:val="en-GB"/>
              </w:rPr>
              <w:t xml:space="preserve">convince their parliaments and publics to </w:t>
            </w:r>
            <w:r w:rsidRPr="00765121">
              <w:rPr>
                <w:rFonts w:ascii="Calibri" w:hAnsi="Calibri"/>
                <w:sz w:val="20"/>
                <w:szCs w:val="20"/>
                <w:lang w:val="en-GB"/>
              </w:rPr>
              <w:t>scale up this type of funding</w:t>
            </w:r>
            <w:r w:rsidR="00731EC1" w:rsidRPr="00765121">
              <w:rPr>
                <w:rFonts w:ascii="Calibri" w:hAnsi="Calibri"/>
                <w:sz w:val="20"/>
                <w:szCs w:val="20"/>
                <w:lang w:val="en-GB"/>
              </w:rPr>
              <w:t xml:space="preserve">. </w:t>
            </w:r>
          </w:p>
          <w:p w14:paraId="49EA32D7" w14:textId="77777777" w:rsidR="00AE1188" w:rsidRPr="00765121" w:rsidRDefault="00AE1188" w:rsidP="00A07AB6">
            <w:pPr>
              <w:cnfStyle w:val="000000000000" w:firstRow="0" w:lastRow="0" w:firstColumn="0" w:lastColumn="0" w:oddVBand="0" w:evenVBand="0" w:oddHBand="0" w:evenHBand="0" w:firstRowFirstColumn="0" w:firstRowLastColumn="0" w:lastRowFirstColumn="0" w:lastRowLastColumn="0"/>
              <w:rPr>
                <w:rFonts w:ascii="Calibri" w:hAnsi="Calibri"/>
                <w:b/>
                <w:i/>
                <w:sz w:val="20"/>
                <w:szCs w:val="20"/>
                <w:lang w:val="en-GB"/>
              </w:rPr>
            </w:pPr>
          </w:p>
          <w:p w14:paraId="7B9B2E29" w14:textId="0256B11D" w:rsidR="002434F5" w:rsidRPr="00765121" w:rsidRDefault="002434F5" w:rsidP="00A07AB6">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GB"/>
              </w:rPr>
            </w:pPr>
            <w:r w:rsidRPr="00765121">
              <w:rPr>
                <w:rFonts w:ascii="Calibri" w:hAnsi="Calibri"/>
                <w:sz w:val="20"/>
                <w:szCs w:val="20"/>
                <w:lang w:val="en-GB"/>
              </w:rPr>
              <w:t xml:space="preserve">For one donor, being able to account for who has been assisted and to receive assurances that funding has not been diverted to objectives outside of the scope of humanitarian </w:t>
            </w:r>
            <w:r w:rsidR="00F600FC" w:rsidRPr="00765121">
              <w:rPr>
                <w:rFonts w:ascii="Calibri" w:hAnsi="Calibri"/>
                <w:sz w:val="20"/>
                <w:szCs w:val="20"/>
                <w:lang w:val="en-GB"/>
              </w:rPr>
              <w:t xml:space="preserve">assistance </w:t>
            </w:r>
            <w:r w:rsidRPr="00765121">
              <w:rPr>
                <w:rFonts w:ascii="Calibri" w:hAnsi="Calibri"/>
                <w:sz w:val="20"/>
                <w:szCs w:val="20"/>
                <w:lang w:val="en-GB"/>
              </w:rPr>
              <w:t>would be a precondition for their providing un</w:t>
            </w:r>
            <w:r w:rsidR="00B6004A" w:rsidRPr="00765121">
              <w:rPr>
                <w:rFonts w:ascii="Calibri" w:hAnsi="Calibri"/>
                <w:sz w:val="20"/>
                <w:szCs w:val="20"/>
                <w:lang w:val="en-GB"/>
              </w:rPr>
              <w:t>-</w:t>
            </w:r>
            <w:r w:rsidRPr="00765121">
              <w:rPr>
                <w:rFonts w:ascii="Calibri" w:hAnsi="Calibri"/>
                <w:sz w:val="20"/>
                <w:szCs w:val="20"/>
                <w:lang w:val="en-GB"/>
              </w:rPr>
              <w:t xml:space="preserve">earmarked </w:t>
            </w:r>
            <w:r w:rsidR="00F600FC" w:rsidRPr="00765121">
              <w:rPr>
                <w:rFonts w:ascii="Calibri" w:hAnsi="Calibri"/>
                <w:sz w:val="20"/>
                <w:szCs w:val="20"/>
                <w:lang w:val="en-GB"/>
              </w:rPr>
              <w:t>funding</w:t>
            </w:r>
            <w:r w:rsidRPr="00765121">
              <w:rPr>
                <w:rFonts w:ascii="Calibri" w:hAnsi="Calibri"/>
                <w:sz w:val="20"/>
                <w:szCs w:val="20"/>
                <w:lang w:val="en-GB"/>
              </w:rPr>
              <w:t xml:space="preserve">. </w:t>
            </w:r>
          </w:p>
        </w:tc>
        <w:tc>
          <w:tcPr>
            <w:tcW w:w="2074" w:type="pct"/>
          </w:tcPr>
          <w:p w14:paraId="53109028" w14:textId="2F3C3BC1" w:rsidR="00AE20C2" w:rsidRPr="00765121" w:rsidRDefault="00AE20C2" w:rsidP="002348B4">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GB"/>
              </w:rPr>
            </w:pPr>
            <w:r w:rsidRPr="00765121">
              <w:rPr>
                <w:rFonts w:ascii="Calibri" w:hAnsi="Calibri"/>
                <w:sz w:val="20"/>
                <w:szCs w:val="20"/>
                <w:lang w:val="en-GB"/>
              </w:rPr>
              <w:t xml:space="preserve">There </w:t>
            </w:r>
            <w:r w:rsidR="00660B12" w:rsidRPr="00765121">
              <w:rPr>
                <w:rFonts w:ascii="Calibri" w:hAnsi="Calibri"/>
                <w:sz w:val="20"/>
                <w:szCs w:val="20"/>
                <w:lang w:val="en-GB"/>
              </w:rPr>
              <w:t>are</w:t>
            </w:r>
            <w:r w:rsidRPr="00765121">
              <w:rPr>
                <w:rFonts w:ascii="Calibri" w:hAnsi="Calibri"/>
                <w:sz w:val="20"/>
                <w:szCs w:val="20"/>
                <w:lang w:val="en-GB"/>
              </w:rPr>
              <w:t xml:space="preserve"> a range of opinions on the extent to which funding recipients should report on specific activities. For some donors this is essential, whereas for others, respecting the commitment to accept </w:t>
            </w:r>
            <w:r w:rsidR="000A07A0">
              <w:rPr>
                <w:rFonts w:ascii="Calibri" w:hAnsi="Calibri"/>
                <w:sz w:val="20"/>
                <w:szCs w:val="20"/>
                <w:lang w:val="en-GB"/>
              </w:rPr>
              <w:t xml:space="preserve">a </w:t>
            </w:r>
            <w:r w:rsidRPr="00765121">
              <w:rPr>
                <w:rFonts w:ascii="Calibri" w:hAnsi="Calibri"/>
                <w:sz w:val="20"/>
                <w:szCs w:val="20"/>
                <w:lang w:val="en-GB"/>
              </w:rPr>
              <w:t xml:space="preserve">standardised single report is important to balance commitments to reduce reporting burdens. </w:t>
            </w:r>
          </w:p>
          <w:p w14:paraId="38A39489" w14:textId="77777777" w:rsidR="00AE20C2" w:rsidRPr="00765121" w:rsidRDefault="00AE20C2" w:rsidP="002348B4">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GB"/>
              </w:rPr>
            </w:pPr>
          </w:p>
          <w:p w14:paraId="76862FA5" w14:textId="3B53A447" w:rsidR="00AE20C2" w:rsidRPr="00765121" w:rsidRDefault="000C36B6" w:rsidP="002348B4">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GB"/>
              </w:rPr>
            </w:pPr>
            <w:r w:rsidRPr="00765121">
              <w:rPr>
                <w:rFonts w:ascii="Calibri" w:hAnsi="Calibri"/>
                <w:sz w:val="20"/>
                <w:szCs w:val="20"/>
                <w:lang w:val="en-GB"/>
              </w:rPr>
              <w:t>In reality</w:t>
            </w:r>
            <w:r w:rsidR="00AE20C2" w:rsidRPr="00765121">
              <w:rPr>
                <w:rFonts w:ascii="Calibri" w:hAnsi="Calibri"/>
                <w:sz w:val="20"/>
                <w:szCs w:val="20"/>
                <w:lang w:val="en-GB"/>
              </w:rPr>
              <w:t xml:space="preserve"> </w:t>
            </w:r>
            <w:r w:rsidR="00B6004A" w:rsidRPr="00765121">
              <w:rPr>
                <w:rFonts w:ascii="Calibri" w:hAnsi="Calibri"/>
                <w:sz w:val="20"/>
                <w:szCs w:val="20"/>
                <w:lang w:val="en-GB"/>
              </w:rPr>
              <w:t xml:space="preserve">some </w:t>
            </w:r>
            <w:r w:rsidR="00AE20C2" w:rsidRPr="00765121">
              <w:rPr>
                <w:rFonts w:ascii="Calibri" w:hAnsi="Calibri"/>
                <w:sz w:val="20"/>
                <w:szCs w:val="20"/>
                <w:lang w:val="en-GB"/>
              </w:rPr>
              <w:t xml:space="preserve">donors already request ad hoc </w:t>
            </w:r>
            <w:r w:rsidRPr="00765121">
              <w:rPr>
                <w:rFonts w:ascii="Calibri" w:hAnsi="Calibri"/>
                <w:sz w:val="20"/>
                <w:szCs w:val="20"/>
                <w:lang w:val="en-GB"/>
              </w:rPr>
              <w:t xml:space="preserve">reporting over and above standardised annual reports, </w:t>
            </w:r>
            <w:r w:rsidR="00AE20C2" w:rsidRPr="00765121">
              <w:rPr>
                <w:rFonts w:ascii="Calibri" w:hAnsi="Calibri"/>
                <w:sz w:val="20"/>
                <w:szCs w:val="20"/>
                <w:lang w:val="en-GB"/>
              </w:rPr>
              <w:t xml:space="preserve">and recipient </w:t>
            </w:r>
            <w:r w:rsidR="00E81A00" w:rsidRPr="00765121">
              <w:rPr>
                <w:rFonts w:ascii="Calibri" w:hAnsi="Calibri"/>
                <w:sz w:val="20"/>
                <w:szCs w:val="20"/>
                <w:lang w:val="en-GB"/>
              </w:rPr>
              <w:t>organisations also</w:t>
            </w:r>
            <w:r w:rsidR="00AE20C2" w:rsidRPr="00765121">
              <w:rPr>
                <w:rFonts w:ascii="Calibri" w:hAnsi="Calibri"/>
                <w:sz w:val="20"/>
                <w:szCs w:val="20"/>
                <w:lang w:val="en-GB"/>
              </w:rPr>
              <w:t xml:space="preserve"> provide additional detailed information on a voluntary basis. </w:t>
            </w:r>
            <w:r w:rsidRPr="00765121">
              <w:rPr>
                <w:rFonts w:ascii="Calibri" w:hAnsi="Calibri"/>
                <w:sz w:val="20"/>
                <w:szCs w:val="20"/>
                <w:lang w:val="en-GB"/>
              </w:rPr>
              <w:t xml:space="preserve">There is scope therefore to rationalise these ad hoc requests and to agree some common information requirements. </w:t>
            </w:r>
          </w:p>
          <w:p w14:paraId="1DAE0932" w14:textId="77777777" w:rsidR="00AE20C2" w:rsidRPr="00765121" w:rsidRDefault="00AE20C2" w:rsidP="002348B4">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GB"/>
              </w:rPr>
            </w:pPr>
          </w:p>
          <w:p w14:paraId="32E46D08" w14:textId="28249795" w:rsidR="006F030F" w:rsidRPr="00765121" w:rsidRDefault="00B6004A" w:rsidP="002348B4">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GB"/>
              </w:rPr>
            </w:pPr>
            <w:r w:rsidRPr="00765121">
              <w:rPr>
                <w:rFonts w:ascii="Calibri" w:hAnsi="Calibri"/>
                <w:sz w:val="20"/>
                <w:szCs w:val="20"/>
                <w:lang w:val="en-GB"/>
              </w:rPr>
              <w:t>Respondents suggested i</w:t>
            </w:r>
            <w:r w:rsidR="00AE20C2" w:rsidRPr="00765121">
              <w:rPr>
                <w:rFonts w:ascii="Calibri" w:hAnsi="Calibri"/>
                <w:sz w:val="20"/>
                <w:szCs w:val="20"/>
                <w:lang w:val="en-GB"/>
              </w:rPr>
              <w:t>mprovements in the quality and specific content of existing standard annual reporting</w:t>
            </w:r>
            <w:r w:rsidRPr="00765121">
              <w:rPr>
                <w:rFonts w:ascii="Calibri" w:hAnsi="Calibri"/>
                <w:sz w:val="20"/>
                <w:szCs w:val="20"/>
                <w:lang w:val="en-GB"/>
              </w:rPr>
              <w:t>,</w:t>
            </w:r>
            <w:r w:rsidR="00AE20C2" w:rsidRPr="00765121">
              <w:rPr>
                <w:rFonts w:ascii="Calibri" w:hAnsi="Calibri"/>
                <w:sz w:val="20"/>
                <w:szCs w:val="20"/>
                <w:lang w:val="en-GB"/>
              </w:rPr>
              <w:t xml:space="preserve"> including improved </w:t>
            </w:r>
            <w:r w:rsidR="00A90527" w:rsidRPr="00765121">
              <w:rPr>
                <w:rFonts w:ascii="Calibri" w:hAnsi="Calibri"/>
                <w:sz w:val="20"/>
                <w:szCs w:val="20"/>
                <w:lang w:val="en-GB"/>
              </w:rPr>
              <w:t xml:space="preserve">output and </w:t>
            </w:r>
            <w:r w:rsidR="00AE20C2" w:rsidRPr="00765121">
              <w:rPr>
                <w:rFonts w:ascii="Calibri" w:hAnsi="Calibri"/>
                <w:sz w:val="20"/>
                <w:szCs w:val="20"/>
                <w:lang w:val="en-GB"/>
              </w:rPr>
              <w:t xml:space="preserve">outcome-level reporting that would help to “tell the story” of core funding. </w:t>
            </w:r>
            <w:r w:rsidR="00BE6E9E" w:rsidRPr="00765121">
              <w:rPr>
                <w:rFonts w:ascii="Calibri" w:hAnsi="Calibri"/>
                <w:sz w:val="20"/>
                <w:szCs w:val="20"/>
                <w:lang w:val="en-GB"/>
              </w:rPr>
              <w:t xml:space="preserve">ICRC annual reports were noted as an example of good practice. Independent evaluations were also noted as useful for enhancing accountability, though it was suggested these should be made more publicly accessible. </w:t>
            </w:r>
          </w:p>
          <w:p w14:paraId="7CC3C638" w14:textId="77777777" w:rsidR="00AE1188" w:rsidRPr="00765121" w:rsidRDefault="00AE1188" w:rsidP="002348B4">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GB"/>
              </w:rPr>
            </w:pPr>
          </w:p>
          <w:p w14:paraId="1A32DA63" w14:textId="77777777" w:rsidR="00DC2C92" w:rsidRPr="00765121" w:rsidRDefault="00DC2C92" w:rsidP="00DC2C92">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GB"/>
              </w:rPr>
            </w:pPr>
            <w:r w:rsidRPr="00765121">
              <w:rPr>
                <w:rFonts w:ascii="Calibri" w:hAnsi="Calibri"/>
                <w:sz w:val="20"/>
                <w:szCs w:val="20"/>
                <w:lang w:val="en-GB"/>
              </w:rPr>
              <w:t>Some of the donor concerns expressed here relate to the Grand Bargain commitment to “</w:t>
            </w:r>
            <w:r w:rsidRPr="00765121">
              <w:rPr>
                <w:rFonts w:ascii="Calibri" w:hAnsi="Calibri" w:cs="Times New Roman"/>
                <w:sz w:val="20"/>
                <w:szCs w:val="20"/>
                <w:lang w:val="en-GB"/>
              </w:rPr>
              <w:t>Enhance the quality of reporting to better capture results, enable learning and increase the efficiency of reporting</w:t>
            </w:r>
            <w:r w:rsidRPr="00765121">
              <w:rPr>
                <w:rFonts w:ascii="Calibri" w:hAnsi="Calibri"/>
                <w:sz w:val="20"/>
                <w:szCs w:val="20"/>
                <w:lang w:val="en-GB"/>
              </w:rPr>
              <w:t xml:space="preserve">” under the theme of </w:t>
            </w:r>
            <w:r w:rsidRPr="00765121">
              <w:rPr>
                <w:sz w:val="20"/>
                <w:szCs w:val="20"/>
                <w:lang w:val="en-GB"/>
              </w:rPr>
              <w:t>harmonised/simplified reporting requirements</w:t>
            </w:r>
            <w:r w:rsidRPr="00765121">
              <w:rPr>
                <w:rFonts w:ascii="Calibri" w:hAnsi="Calibri"/>
                <w:sz w:val="20"/>
                <w:szCs w:val="20"/>
                <w:lang w:val="en-GB"/>
              </w:rPr>
              <w:t>.</w:t>
            </w:r>
          </w:p>
          <w:p w14:paraId="2BF0B6DF" w14:textId="77777777" w:rsidR="009D20DE" w:rsidRPr="00765121" w:rsidRDefault="009D20DE" w:rsidP="00DC2C92">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GB"/>
              </w:rPr>
            </w:pPr>
          </w:p>
          <w:p w14:paraId="4CA4579C" w14:textId="653E9D54" w:rsidR="009D20DE" w:rsidRPr="00765121" w:rsidRDefault="009D20DE" w:rsidP="00DC2C92">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GB"/>
              </w:rPr>
            </w:pPr>
            <w:r w:rsidRPr="00765121">
              <w:rPr>
                <w:rFonts w:ascii="Calibri" w:hAnsi="Calibri"/>
                <w:sz w:val="20"/>
                <w:szCs w:val="20"/>
                <w:lang w:val="en-GB"/>
              </w:rPr>
              <w:t xml:space="preserve">Some donors also pointed to the Grand Bargain commitments on transparency as a possible solution to increasing access to information on results and financing flows. </w:t>
            </w:r>
          </w:p>
          <w:p w14:paraId="0B46C9A4" w14:textId="0037C37A" w:rsidR="009D20DE" w:rsidRPr="00765121" w:rsidRDefault="009D20DE" w:rsidP="009D20DE">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GB"/>
              </w:rPr>
            </w:pPr>
          </w:p>
        </w:tc>
      </w:tr>
      <w:tr w:rsidR="00765121" w:rsidRPr="00765121" w14:paraId="0DAE3DCF" w14:textId="77777777" w:rsidTr="00765121">
        <w:tc>
          <w:tcPr>
            <w:cnfStyle w:val="001000000000" w:firstRow="0" w:lastRow="0" w:firstColumn="1" w:lastColumn="0" w:oddVBand="0" w:evenVBand="0" w:oddHBand="0" w:evenHBand="0" w:firstRowFirstColumn="0" w:firstRowLastColumn="0" w:lastRowFirstColumn="0" w:lastRowLastColumn="0"/>
            <w:tcW w:w="671" w:type="pct"/>
          </w:tcPr>
          <w:p w14:paraId="40B9D84C" w14:textId="692EBEDC" w:rsidR="002434F5" w:rsidRPr="00765121" w:rsidRDefault="002434F5" w:rsidP="00AE1188">
            <w:pPr>
              <w:rPr>
                <w:rFonts w:ascii="Calibri" w:hAnsi="Calibri"/>
                <w:sz w:val="20"/>
                <w:szCs w:val="20"/>
                <w:lang w:val="en-GB"/>
              </w:rPr>
            </w:pPr>
            <w:r w:rsidRPr="00765121">
              <w:rPr>
                <w:rFonts w:ascii="Calibri" w:hAnsi="Calibri"/>
                <w:b w:val="0"/>
                <w:sz w:val="20"/>
                <w:szCs w:val="20"/>
                <w:lang w:val="en-GB"/>
              </w:rPr>
              <w:t>Visibility of donor contributions</w:t>
            </w:r>
          </w:p>
        </w:tc>
        <w:tc>
          <w:tcPr>
            <w:tcW w:w="2255" w:type="pct"/>
          </w:tcPr>
          <w:p w14:paraId="563F8715" w14:textId="0CDD1360" w:rsidR="002434F5" w:rsidRPr="00765121" w:rsidRDefault="002434F5" w:rsidP="002434F5">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GB"/>
              </w:rPr>
            </w:pPr>
            <w:r w:rsidRPr="00765121">
              <w:rPr>
                <w:rFonts w:ascii="Calibri" w:hAnsi="Calibri"/>
                <w:sz w:val="20"/>
                <w:szCs w:val="20"/>
                <w:lang w:val="en-GB"/>
              </w:rPr>
              <w:t xml:space="preserve">Visibility is taken to mean public recognition of donor contributions. Visibility is important to many of the donors consulted, but opinions </w:t>
            </w:r>
            <w:r w:rsidR="00B6004A" w:rsidRPr="00765121">
              <w:rPr>
                <w:rFonts w:ascii="Calibri" w:hAnsi="Calibri"/>
                <w:sz w:val="20"/>
                <w:szCs w:val="20"/>
                <w:lang w:val="en-GB"/>
              </w:rPr>
              <w:t xml:space="preserve">about the level of visibility required </w:t>
            </w:r>
            <w:r w:rsidRPr="00765121">
              <w:rPr>
                <w:rFonts w:ascii="Calibri" w:hAnsi="Calibri"/>
                <w:sz w:val="20"/>
                <w:szCs w:val="20"/>
                <w:lang w:val="en-GB"/>
              </w:rPr>
              <w:t xml:space="preserve">vary. Visibility is also related to reporting, which provides the raw material to justify and promote externally what a donor has supported. </w:t>
            </w:r>
          </w:p>
          <w:p w14:paraId="248F3DB3" w14:textId="77777777" w:rsidR="002434F5" w:rsidRPr="00765121" w:rsidRDefault="002434F5" w:rsidP="002434F5">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GB"/>
              </w:rPr>
            </w:pPr>
          </w:p>
          <w:p w14:paraId="4F21D156" w14:textId="5D5EEBFC" w:rsidR="002434F5" w:rsidRPr="00765121" w:rsidRDefault="002A47AA" w:rsidP="002434F5">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GB"/>
              </w:rPr>
            </w:pPr>
            <w:r w:rsidRPr="00765121">
              <w:rPr>
                <w:rFonts w:ascii="Calibri" w:hAnsi="Calibri"/>
                <w:sz w:val="20"/>
                <w:szCs w:val="20"/>
                <w:lang w:val="en-GB"/>
              </w:rPr>
              <w:t>Several donors already ha</w:t>
            </w:r>
            <w:r w:rsidR="00B6004A" w:rsidRPr="00765121">
              <w:rPr>
                <w:rFonts w:ascii="Calibri" w:hAnsi="Calibri"/>
                <w:sz w:val="20"/>
                <w:szCs w:val="20"/>
                <w:lang w:val="en-GB"/>
              </w:rPr>
              <w:t>ve</w:t>
            </w:r>
            <w:r w:rsidRPr="00765121">
              <w:rPr>
                <w:rFonts w:ascii="Calibri" w:hAnsi="Calibri"/>
                <w:sz w:val="20"/>
                <w:szCs w:val="20"/>
                <w:lang w:val="en-GB"/>
              </w:rPr>
              <w:t xml:space="preserve"> visibility clauses requiring acknowledgement of their contributions as part of their contractual requirements. </w:t>
            </w:r>
            <w:r w:rsidR="002434F5" w:rsidRPr="00765121">
              <w:rPr>
                <w:rFonts w:ascii="Calibri" w:hAnsi="Calibri"/>
                <w:sz w:val="20"/>
                <w:szCs w:val="20"/>
                <w:lang w:val="en-GB"/>
              </w:rPr>
              <w:t xml:space="preserve">One donor stated that they expect an equivalent level of visibility and impact to be demonstrated for core funding as bilateral contributions. </w:t>
            </w:r>
            <w:r w:rsidR="00A90527" w:rsidRPr="00765121">
              <w:rPr>
                <w:rFonts w:ascii="Calibri" w:hAnsi="Calibri"/>
                <w:sz w:val="20"/>
                <w:szCs w:val="20"/>
                <w:lang w:val="en-GB"/>
              </w:rPr>
              <w:t>For one donor, opportunities for branding contributions would be necessary to enable them to engage in un</w:t>
            </w:r>
            <w:r w:rsidR="00B6004A" w:rsidRPr="00765121">
              <w:rPr>
                <w:rFonts w:ascii="Calibri" w:hAnsi="Calibri"/>
                <w:sz w:val="20"/>
                <w:szCs w:val="20"/>
                <w:lang w:val="en-GB"/>
              </w:rPr>
              <w:t>-</w:t>
            </w:r>
            <w:r w:rsidR="00A90527" w:rsidRPr="00765121">
              <w:rPr>
                <w:rFonts w:ascii="Calibri" w:hAnsi="Calibri"/>
                <w:sz w:val="20"/>
                <w:szCs w:val="20"/>
                <w:lang w:val="en-GB"/>
              </w:rPr>
              <w:t xml:space="preserve">earmarked funding. </w:t>
            </w:r>
            <w:r w:rsidR="00B6004A" w:rsidRPr="00765121">
              <w:rPr>
                <w:rFonts w:ascii="Calibri" w:hAnsi="Calibri"/>
                <w:sz w:val="20"/>
                <w:szCs w:val="20"/>
                <w:lang w:val="en-GB"/>
              </w:rPr>
              <w:t>However, some donors</w:t>
            </w:r>
            <w:r w:rsidR="001C7DCC" w:rsidRPr="00765121">
              <w:rPr>
                <w:rFonts w:ascii="Calibri" w:hAnsi="Calibri"/>
                <w:sz w:val="20"/>
                <w:szCs w:val="20"/>
                <w:lang w:val="en-GB"/>
              </w:rPr>
              <w:t xml:space="preserve"> do not seek or require explicit recognition of their contributions. </w:t>
            </w:r>
          </w:p>
          <w:p w14:paraId="241FBF66" w14:textId="77777777" w:rsidR="00C653F0" w:rsidRPr="00765121" w:rsidRDefault="00C653F0" w:rsidP="002434F5">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GB"/>
              </w:rPr>
            </w:pPr>
          </w:p>
          <w:p w14:paraId="34ABAF88" w14:textId="6036C484" w:rsidR="00C653F0" w:rsidRPr="00765121" w:rsidRDefault="005B263E" w:rsidP="005B263E">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GB"/>
              </w:rPr>
            </w:pPr>
            <w:r w:rsidRPr="00765121">
              <w:rPr>
                <w:rFonts w:ascii="Calibri" w:hAnsi="Calibri"/>
                <w:sz w:val="20"/>
                <w:szCs w:val="20"/>
                <w:lang w:val="en-GB"/>
              </w:rPr>
              <w:t>Several donors noted that it was</w:t>
            </w:r>
            <w:r w:rsidR="00C653F0" w:rsidRPr="00765121">
              <w:rPr>
                <w:rFonts w:ascii="Calibri" w:hAnsi="Calibri"/>
                <w:sz w:val="20"/>
                <w:szCs w:val="20"/>
                <w:lang w:val="en-GB"/>
              </w:rPr>
              <w:t xml:space="preserve"> problem</w:t>
            </w:r>
            <w:r w:rsidRPr="00765121">
              <w:rPr>
                <w:rFonts w:ascii="Calibri" w:hAnsi="Calibri"/>
                <w:sz w:val="20"/>
                <w:szCs w:val="20"/>
                <w:lang w:val="en-GB"/>
              </w:rPr>
              <w:t>atic when</w:t>
            </w:r>
            <w:r w:rsidR="00C653F0" w:rsidRPr="00765121">
              <w:rPr>
                <w:rFonts w:ascii="Calibri" w:hAnsi="Calibri"/>
                <w:sz w:val="20"/>
                <w:szCs w:val="20"/>
                <w:lang w:val="en-GB"/>
              </w:rPr>
              <w:t xml:space="preserve"> actors at </w:t>
            </w:r>
            <w:r w:rsidRPr="00765121">
              <w:rPr>
                <w:rFonts w:ascii="Calibri" w:hAnsi="Calibri"/>
                <w:sz w:val="20"/>
                <w:szCs w:val="20"/>
                <w:lang w:val="en-GB"/>
              </w:rPr>
              <w:t xml:space="preserve">country or regional </w:t>
            </w:r>
            <w:r w:rsidR="00C653F0" w:rsidRPr="00765121">
              <w:rPr>
                <w:rFonts w:ascii="Calibri" w:hAnsi="Calibri"/>
                <w:sz w:val="20"/>
                <w:szCs w:val="20"/>
                <w:lang w:val="en-GB"/>
              </w:rPr>
              <w:t>level (including donors</w:t>
            </w:r>
            <w:r w:rsidRPr="00765121">
              <w:rPr>
                <w:rFonts w:ascii="Calibri" w:hAnsi="Calibri"/>
                <w:sz w:val="20"/>
                <w:szCs w:val="20"/>
                <w:lang w:val="en-GB"/>
              </w:rPr>
              <w:t>’</w:t>
            </w:r>
            <w:r w:rsidR="00C653F0" w:rsidRPr="00765121">
              <w:rPr>
                <w:rFonts w:ascii="Calibri" w:hAnsi="Calibri"/>
                <w:sz w:val="20"/>
                <w:szCs w:val="20"/>
                <w:lang w:val="en-GB"/>
              </w:rPr>
              <w:t xml:space="preserve"> own embassy staff) </w:t>
            </w:r>
            <w:r w:rsidRPr="00765121">
              <w:rPr>
                <w:rFonts w:ascii="Calibri" w:hAnsi="Calibri"/>
                <w:sz w:val="20"/>
                <w:szCs w:val="20"/>
                <w:lang w:val="en-GB"/>
              </w:rPr>
              <w:t>were</w:t>
            </w:r>
            <w:r w:rsidR="00C653F0" w:rsidRPr="00765121">
              <w:rPr>
                <w:rFonts w:ascii="Calibri" w:hAnsi="Calibri"/>
                <w:sz w:val="20"/>
                <w:szCs w:val="20"/>
                <w:lang w:val="en-GB"/>
              </w:rPr>
              <w:t xml:space="preserve"> </w:t>
            </w:r>
            <w:r w:rsidRPr="00765121">
              <w:rPr>
                <w:rFonts w:ascii="Calibri" w:hAnsi="Calibri"/>
                <w:sz w:val="20"/>
                <w:szCs w:val="20"/>
                <w:lang w:val="en-GB"/>
              </w:rPr>
              <w:t>un</w:t>
            </w:r>
            <w:r w:rsidR="00C653F0" w:rsidRPr="00765121">
              <w:rPr>
                <w:rFonts w:ascii="Calibri" w:hAnsi="Calibri"/>
                <w:sz w:val="20"/>
                <w:szCs w:val="20"/>
                <w:lang w:val="en-GB"/>
              </w:rPr>
              <w:t>aware of un</w:t>
            </w:r>
            <w:r w:rsidR="00B6004A" w:rsidRPr="00765121">
              <w:rPr>
                <w:rFonts w:ascii="Calibri" w:hAnsi="Calibri"/>
                <w:sz w:val="20"/>
                <w:szCs w:val="20"/>
                <w:lang w:val="en-GB"/>
              </w:rPr>
              <w:t>-</w:t>
            </w:r>
            <w:r w:rsidR="00C653F0" w:rsidRPr="00765121">
              <w:rPr>
                <w:rFonts w:ascii="Calibri" w:hAnsi="Calibri"/>
                <w:sz w:val="20"/>
                <w:szCs w:val="20"/>
                <w:lang w:val="en-GB"/>
              </w:rPr>
              <w:t>earmarked contributions</w:t>
            </w:r>
            <w:r w:rsidRPr="00765121">
              <w:rPr>
                <w:rFonts w:ascii="Calibri" w:hAnsi="Calibri"/>
                <w:sz w:val="20"/>
                <w:szCs w:val="20"/>
                <w:lang w:val="en-GB"/>
              </w:rPr>
              <w:t>.</w:t>
            </w:r>
            <w:r w:rsidR="00A90527" w:rsidRPr="00765121">
              <w:rPr>
                <w:rFonts w:ascii="Calibri" w:hAnsi="Calibri"/>
                <w:sz w:val="20"/>
                <w:szCs w:val="20"/>
                <w:lang w:val="en-GB"/>
              </w:rPr>
              <w:t xml:space="preserve"> </w:t>
            </w:r>
            <w:r w:rsidRPr="00765121">
              <w:rPr>
                <w:rFonts w:ascii="Calibri" w:hAnsi="Calibri"/>
                <w:sz w:val="20"/>
                <w:szCs w:val="20"/>
                <w:lang w:val="en-GB"/>
              </w:rPr>
              <w:t>I</w:t>
            </w:r>
            <w:r w:rsidR="00A90527" w:rsidRPr="00765121">
              <w:rPr>
                <w:rFonts w:ascii="Calibri" w:hAnsi="Calibri"/>
                <w:sz w:val="20"/>
                <w:szCs w:val="20"/>
                <w:lang w:val="en-GB"/>
              </w:rPr>
              <w:t>n some cases</w:t>
            </w:r>
            <w:r w:rsidRPr="00765121">
              <w:rPr>
                <w:rFonts w:ascii="Calibri" w:hAnsi="Calibri"/>
                <w:sz w:val="20"/>
                <w:szCs w:val="20"/>
                <w:lang w:val="en-GB"/>
              </w:rPr>
              <w:t>, this</w:t>
            </w:r>
            <w:r w:rsidR="00A90527" w:rsidRPr="00765121">
              <w:rPr>
                <w:rFonts w:ascii="Calibri" w:hAnsi="Calibri"/>
                <w:sz w:val="20"/>
                <w:szCs w:val="20"/>
                <w:lang w:val="en-GB"/>
              </w:rPr>
              <w:t xml:space="preserve"> led to donors being excluded or deprioriti</w:t>
            </w:r>
            <w:r w:rsidR="00B6004A" w:rsidRPr="00765121">
              <w:rPr>
                <w:rFonts w:ascii="Calibri" w:hAnsi="Calibri"/>
                <w:sz w:val="20"/>
                <w:szCs w:val="20"/>
                <w:lang w:val="en-GB"/>
              </w:rPr>
              <w:t>s</w:t>
            </w:r>
            <w:r w:rsidR="00A90527" w:rsidRPr="00765121">
              <w:rPr>
                <w:rFonts w:ascii="Calibri" w:hAnsi="Calibri"/>
                <w:sz w:val="20"/>
                <w:szCs w:val="20"/>
                <w:lang w:val="en-GB"/>
              </w:rPr>
              <w:t>ed from meetings, forums and field</w:t>
            </w:r>
            <w:r w:rsidRPr="00765121">
              <w:rPr>
                <w:rFonts w:ascii="Calibri" w:hAnsi="Calibri"/>
                <w:sz w:val="20"/>
                <w:szCs w:val="20"/>
                <w:lang w:val="en-GB"/>
              </w:rPr>
              <w:t xml:space="preserve"> </w:t>
            </w:r>
            <w:r w:rsidR="00A90527" w:rsidRPr="00765121">
              <w:rPr>
                <w:rFonts w:ascii="Calibri" w:hAnsi="Calibri"/>
                <w:sz w:val="20"/>
                <w:szCs w:val="20"/>
                <w:lang w:val="en-GB"/>
              </w:rPr>
              <w:t xml:space="preserve">trips. </w:t>
            </w:r>
          </w:p>
        </w:tc>
        <w:tc>
          <w:tcPr>
            <w:tcW w:w="2074" w:type="pct"/>
          </w:tcPr>
          <w:p w14:paraId="0DC08EDE" w14:textId="77777777" w:rsidR="002434F5" w:rsidRPr="00765121" w:rsidRDefault="002434F5" w:rsidP="002434F5">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GB"/>
              </w:rPr>
            </w:pPr>
            <w:r w:rsidRPr="00765121">
              <w:rPr>
                <w:rFonts w:ascii="Calibri" w:hAnsi="Calibri"/>
                <w:sz w:val="20"/>
                <w:szCs w:val="20"/>
                <w:lang w:val="en-GB"/>
              </w:rPr>
              <w:lastRenderedPageBreak/>
              <w:t xml:space="preserve">WFP’s Model of Accountability for Multilateral Funding was cited as an example of good practice in providing visibility for donors’ un-earmarked funding. </w:t>
            </w:r>
          </w:p>
          <w:p w14:paraId="2F359EFC" w14:textId="77777777" w:rsidR="002434F5" w:rsidRPr="00765121" w:rsidRDefault="002434F5" w:rsidP="002434F5">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GB"/>
              </w:rPr>
            </w:pPr>
          </w:p>
          <w:p w14:paraId="192B81FF" w14:textId="061801F8" w:rsidR="00C653F0" w:rsidRPr="00765121" w:rsidRDefault="00B6004A" w:rsidP="002434F5">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GB"/>
              </w:rPr>
            </w:pPr>
            <w:r w:rsidRPr="00765121">
              <w:rPr>
                <w:rFonts w:ascii="Calibri" w:hAnsi="Calibri"/>
                <w:sz w:val="20"/>
                <w:szCs w:val="20"/>
                <w:lang w:val="en-GB"/>
              </w:rPr>
              <w:lastRenderedPageBreak/>
              <w:t>One donor noted that t</w:t>
            </w:r>
            <w:r w:rsidR="00C653F0" w:rsidRPr="00765121">
              <w:rPr>
                <w:rFonts w:ascii="Calibri" w:hAnsi="Calibri"/>
                <w:sz w:val="20"/>
                <w:szCs w:val="20"/>
                <w:lang w:val="en-GB"/>
              </w:rPr>
              <w:t xml:space="preserve">he CERF was very active in providing opportunities to participate in panels and events, and to include direct acknowledgements including quotes from ministers in publications. WFP was noted to respond to requests for information products demonstrating the impact of their contributions. </w:t>
            </w:r>
          </w:p>
          <w:p w14:paraId="64209AD7" w14:textId="77777777" w:rsidR="00A90527" w:rsidRPr="00765121" w:rsidRDefault="00A90527" w:rsidP="002434F5">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GB"/>
              </w:rPr>
            </w:pPr>
          </w:p>
          <w:p w14:paraId="51E10D3C" w14:textId="45500EC1" w:rsidR="00A90527" w:rsidRPr="00765121" w:rsidRDefault="00A90527" w:rsidP="002434F5">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GB"/>
              </w:rPr>
            </w:pPr>
            <w:r w:rsidRPr="00765121">
              <w:rPr>
                <w:rFonts w:ascii="Calibri" w:hAnsi="Calibri"/>
                <w:sz w:val="20"/>
                <w:szCs w:val="20"/>
                <w:lang w:val="en-GB"/>
              </w:rPr>
              <w:t xml:space="preserve">One donor noted that presentations before their parliament were very useful in providing visibility and building political support for continued flexible financing. </w:t>
            </w:r>
          </w:p>
          <w:p w14:paraId="3526D9B2" w14:textId="77777777" w:rsidR="00D52344" w:rsidRPr="00765121" w:rsidRDefault="00D52344" w:rsidP="002434F5">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GB"/>
              </w:rPr>
            </w:pPr>
          </w:p>
          <w:p w14:paraId="3979B8AB" w14:textId="5F782597" w:rsidR="00E06E2C" w:rsidRPr="00765121" w:rsidRDefault="00A90527" w:rsidP="00E06E2C">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GB"/>
              </w:rPr>
            </w:pPr>
            <w:r w:rsidRPr="00765121">
              <w:rPr>
                <w:rFonts w:ascii="Calibri" w:hAnsi="Calibri"/>
                <w:sz w:val="20"/>
                <w:szCs w:val="20"/>
                <w:lang w:val="en-GB"/>
              </w:rPr>
              <w:t xml:space="preserve">Communicating the source of core contributions down to the country-level is a relatively straight-forward issue to resolve. </w:t>
            </w:r>
            <w:r w:rsidR="00D52344" w:rsidRPr="00765121">
              <w:rPr>
                <w:rFonts w:ascii="Calibri" w:hAnsi="Calibri"/>
                <w:sz w:val="20"/>
                <w:szCs w:val="20"/>
                <w:lang w:val="en-GB"/>
              </w:rPr>
              <w:t>One donor noted that donors also bear responsibility for ensuring visibility of their un</w:t>
            </w:r>
            <w:r w:rsidR="00B6004A" w:rsidRPr="00765121">
              <w:rPr>
                <w:rFonts w:ascii="Calibri" w:hAnsi="Calibri"/>
                <w:sz w:val="20"/>
                <w:szCs w:val="20"/>
                <w:lang w:val="en-GB"/>
              </w:rPr>
              <w:t>-</w:t>
            </w:r>
            <w:r w:rsidR="00D52344" w:rsidRPr="00765121">
              <w:rPr>
                <w:rFonts w:ascii="Calibri" w:hAnsi="Calibri"/>
                <w:sz w:val="20"/>
                <w:szCs w:val="20"/>
                <w:lang w:val="en-GB"/>
              </w:rPr>
              <w:t>earmarked contributions, including informing their staff at country-level of their un</w:t>
            </w:r>
            <w:r w:rsidR="00B6004A" w:rsidRPr="00765121">
              <w:rPr>
                <w:rFonts w:ascii="Calibri" w:hAnsi="Calibri"/>
                <w:sz w:val="20"/>
                <w:szCs w:val="20"/>
                <w:lang w:val="en-GB"/>
              </w:rPr>
              <w:t>-</w:t>
            </w:r>
            <w:r w:rsidR="00D52344" w:rsidRPr="00765121">
              <w:rPr>
                <w:rFonts w:ascii="Calibri" w:hAnsi="Calibri"/>
                <w:sz w:val="20"/>
                <w:szCs w:val="20"/>
                <w:lang w:val="en-GB"/>
              </w:rPr>
              <w:t xml:space="preserve">earmarked contributions. </w:t>
            </w:r>
          </w:p>
        </w:tc>
      </w:tr>
      <w:tr w:rsidR="00765121" w:rsidRPr="00765121" w14:paraId="4307F0B0" w14:textId="77777777" w:rsidTr="00765121">
        <w:tc>
          <w:tcPr>
            <w:cnfStyle w:val="001000000000" w:firstRow="0" w:lastRow="0" w:firstColumn="1" w:lastColumn="0" w:oddVBand="0" w:evenVBand="0" w:oddHBand="0" w:evenHBand="0" w:firstRowFirstColumn="0" w:firstRowLastColumn="0" w:lastRowFirstColumn="0" w:lastRowLastColumn="0"/>
            <w:tcW w:w="671" w:type="pct"/>
          </w:tcPr>
          <w:p w14:paraId="16CE67B9" w14:textId="3D771D5B" w:rsidR="00AE1188" w:rsidRPr="00765121" w:rsidRDefault="009C720A" w:rsidP="00AE1188">
            <w:pPr>
              <w:rPr>
                <w:rFonts w:ascii="Calibri" w:hAnsi="Calibri"/>
                <w:b w:val="0"/>
                <w:sz w:val="20"/>
                <w:szCs w:val="20"/>
                <w:lang w:val="en-GB"/>
              </w:rPr>
            </w:pPr>
            <w:r w:rsidRPr="00765121">
              <w:rPr>
                <w:rFonts w:ascii="Calibri" w:hAnsi="Calibri"/>
                <w:b w:val="0"/>
                <w:sz w:val="20"/>
                <w:szCs w:val="20"/>
                <w:lang w:val="en-GB"/>
              </w:rPr>
              <w:lastRenderedPageBreak/>
              <w:t xml:space="preserve">Transparency </w:t>
            </w:r>
            <w:r w:rsidR="00866202" w:rsidRPr="00765121">
              <w:rPr>
                <w:rFonts w:ascii="Calibri" w:hAnsi="Calibri"/>
                <w:b w:val="0"/>
                <w:sz w:val="20"/>
                <w:szCs w:val="20"/>
                <w:lang w:val="en-GB"/>
              </w:rPr>
              <w:t xml:space="preserve">in decision-making </w:t>
            </w:r>
          </w:p>
        </w:tc>
        <w:tc>
          <w:tcPr>
            <w:tcW w:w="2255" w:type="pct"/>
          </w:tcPr>
          <w:p w14:paraId="20A069DC" w14:textId="77777777" w:rsidR="00A90527" w:rsidRPr="00765121" w:rsidRDefault="00A90527" w:rsidP="0049204D">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GB"/>
              </w:rPr>
            </w:pPr>
            <w:r w:rsidRPr="00765121">
              <w:rPr>
                <w:rFonts w:ascii="Calibri" w:hAnsi="Calibri"/>
                <w:sz w:val="20"/>
                <w:szCs w:val="20"/>
                <w:lang w:val="en-GB"/>
              </w:rPr>
              <w:t>It is worth noting that several donors acknowledged that their lack of field-presence meant that delegating prioritisation and decision-making to recipients of flexible financing is one of the key advantages from their perspective. And some donors cautioned that donors should not get involved in the details of the allocation processes or micro-manage partners.</w:t>
            </w:r>
          </w:p>
          <w:p w14:paraId="24338EBD" w14:textId="77777777" w:rsidR="00A90527" w:rsidRPr="00765121" w:rsidRDefault="00A90527" w:rsidP="0049204D">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GB"/>
              </w:rPr>
            </w:pPr>
          </w:p>
          <w:p w14:paraId="36843687" w14:textId="50D5226F" w:rsidR="006F030F" w:rsidRPr="00765121" w:rsidRDefault="00A90527" w:rsidP="0049204D">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GB"/>
              </w:rPr>
            </w:pPr>
            <w:r w:rsidRPr="00765121">
              <w:rPr>
                <w:rFonts w:ascii="Calibri" w:hAnsi="Calibri"/>
                <w:sz w:val="20"/>
                <w:szCs w:val="20"/>
                <w:lang w:val="en-GB"/>
              </w:rPr>
              <w:t>However, m</w:t>
            </w:r>
            <w:r w:rsidR="00AC61AC" w:rsidRPr="00765121">
              <w:rPr>
                <w:rFonts w:ascii="Calibri" w:hAnsi="Calibri"/>
                <w:sz w:val="20"/>
                <w:szCs w:val="20"/>
                <w:lang w:val="en-GB"/>
              </w:rPr>
              <w:t>ost of the donors consulted</w:t>
            </w:r>
            <w:r w:rsidR="0049204D" w:rsidRPr="00765121">
              <w:rPr>
                <w:rFonts w:ascii="Calibri" w:hAnsi="Calibri"/>
                <w:sz w:val="20"/>
                <w:szCs w:val="20"/>
                <w:lang w:val="en-GB"/>
              </w:rPr>
              <w:t xml:space="preserve"> emphasised the need for greater transparency </w:t>
            </w:r>
            <w:r w:rsidR="00AC61AC" w:rsidRPr="00765121">
              <w:rPr>
                <w:rFonts w:ascii="Calibri" w:hAnsi="Calibri"/>
                <w:sz w:val="20"/>
                <w:szCs w:val="20"/>
                <w:lang w:val="en-GB"/>
              </w:rPr>
              <w:t>around</w:t>
            </w:r>
            <w:r w:rsidR="0049204D" w:rsidRPr="00765121">
              <w:rPr>
                <w:rFonts w:ascii="Calibri" w:hAnsi="Calibri"/>
                <w:sz w:val="20"/>
                <w:szCs w:val="20"/>
                <w:lang w:val="en-GB"/>
              </w:rPr>
              <w:t xml:space="preserve"> the criteria and decision-making processes that agencies us</w:t>
            </w:r>
            <w:r w:rsidR="00AC61AC" w:rsidRPr="00765121">
              <w:rPr>
                <w:rFonts w:ascii="Calibri" w:hAnsi="Calibri"/>
                <w:sz w:val="20"/>
                <w:szCs w:val="20"/>
                <w:lang w:val="en-GB"/>
              </w:rPr>
              <w:t xml:space="preserve">e </w:t>
            </w:r>
            <w:r w:rsidR="005B263E" w:rsidRPr="00765121">
              <w:rPr>
                <w:rFonts w:ascii="Calibri" w:hAnsi="Calibri"/>
                <w:sz w:val="20"/>
                <w:szCs w:val="20"/>
                <w:lang w:val="en-GB"/>
              </w:rPr>
              <w:t xml:space="preserve">to </w:t>
            </w:r>
            <w:r w:rsidR="00AC61AC" w:rsidRPr="00765121">
              <w:rPr>
                <w:rFonts w:ascii="Calibri" w:hAnsi="Calibri"/>
                <w:sz w:val="20"/>
                <w:szCs w:val="20"/>
                <w:lang w:val="en-GB"/>
              </w:rPr>
              <w:t>allocate un-earmarked funding and</w:t>
            </w:r>
            <w:r w:rsidR="005B263E" w:rsidRPr="00765121">
              <w:rPr>
                <w:rFonts w:ascii="Calibri" w:hAnsi="Calibri"/>
                <w:sz w:val="20"/>
                <w:szCs w:val="20"/>
                <w:lang w:val="en-GB"/>
              </w:rPr>
              <w:t>,</w:t>
            </w:r>
            <w:r w:rsidR="00AC61AC" w:rsidRPr="00765121">
              <w:rPr>
                <w:rFonts w:ascii="Calibri" w:hAnsi="Calibri"/>
                <w:sz w:val="20"/>
                <w:szCs w:val="20"/>
                <w:lang w:val="en-GB"/>
              </w:rPr>
              <w:t xml:space="preserve"> in particular</w:t>
            </w:r>
            <w:r w:rsidR="005B263E" w:rsidRPr="00765121">
              <w:rPr>
                <w:rFonts w:ascii="Calibri" w:hAnsi="Calibri"/>
                <w:sz w:val="20"/>
                <w:szCs w:val="20"/>
                <w:lang w:val="en-GB"/>
              </w:rPr>
              <w:t>,</w:t>
            </w:r>
            <w:r w:rsidR="00AC61AC" w:rsidRPr="00765121">
              <w:rPr>
                <w:rFonts w:ascii="Calibri" w:hAnsi="Calibri"/>
                <w:sz w:val="20"/>
                <w:szCs w:val="20"/>
                <w:lang w:val="en-GB"/>
              </w:rPr>
              <w:t xml:space="preserve"> the criteria used to allocate funding to specific crises. Analysis of needs (including the numbers of </w:t>
            </w:r>
            <w:r w:rsidRPr="00765121">
              <w:rPr>
                <w:rFonts w:ascii="Calibri" w:hAnsi="Calibri"/>
                <w:sz w:val="20"/>
                <w:szCs w:val="20"/>
                <w:lang w:val="en-GB"/>
              </w:rPr>
              <w:t xml:space="preserve">people affected, the severity of the crisis) and </w:t>
            </w:r>
            <w:r w:rsidR="00AC61AC" w:rsidRPr="00765121">
              <w:rPr>
                <w:rFonts w:ascii="Calibri" w:hAnsi="Calibri"/>
                <w:sz w:val="20"/>
                <w:szCs w:val="20"/>
                <w:lang w:val="en-GB"/>
              </w:rPr>
              <w:t xml:space="preserve">capacities to respond (including domestic capacities, but </w:t>
            </w:r>
            <w:r w:rsidR="00322B84" w:rsidRPr="00765121">
              <w:rPr>
                <w:rFonts w:ascii="Calibri" w:hAnsi="Calibri"/>
                <w:sz w:val="20"/>
                <w:szCs w:val="20"/>
                <w:lang w:val="en-GB"/>
              </w:rPr>
              <w:t>also the capacities of responding actors and funding availability) were cited as key criteria do</w:t>
            </w:r>
            <w:r w:rsidRPr="00765121">
              <w:rPr>
                <w:rFonts w:ascii="Calibri" w:hAnsi="Calibri"/>
                <w:sz w:val="20"/>
                <w:szCs w:val="20"/>
                <w:lang w:val="en-GB"/>
              </w:rPr>
              <w:t xml:space="preserve">nors would like to see agreed and communicated in advance, with the rationale for decisions taken referenced against these criteria. </w:t>
            </w:r>
          </w:p>
          <w:p w14:paraId="564163CF" w14:textId="77777777" w:rsidR="00A90527" w:rsidRPr="00765121" w:rsidRDefault="00A90527" w:rsidP="0049204D">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GB"/>
              </w:rPr>
            </w:pPr>
          </w:p>
          <w:p w14:paraId="076DDFA1" w14:textId="4A34D506" w:rsidR="00AE1188" w:rsidRPr="00765121" w:rsidRDefault="00A90527" w:rsidP="00E81A00">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GB"/>
              </w:rPr>
            </w:pPr>
            <w:r w:rsidRPr="00765121">
              <w:rPr>
                <w:sz w:val="20"/>
                <w:szCs w:val="20"/>
                <w:lang w:val="en-GB"/>
              </w:rPr>
              <w:t>For a couple of donors, increasing the level of un-earmarked funding is clearly related to evidence of funding allocated on the basis of joint and impartial needs assessments.</w:t>
            </w:r>
          </w:p>
        </w:tc>
        <w:tc>
          <w:tcPr>
            <w:tcW w:w="2074" w:type="pct"/>
          </w:tcPr>
          <w:p w14:paraId="1594B1AA" w14:textId="2ED61E54" w:rsidR="001C7DCC" w:rsidRPr="00765121" w:rsidRDefault="001C7DCC" w:rsidP="001C7DCC">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GB"/>
              </w:rPr>
            </w:pPr>
            <w:r w:rsidRPr="00765121">
              <w:rPr>
                <w:rFonts w:ascii="Calibri" w:hAnsi="Calibri"/>
                <w:sz w:val="20"/>
                <w:szCs w:val="20"/>
                <w:lang w:val="en-GB"/>
              </w:rPr>
              <w:t>Several donors noted that progress in Grand Bargain commitments to improve needs assessments, particularly the commitment to increase the number of</w:t>
            </w:r>
            <w:r w:rsidR="005B263E" w:rsidRPr="00765121">
              <w:rPr>
                <w:rFonts w:ascii="Calibri" w:hAnsi="Calibri"/>
                <w:sz w:val="20"/>
                <w:szCs w:val="20"/>
                <w:lang w:val="en-GB"/>
              </w:rPr>
              <w:t xml:space="preserve"> joint and impartial needs assessments</w:t>
            </w:r>
            <w:r w:rsidR="00B3611B" w:rsidRPr="00765121">
              <w:rPr>
                <w:rFonts w:ascii="Calibri" w:hAnsi="Calibri"/>
                <w:sz w:val="20"/>
                <w:szCs w:val="20"/>
                <w:lang w:val="en-GB"/>
              </w:rPr>
              <w:t>, would contribute to increasing their confidence in partners’ processes for allocating flexible funding</w:t>
            </w:r>
            <w:r w:rsidR="005B263E" w:rsidRPr="00765121">
              <w:rPr>
                <w:rFonts w:ascii="Calibri" w:hAnsi="Calibri"/>
                <w:sz w:val="20"/>
                <w:szCs w:val="20"/>
                <w:lang w:val="en-GB"/>
              </w:rPr>
              <w:t>.</w:t>
            </w:r>
          </w:p>
          <w:p w14:paraId="7E229385" w14:textId="77777777" w:rsidR="009876A3" w:rsidRPr="00765121" w:rsidRDefault="009876A3" w:rsidP="00AE1188">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GB"/>
              </w:rPr>
            </w:pPr>
          </w:p>
          <w:p w14:paraId="1F4705C6" w14:textId="1C6454DF" w:rsidR="00E06E2C" w:rsidRPr="00765121" w:rsidRDefault="00E06E2C" w:rsidP="00AE1188">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GB"/>
              </w:rPr>
            </w:pPr>
            <w:r w:rsidRPr="00765121">
              <w:rPr>
                <w:rFonts w:ascii="Calibri" w:hAnsi="Calibri"/>
                <w:sz w:val="20"/>
                <w:szCs w:val="20"/>
                <w:lang w:val="en-GB"/>
              </w:rPr>
              <w:t>Progress on the Grand Bargain commitment on the “Traceability of donors’ funding throughout the transaction chain as far as the final responders and, where feasible, affected people” under the theme of transparency would also respond to some of the concerns expressed.</w:t>
            </w:r>
          </w:p>
          <w:p w14:paraId="5018B0DF" w14:textId="77777777" w:rsidR="00E06E2C" w:rsidRPr="00765121" w:rsidRDefault="00E06E2C" w:rsidP="00AE1188">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GB"/>
              </w:rPr>
            </w:pPr>
          </w:p>
          <w:p w14:paraId="3017C31F" w14:textId="77777777" w:rsidR="00AE1188" w:rsidRPr="00765121" w:rsidRDefault="003A0CC6" w:rsidP="00AE1188">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GB"/>
              </w:rPr>
            </w:pPr>
            <w:r w:rsidRPr="00765121">
              <w:rPr>
                <w:rFonts w:ascii="Calibri" w:hAnsi="Calibri"/>
                <w:sz w:val="20"/>
                <w:szCs w:val="20"/>
                <w:lang w:val="en-GB"/>
              </w:rPr>
              <w:t>WFP is seen as a good practice example because it is transparent about the share of un-earmarked funds used for field operations vs. management costs</w:t>
            </w:r>
            <w:r w:rsidR="00394035" w:rsidRPr="00765121">
              <w:rPr>
                <w:rFonts w:ascii="Calibri" w:hAnsi="Calibri"/>
                <w:sz w:val="20"/>
                <w:szCs w:val="20"/>
                <w:lang w:val="en-GB"/>
              </w:rPr>
              <w:t xml:space="preserve"> and because the Strategic Resource Allocation Committee uses clear criteria t</w:t>
            </w:r>
            <w:r w:rsidR="003E571B" w:rsidRPr="00765121">
              <w:rPr>
                <w:rFonts w:ascii="Calibri" w:hAnsi="Calibri"/>
                <w:sz w:val="20"/>
                <w:szCs w:val="20"/>
                <w:lang w:val="en-GB"/>
              </w:rPr>
              <w:t>o allocate un-earmarked funding</w:t>
            </w:r>
            <w:r w:rsidRPr="00765121">
              <w:rPr>
                <w:rFonts w:ascii="Calibri" w:hAnsi="Calibri"/>
                <w:sz w:val="20"/>
                <w:szCs w:val="20"/>
                <w:lang w:val="en-GB"/>
              </w:rPr>
              <w:t>.</w:t>
            </w:r>
          </w:p>
          <w:p w14:paraId="09BB1DBA" w14:textId="77777777" w:rsidR="007576CC" w:rsidRPr="00765121" w:rsidRDefault="007576CC" w:rsidP="00AE1188">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GB"/>
              </w:rPr>
            </w:pPr>
          </w:p>
          <w:p w14:paraId="1D28D88A" w14:textId="31CF2407" w:rsidR="009D20DE" w:rsidRPr="00765121" w:rsidRDefault="007576CC" w:rsidP="009D20DE">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GB"/>
              </w:rPr>
            </w:pPr>
            <w:r w:rsidRPr="00765121">
              <w:rPr>
                <w:rFonts w:ascii="Calibri" w:hAnsi="Calibri"/>
                <w:sz w:val="20"/>
                <w:szCs w:val="20"/>
                <w:lang w:val="en-GB"/>
              </w:rPr>
              <w:t xml:space="preserve">One donor who is not a member of the CERF Advisory Board would like to have information detailing decision-making in order to build confidence and trust. </w:t>
            </w:r>
          </w:p>
        </w:tc>
      </w:tr>
    </w:tbl>
    <w:p w14:paraId="3EFCF05F" w14:textId="5058D848" w:rsidR="00102046" w:rsidRDefault="00102046" w:rsidP="00AE1188">
      <w:pPr>
        <w:rPr>
          <w:rFonts w:ascii="Calibri" w:hAnsi="Calibri"/>
          <w:sz w:val="22"/>
          <w:szCs w:val="22"/>
          <w:lang w:val="en-GB"/>
        </w:rPr>
        <w:sectPr w:rsidR="00102046" w:rsidSect="00C0045C">
          <w:pgSz w:w="16840" w:h="11900" w:orient="landscape"/>
          <w:pgMar w:top="1440" w:right="1440" w:bottom="1440" w:left="1440" w:header="720" w:footer="720" w:gutter="0"/>
          <w:cols w:space="720"/>
          <w:docGrid w:linePitch="360"/>
        </w:sectPr>
      </w:pPr>
    </w:p>
    <w:p w14:paraId="155833E4" w14:textId="1E04B7A6" w:rsidR="00954DC4" w:rsidRDefault="00954DC4" w:rsidP="004B043C">
      <w:pPr>
        <w:spacing w:after="120"/>
        <w:jc w:val="both"/>
        <w:rPr>
          <w:rFonts w:ascii="Calibri" w:hAnsi="Calibri"/>
          <w:sz w:val="22"/>
          <w:szCs w:val="22"/>
          <w:lang w:val="en-GB"/>
        </w:rPr>
      </w:pPr>
      <w:r>
        <w:rPr>
          <w:rFonts w:ascii="Calibri" w:hAnsi="Calibri"/>
          <w:sz w:val="22"/>
          <w:szCs w:val="22"/>
          <w:lang w:val="en-GB"/>
        </w:rPr>
        <w:t xml:space="preserve">There may be areas where </w:t>
      </w:r>
      <w:r w:rsidR="000A07A0">
        <w:rPr>
          <w:rFonts w:ascii="Calibri" w:hAnsi="Calibri"/>
          <w:sz w:val="22"/>
          <w:szCs w:val="22"/>
          <w:lang w:val="en-GB"/>
        </w:rPr>
        <w:t xml:space="preserve">donor </w:t>
      </w:r>
      <w:r>
        <w:rPr>
          <w:rFonts w:ascii="Calibri" w:hAnsi="Calibri"/>
          <w:sz w:val="22"/>
          <w:szCs w:val="22"/>
          <w:lang w:val="en-GB"/>
        </w:rPr>
        <w:t>expectations around what is feasible for recipient organisations to report could be managed better through dialogue</w:t>
      </w:r>
      <w:r w:rsidR="000A07A0">
        <w:rPr>
          <w:rFonts w:ascii="Calibri" w:hAnsi="Calibri"/>
          <w:sz w:val="22"/>
          <w:szCs w:val="22"/>
          <w:lang w:val="en-GB"/>
        </w:rPr>
        <w:t xml:space="preserve"> and understanding of recipient organisation systems</w:t>
      </w:r>
      <w:r>
        <w:rPr>
          <w:rFonts w:ascii="Calibri" w:hAnsi="Calibri"/>
          <w:sz w:val="22"/>
          <w:szCs w:val="22"/>
          <w:lang w:val="en-GB"/>
        </w:rPr>
        <w:t xml:space="preserve">. In some cases, recipients of flexible funding </w:t>
      </w:r>
      <w:r w:rsidR="000A07A0">
        <w:rPr>
          <w:rFonts w:ascii="Calibri" w:hAnsi="Calibri"/>
          <w:sz w:val="22"/>
          <w:szCs w:val="22"/>
          <w:lang w:val="en-GB"/>
        </w:rPr>
        <w:t>re</w:t>
      </w:r>
      <w:r>
        <w:rPr>
          <w:rFonts w:ascii="Calibri" w:hAnsi="Calibri"/>
          <w:sz w:val="22"/>
          <w:szCs w:val="22"/>
          <w:lang w:val="en-GB"/>
        </w:rPr>
        <w:t xml:space="preserve">cycle these funds repeatedly between activities and programmes, advancing funds when gaps arise and returning these funds to the central level when earmarked funds are secured. This is represents one of the optimal uses of flexible funds, but it does mean that results are not straight forward to attribute to these highly fungible funds. Two UN respondents noted that their flexible funds are only assigned to their final cost-centres at the end of the financial year. Reporting on results achieved at another point in the year may be challenging and in fact the same dollar may have contributed to multiple results. </w:t>
      </w:r>
    </w:p>
    <w:p w14:paraId="538D65B5" w14:textId="6FE1313E" w:rsidR="002C4A0C" w:rsidRDefault="002C4A0C" w:rsidP="004B043C">
      <w:pPr>
        <w:spacing w:after="120"/>
        <w:jc w:val="both"/>
        <w:rPr>
          <w:rFonts w:ascii="Calibri" w:hAnsi="Calibri"/>
          <w:sz w:val="22"/>
          <w:szCs w:val="22"/>
          <w:lang w:val="en-GB"/>
        </w:rPr>
      </w:pPr>
      <w:r>
        <w:rPr>
          <w:rFonts w:ascii="Calibri" w:hAnsi="Calibri"/>
          <w:sz w:val="22"/>
          <w:szCs w:val="22"/>
          <w:lang w:val="en-GB"/>
        </w:rPr>
        <w:t xml:space="preserve">There may also be opportunities to support </w:t>
      </w:r>
      <w:r w:rsidR="003333AC">
        <w:rPr>
          <w:rFonts w:ascii="Calibri" w:hAnsi="Calibri"/>
          <w:sz w:val="22"/>
          <w:szCs w:val="22"/>
          <w:lang w:val="en-GB"/>
        </w:rPr>
        <w:t xml:space="preserve">and factor donor reporting and visibility requirements for flexible funding into </w:t>
      </w:r>
      <w:r>
        <w:rPr>
          <w:rFonts w:ascii="Calibri" w:hAnsi="Calibri"/>
          <w:sz w:val="22"/>
          <w:szCs w:val="22"/>
          <w:lang w:val="en-GB"/>
        </w:rPr>
        <w:t>organisational efforts to improve their overall manag</w:t>
      </w:r>
      <w:r w:rsidR="003333AC">
        <w:rPr>
          <w:rFonts w:ascii="Calibri" w:hAnsi="Calibri"/>
          <w:sz w:val="22"/>
          <w:szCs w:val="22"/>
          <w:lang w:val="en-GB"/>
        </w:rPr>
        <w:t xml:space="preserve">ement, reporting and transparency. A number of UN agencies and ICRC are already undertaking overhauls and major investments in their internal management tools and systems, often with a view to improving their ability to attribute results to inputs and to report on outcomes. Organisations are in some cases also investing in external facing transparency tools such as the UNICEF Transparency Portal. </w:t>
      </w:r>
      <w:r w:rsidR="001E6EEA">
        <w:rPr>
          <w:rFonts w:ascii="Calibri" w:hAnsi="Calibri"/>
          <w:sz w:val="22"/>
          <w:szCs w:val="22"/>
          <w:lang w:val="en-GB"/>
        </w:rPr>
        <w:t>Dialogue under t</w:t>
      </w:r>
      <w:r w:rsidR="00CD2B37">
        <w:rPr>
          <w:rFonts w:ascii="Calibri" w:hAnsi="Calibri"/>
          <w:sz w:val="22"/>
          <w:szCs w:val="22"/>
          <w:lang w:val="en-GB"/>
        </w:rPr>
        <w:t xml:space="preserve">his Grand Bargain workstream </w:t>
      </w:r>
      <w:r w:rsidR="001E6EEA">
        <w:rPr>
          <w:rFonts w:ascii="Calibri" w:hAnsi="Calibri"/>
          <w:sz w:val="22"/>
          <w:szCs w:val="22"/>
          <w:lang w:val="en-GB"/>
        </w:rPr>
        <w:t>presents a</w:t>
      </w:r>
      <w:r w:rsidR="003333AC">
        <w:rPr>
          <w:rFonts w:ascii="Calibri" w:hAnsi="Calibri"/>
          <w:sz w:val="22"/>
          <w:szCs w:val="22"/>
          <w:lang w:val="en-GB"/>
        </w:rPr>
        <w:t xml:space="preserve"> key opportunity </w:t>
      </w:r>
      <w:r w:rsidR="001E6EEA">
        <w:rPr>
          <w:rFonts w:ascii="Calibri" w:hAnsi="Calibri"/>
          <w:sz w:val="22"/>
          <w:szCs w:val="22"/>
          <w:lang w:val="en-GB"/>
        </w:rPr>
        <w:t>to ensure</w:t>
      </w:r>
      <w:r w:rsidR="003333AC">
        <w:rPr>
          <w:rFonts w:ascii="Calibri" w:hAnsi="Calibri"/>
          <w:sz w:val="22"/>
          <w:szCs w:val="22"/>
          <w:lang w:val="en-GB"/>
        </w:rPr>
        <w:t xml:space="preserve"> that donor requirements are factored into these new systems and processes. </w:t>
      </w:r>
    </w:p>
    <w:p w14:paraId="3D6CA1BC" w14:textId="274CE494" w:rsidR="008E6081" w:rsidRPr="004B043C" w:rsidRDefault="008E6081" w:rsidP="004B043C">
      <w:pPr>
        <w:spacing w:after="120"/>
        <w:jc w:val="both"/>
        <w:rPr>
          <w:rFonts w:ascii="Calibri" w:hAnsi="Calibri"/>
          <w:sz w:val="22"/>
          <w:szCs w:val="22"/>
          <w:lang w:val="en-GB"/>
        </w:rPr>
      </w:pPr>
      <w:r>
        <w:rPr>
          <w:rFonts w:ascii="Calibri" w:hAnsi="Calibri"/>
          <w:sz w:val="22"/>
          <w:szCs w:val="22"/>
          <w:lang w:val="en-GB"/>
        </w:rPr>
        <w:t>In addition to the donor issues summarised in Table 1</w:t>
      </w:r>
      <w:r w:rsidR="001E6EEA">
        <w:rPr>
          <w:rFonts w:ascii="Calibri" w:hAnsi="Calibri"/>
          <w:sz w:val="22"/>
          <w:szCs w:val="22"/>
          <w:lang w:val="en-GB"/>
        </w:rPr>
        <w:t xml:space="preserve"> </w:t>
      </w:r>
      <w:r w:rsidR="00663554">
        <w:rPr>
          <w:rFonts w:ascii="Calibri" w:hAnsi="Calibri"/>
          <w:sz w:val="22"/>
          <w:szCs w:val="22"/>
          <w:lang w:val="en-GB"/>
        </w:rPr>
        <w:t>a</w:t>
      </w:r>
      <w:r w:rsidR="001E6EEA">
        <w:rPr>
          <w:rFonts w:ascii="Calibri" w:hAnsi="Calibri"/>
          <w:sz w:val="22"/>
          <w:szCs w:val="22"/>
          <w:lang w:val="en-GB"/>
        </w:rPr>
        <w:t>bove</w:t>
      </w:r>
      <w:r>
        <w:rPr>
          <w:rFonts w:ascii="Calibri" w:hAnsi="Calibri"/>
          <w:sz w:val="22"/>
          <w:szCs w:val="22"/>
          <w:lang w:val="en-GB"/>
        </w:rPr>
        <w:t>, there were a number of donor concerns implicit in the responses to the survey. These are discussed below.</w:t>
      </w:r>
    </w:p>
    <w:p w14:paraId="657B811B" w14:textId="515474F5" w:rsidR="00173847" w:rsidRDefault="00660B12" w:rsidP="00D56A60">
      <w:pPr>
        <w:outlineLvl w:val="0"/>
        <w:rPr>
          <w:rFonts w:ascii="Calibri" w:hAnsi="Calibri"/>
          <w:b/>
          <w:i/>
          <w:sz w:val="22"/>
          <w:szCs w:val="22"/>
          <w:lang w:val="en-GB"/>
        </w:rPr>
      </w:pPr>
      <w:r>
        <w:rPr>
          <w:rFonts w:ascii="Calibri" w:hAnsi="Calibri"/>
          <w:b/>
          <w:i/>
          <w:sz w:val="22"/>
          <w:szCs w:val="22"/>
          <w:lang w:val="en-GB"/>
        </w:rPr>
        <w:t xml:space="preserve">Issue area 2: </w:t>
      </w:r>
      <w:r w:rsidR="006E110B">
        <w:rPr>
          <w:rFonts w:ascii="Calibri" w:hAnsi="Calibri"/>
          <w:b/>
          <w:i/>
          <w:sz w:val="22"/>
          <w:szCs w:val="22"/>
          <w:lang w:val="en-GB"/>
        </w:rPr>
        <w:t>Trust, p</w:t>
      </w:r>
      <w:r>
        <w:rPr>
          <w:rFonts w:ascii="Calibri" w:hAnsi="Calibri"/>
          <w:b/>
          <w:i/>
          <w:sz w:val="22"/>
          <w:szCs w:val="22"/>
          <w:lang w:val="en-GB"/>
        </w:rPr>
        <w:t xml:space="preserve">erformance and </w:t>
      </w:r>
      <w:r w:rsidR="00BD28C5">
        <w:rPr>
          <w:rFonts w:ascii="Calibri" w:hAnsi="Calibri"/>
          <w:b/>
          <w:i/>
          <w:sz w:val="22"/>
          <w:szCs w:val="22"/>
          <w:lang w:val="en-GB"/>
        </w:rPr>
        <w:t xml:space="preserve">cost-efficiency </w:t>
      </w:r>
      <w:r>
        <w:rPr>
          <w:rFonts w:ascii="Calibri" w:hAnsi="Calibri"/>
          <w:b/>
          <w:i/>
          <w:sz w:val="22"/>
          <w:szCs w:val="22"/>
          <w:lang w:val="en-GB"/>
        </w:rPr>
        <w:t xml:space="preserve"> </w:t>
      </w:r>
    </w:p>
    <w:p w14:paraId="204F76A3" w14:textId="2DF4F8B2" w:rsidR="000C5F5E" w:rsidRDefault="00546839" w:rsidP="004B043C">
      <w:pPr>
        <w:spacing w:after="120"/>
        <w:jc w:val="both"/>
        <w:rPr>
          <w:rFonts w:ascii="Calibri" w:hAnsi="Calibri"/>
          <w:sz w:val="22"/>
          <w:szCs w:val="22"/>
          <w:lang w:val="en-GB"/>
        </w:rPr>
      </w:pPr>
      <w:r>
        <w:rPr>
          <w:rFonts w:ascii="Calibri" w:hAnsi="Calibri"/>
          <w:sz w:val="22"/>
          <w:szCs w:val="22"/>
          <w:lang w:val="en-GB"/>
        </w:rPr>
        <w:t xml:space="preserve">One donor noted that: </w:t>
      </w:r>
      <w:r w:rsidRPr="00823FB4">
        <w:rPr>
          <w:rFonts w:ascii="Calibri" w:hAnsi="Calibri"/>
          <w:sz w:val="22"/>
          <w:szCs w:val="22"/>
          <w:lang w:val="en-GB"/>
        </w:rPr>
        <w:t>“</w:t>
      </w:r>
      <w:r w:rsidRPr="006F0FEF">
        <w:rPr>
          <w:rFonts w:ascii="Calibri" w:hAnsi="Calibri"/>
          <w:i/>
          <w:sz w:val="22"/>
          <w:szCs w:val="22"/>
          <w:lang w:val="en-GB"/>
        </w:rPr>
        <w:t>The primary condition for core funding is trust in the organisation; if we do not have it, or not enough, as a rule we will use tighter earmarking</w:t>
      </w:r>
      <w:r>
        <w:rPr>
          <w:rFonts w:ascii="Calibri" w:hAnsi="Calibri"/>
          <w:sz w:val="22"/>
          <w:szCs w:val="22"/>
          <w:lang w:val="en-GB"/>
        </w:rPr>
        <w:t xml:space="preserve">.” </w:t>
      </w:r>
      <w:r w:rsidR="000C5F5E">
        <w:rPr>
          <w:rFonts w:ascii="Calibri" w:hAnsi="Calibri"/>
          <w:sz w:val="22"/>
          <w:szCs w:val="22"/>
          <w:lang w:val="en-GB"/>
        </w:rPr>
        <w:t>F</w:t>
      </w:r>
      <w:r>
        <w:rPr>
          <w:rFonts w:ascii="Calibri" w:hAnsi="Calibri"/>
          <w:sz w:val="22"/>
          <w:szCs w:val="22"/>
          <w:lang w:val="en-GB"/>
        </w:rPr>
        <w:t>or some donors, greater transparency around how funds are allocated and the results achieved wou</w:t>
      </w:r>
      <w:r w:rsidR="000C5F5E">
        <w:rPr>
          <w:rFonts w:ascii="Calibri" w:hAnsi="Calibri"/>
          <w:sz w:val="22"/>
          <w:szCs w:val="22"/>
          <w:lang w:val="en-GB"/>
        </w:rPr>
        <w:t xml:space="preserve">ld help to build trust. Several donors would simply like more information in order to understand and better make the case for the efficiency and effectiveness gains of flexible financing. In particular, </w:t>
      </w:r>
      <w:r w:rsidR="000C5F5E" w:rsidRPr="00173847">
        <w:rPr>
          <w:rFonts w:ascii="Calibri" w:hAnsi="Calibri"/>
          <w:sz w:val="22"/>
          <w:szCs w:val="22"/>
          <w:lang w:val="en-GB"/>
        </w:rPr>
        <w:t>evidence of the results achieved on the ground with un-earmarked funding and how un-earmarked funding is more cost-effective than earmarked funding</w:t>
      </w:r>
      <w:r w:rsidR="000C5F5E">
        <w:rPr>
          <w:rFonts w:ascii="Calibri" w:hAnsi="Calibri"/>
          <w:sz w:val="22"/>
          <w:szCs w:val="22"/>
          <w:lang w:val="en-GB"/>
        </w:rPr>
        <w:t xml:space="preserve"> </w:t>
      </w:r>
      <w:r w:rsidR="000C5F5E" w:rsidRPr="00173847">
        <w:rPr>
          <w:rFonts w:ascii="Calibri" w:hAnsi="Calibri"/>
          <w:sz w:val="22"/>
          <w:szCs w:val="22"/>
          <w:lang w:val="en-GB"/>
        </w:rPr>
        <w:t xml:space="preserve">would help </w:t>
      </w:r>
      <w:r w:rsidR="000C5F5E">
        <w:rPr>
          <w:rFonts w:ascii="Calibri" w:hAnsi="Calibri"/>
          <w:sz w:val="22"/>
          <w:szCs w:val="22"/>
          <w:lang w:val="en-GB"/>
        </w:rPr>
        <w:t>donors</w:t>
      </w:r>
      <w:r w:rsidR="000C5F5E" w:rsidRPr="00173847">
        <w:rPr>
          <w:rFonts w:ascii="Calibri" w:hAnsi="Calibri"/>
          <w:sz w:val="22"/>
          <w:szCs w:val="22"/>
          <w:lang w:val="en-GB"/>
        </w:rPr>
        <w:t xml:space="preserve"> to make the case to political decision-makers to continue prioritising un-earmarked funding.</w:t>
      </w:r>
      <w:r w:rsidR="000C5F5E">
        <w:rPr>
          <w:rFonts w:ascii="Calibri" w:hAnsi="Calibri"/>
          <w:sz w:val="22"/>
          <w:szCs w:val="22"/>
          <w:lang w:val="en-GB"/>
        </w:rPr>
        <w:t xml:space="preserve"> </w:t>
      </w:r>
      <w:r w:rsidR="000C5F5E" w:rsidRPr="00BD28C5">
        <w:rPr>
          <w:rFonts w:ascii="Calibri" w:hAnsi="Calibri"/>
          <w:sz w:val="22"/>
          <w:szCs w:val="22"/>
          <w:lang w:val="en-GB"/>
        </w:rPr>
        <w:t xml:space="preserve">One donor noted WFP as an example of good practice in providing information on the percentage of funds allocated to field operations and the percentage allocated to management costs. Though not cited by donors, UNHCR also provides a breakdown of the percentage of un-earmarked funds allocated by region, by global programme and by headquarters costs in </w:t>
      </w:r>
      <w:r w:rsidR="000C5F5E">
        <w:rPr>
          <w:rFonts w:ascii="Calibri" w:hAnsi="Calibri"/>
          <w:sz w:val="22"/>
          <w:szCs w:val="22"/>
          <w:lang w:val="en-GB"/>
        </w:rPr>
        <w:t>its</w:t>
      </w:r>
      <w:r w:rsidR="000C5F5E" w:rsidRPr="00BD28C5">
        <w:rPr>
          <w:rFonts w:ascii="Calibri" w:hAnsi="Calibri"/>
          <w:sz w:val="22"/>
          <w:szCs w:val="22"/>
          <w:lang w:val="en-GB"/>
        </w:rPr>
        <w:t xml:space="preserve"> annual report on the uses of un-earmarked funding (UNHCR, 2016).</w:t>
      </w:r>
    </w:p>
    <w:p w14:paraId="40E43CAE" w14:textId="4465683F" w:rsidR="0020037B" w:rsidRDefault="000C5F5E" w:rsidP="004B043C">
      <w:pPr>
        <w:spacing w:after="120"/>
        <w:jc w:val="both"/>
        <w:rPr>
          <w:rFonts w:ascii="Calibri" w:hAnsi="Calibri"/>
          <w:sz w:val="22"/>
          <w:szCs w:val="22"/>
          <w:lang w:val="en-GB"/>
        </w:rPr>
      </w:pPr>
      <w:r>
        <w:rPr>
          <w:rFonts w:ascii="Calibri" w:hAnsi="Calibri"/>
          <w:sz w:val="22"/>
          <w:szCs w:val="22"/>
          <w:lang w:val="en-GB"/>
        </w:rPr>
        <w:t>F</w:t>
      </w:r>
      <w:r w:rsidR="00260DE8">
        <w:rPr>
          <w:rFonts w:ascii="Calibri" w:hAnsi="Calibri"/>
          <w:sz w:val="22"/>
          <w:szCs w:val="22"/>
          <w:lang w:val="en-GB"/>
        </w:rPr>
        <w:t>or other donors</w:t>
      </w:r>
      <w:r>
        <w:rPr>
          <w:rFonts w:ascii="Calibri" w:hAnsi="Calibri"/>
          <w:sz w:val="22"/>
          <w:szCs w:val="22"/>
          <w:lang w:val="en-GB"/>
        </w:rPr>
        <w:t>, however, the issues run deeper</w:t>
      </w:r>
      <w:r w:rsidR="00546839">
        <w:rPr>
          <w:rFonts w:ascii="Calibri" w:hAnsi="Calibri"/>
          <w:sz w:val="22"/>
          <w:szCs w:val="22"/>
          <w:lang w:val="en-GB"/>
        </w:rPr>
        <w:t xml:space="preserve"> and include questions and concerns around</w:t>
      </w:r>
      <w:r w:rsidR="00546839" w:rsidRPr="00823FB4">
        <w:rPr>
          <w:rFonts w:ascii="Calibri" w:hAnsi="Calibri"/>
          <w:sz w:val="22"/>
          <w:szCs w:val="22"/>
          <w:lang w:val="en-GB"/>
        </w:rPr>
        <w:t xml:space="preserve"> </w:t>
      </w:r>
      <w:r w:rsidR="0020037B">
        <w:rPr>
          <w:rFonts w:ascii="Calibri" w:hAnsi="Calibri"/>
          <w:sz w:val="22"/>
          <w:szCs w:val="22"/>
          <w:lang w:val="en-GB"/>
        </w:rPr>
        <w:t xml:space="preserve">the </w:t>
      </w:r>
      <w:r w:rsidR="00546839" w:rsidRPr="00823FB4">
        <w:rPr>
          <w:rFonts w:ascii="Calibri" w:hAnsi="Calibri"/>
          <w:sz w:val="22"/>
          <w:szCs w:val="22"/>
          <w:lang w:val="en-GB"/>
        </w:rPr>
        <w:t xml:space="preserve">performance and </w:t>
      </w:r>
      <w:r w:rsidR="00BD28C5">
        <w:rPr>
          <w:rFonts w:ascii="Calibri" w:hAnsi="Calibri"/>
          <w:sz w:val="22"/>
          <w:szCs w:val="22"/>
          <w:lang w:val="en-GB"/>
        </w:rPr>
        <w:t>cost-efficiency</w:t>
      </w:r>
      <w:r w:rsidR="0020037B">
        <w:rPr>
          <w:rFonts w:ascii="Calibri" w:hAnsi="Calibri"/>
          <w:sz w:val="22"/>
          <w:szCs w:val="22"/>
          <w:lang w:val="en-GB"/>
        </w:rPr>
        <w:t xml:space="preserve"> of recipient agencies</w:t>
      </w:r>
      <w:r w:rsidR="00546839" w:rsidRPr="00823FB4">
        <w:rPr>
          <w:rFonts w:ascii="Calibri" w:hAnsi="Calibri"/>
          <w:sz w:val="22"/>
          <w:szCs w:val="22"/>
          <w:lang w:val="en-GB"/>
        </w:rPr>
        <w:t xml:space="preserve">. In short, </w:t>
      </w:r>
      <w:r w:rsidR="00546839">
        <w:rPr>
          <w:rFonts w:ascii="Calibri" w:hAnsi="Calibri"/>
          <w:sz w:val="22"/>
          <w:szCs w:val="22"/>
          <w:lang w:val="en-GB"/>
        </w:rPr>
        <w:t xml:space="preserve">not all donors currently have </w:t>
      </w:r>
      <w:r w:rsidR="00546839" w:rsidRPr="00823FB4">
        <w:rPr>
          <w:rFonts w:ascii="Calibri" w:hAnsi="Calibri"/>
          <w:sz w:val="22"/>
          <w:szCs w:val="22"/>
          <w:lang w:val="en-GB"/>
        </w:rPr>
        <w:t xml:space="preserve">confidence in the </w:t>
      </w:r>
      <w:r w:rsidR="003F5492">
        <w:rPr>
          <w:rFonts w:ascii="Calibri" w:hAnsi="Calibri"/>
          <w:sz w:val="22"/>
          <w:szCs w:val="22"/>
          <w:lang w:val="en-GB"/>
        </w:rPr>
        <w:t xml:space="preserve">argument that flexible </w:t>
      </w:r>
      <w:r>
        <w:rPr>
          <w:rFonts w:ascii="Calibri" w:hAnsi="Calibri"/>
          <w:sz w:val="22"/>
          <w:szCs w:val="22"/>
          <w:lang w:val="en-GB"/>
        </w:rPr>
        <w:t>funding</w:t>
      </w:r>
      <w:r w:rsidR="003F5492">
        <w:rPr>
          <w:rFonts w:ascii="Calibri" w:hAnsi="Calibri"/>
          <w:sz w:val="22"/>
          <w:szCs w:val="22"/>
          <w:lang w:val="en-GB"/>
        </w:rPr>
        <w:t xml:space="preserve"> results in</w:t>
      </w:r>
      <w:r w:rsidR="00546839" w:rsidRPr="00823FB4">
        <w:rPr>
          <w:rFonts w:ascii="Calibri" w:hAnsi="Calibri"/>
          <w:sz w:val="22"/>
          <w:szCs w:val="22"/>
          <w:lang w:val="en-GB"/>
        </w:rPr>
        <w:t xml:space="preserve"> efficiency and effectiveness gains. </w:t>
      </w:r>
      <w:r w:rsidR="0020037B">
        <w:rPr>
          <w:rFonts w:ascii="Calibri" w:hAnsi="Calibri"/>
          <w:sz w:val="22"/>
          <w:szCs w:val="22"/>
          <w:lang w:val="en-GB"/>
        </w:rPr>
        <w:t xml:space="preserve">For example, some donors referenced the need to link discussions on flexible financing with commitments to reduce management costs. </w:t>
      </w:r>
      <w:r w:rsidR="00260DE8">
        <w:rPr>
          <w:rFonts w:ascii="Calibri" w:hAnsi="Calibri"/>
          <w:sz w:val="22"/>
          <w:szCs w:val="22"/>
          <w:lang w:val="en-GB"/>
        </w:rPr>
        <w:t>In the agency survey, o</w:t>
      </w:r>
      <w:r w:rsidR="00850A7A">
        <w:rPr>
          <w:rFonts w:ascii="Calibri" w:hAnsi="Calibri"/>
          <w:sz w:val="22"/>
          <w:szCs w:val="22"/>
          <w:lang w:val="en-GB"/>
        </w:rPr>
        <w:t xml:space="preserve">ne UN </w:t>
      </w:r>
      <w:r w:rsidR="00260DE8">
        <w:rPr>
          <w:rFonts w:ascii="Calibri" w:hAnsi="Calibri"/>
          <w:sz w:val="22"/>
          <w:szCs w:val="22"/>
          <w:lang w:val="en-GB"/>
        </w:rPr>
        <w:t>organisation</w:t>
      </w:r>
      <w:r w:rsidR="00850A7A">
        <w:rPr>
          <w:rFonts w:ascii="Calibri" w:hAnsi="Calibri"/>
          <w:sz w:val="22"/>
          <w:szCs w:val="22"/>
          <w:lang w:val="en-GB"/>
        </w:rPr>
        <w:t xml:space="preserve"> noted that </w:t>
      </w:r>
      <w:r w:rsidR="00260DE8">
        <w:rPr>
          <w:rFonts w:ascii="Calibri" w:hAnsi="Calibri"/>
          <w:sz w:val="22"/>
          <w:szCs w:val="22"/>
          <w:lang w:val="en-GB"/>
        </w:rPr>
        <w:t>its</w:t>
      </w:r>
      <w:r w:rsidR="00850A7A">
        <w:rPr>
          <w:rFonts w:ascii="Calibri" w:hAnsi="Calibri"/>
          <w:sz w:val="22"/>
          <w:szCs w:val="22"/>
          <w:lang w:val="en-GB"/>
        </w:rPr>
        <w:t xml:space="preserve"> core funding is</w:t>
      </w:r>
      <w:r w:rsidR="00260DE8">
        <w:rPr>
          <w:rFonts w:ascii="Calibri" w:hAnsi="Calibri"/>
          <w:sz w:val="22"/>
          <w:szCs w:val="22"/>
          <w:lang w:val="en-GB"/>
        </w:rPr>
        <w:t>, in fact,</w:t>
      </w:r>
      <w:r w:rsidR="00850A7A">
        <w:rPr>
          <w:rFonts w:ascii="Calibri" w:hAnsi="Calibri"/>
          <w:sz w:val="22"/>
          <w:szCs w:val="22"/>
          <w:lang w:val="en-GB"/>
        </w:rPr>
        <w:t xml:space="preserve"> used to cover </w:t>
      </w:r>
      <w:r w:rsidR="00663554">
        <w:rPr>
          <w:rFonts w:ascii="Calibri" w:hAnsi="Calibri"/>
          <w:sz w:val="22"/>
          <w:szCs w:val="22"/>
          <w:lang w:val="en-GB"/>
        </w:rPr>
        <w:t xml:space="preserve">almost all its </w:t>
      </w:r>
      <w:r w:rsidR="00850A7A">
        <w:rPr>
          <w:rFonts w:ascii="Calibri" w:hAnsi="Calibri"/>
          <w:sz w:val="22"/>
          <w:szCs w:val="22"/>
          <w:lang w:val="en-GB"/>
        </w:rPr>
        <w:t>indirect costs</w:t>
      </w:r>
      <w:r w:rsidR="00260DE8">
        <w:rPr>
          <w:rFonts w:ascii="Calibri" w:hAnsi="Calibri"/>
          <w:sz w:val="22"/>
          <w:szCs w:val="22"/>
          <w:lang w:val="en-GB"/>
        </w:rPr>
        <w:t xml:space="preserve"> </w:t>
      </w:r>
      <w:r w:rsidR="00663554">
        <w:rPr>
          <w:rFonts w:ascii="Calibri" w:hAnsi="Calibri"/>
          <w:sz w:val="22"/>
          <w:szCs w:val="22"/>
          <w:lang w:val="en-GB"/>
        </w:rPr>
        <w:t>because these</w:t>
      </w:r>
      <w:r w:rsidR="00260DE8">
        <w:rPr>
          <w:rFonts w:ascii="Calibri" w:hAnsi="Calibri"/>
          <w:sz w:val="22"/>
          <w:szCs w:val="22"/>
          <w:lang w:val="en-GB"/>
        </w:rPr>
        <w:t xml:space="preserve"> are</w:t>
      </w:r>
      <w:r w:rsidR="00850A7A">
        <w:rPr>
          <w:rFonts w:ascii="Calibri" w:hAnsi="Calibri"/>
          <w:sz w:val="22"/>
          <w:szCs w:val="22"/>
          <w:lang w:val="en-GB"/>
        </w:rPr>
        <w:t xml:space="preserve"> inadequately covered by </w:t>
      </w:r>
      <w:r w:rsidR="00A771D4">
        <w:rPr>
          <w:rFonts w:ascii="Calibri" w:hAnsi="Calibri"/>
          <w:sz w:val="22"/>
          <w:szCs w:val="22"/>
          <w:lang w:val="en-GB"/>
        </w:rPr>
        <w:t>earmarked contribution</w:t>
      </w:r>
      <w:r w:rsidR="00663554">
        <w:rPr>
          <w:rFonts w:ascii="Calibri" w:hAnsi="Calibri"/>
          <w:sz w:val="22"/>
          <w:szCs w:val="22"/>
          <w:lang w:val="en-GB"/>
        </w:rPr>
        <w:t>s</w:t>
      </w:r>
      <w:r w:rsidR="00260DE8">
        <w:rPr>
          <w:rFonts w:ascii="Calibri" w:hAnsi="Calibri"/>
          <w:sz w:val="22"/>
          <w:szCs w:val="22"/>
          <w:lang w:val="en-GB"/>
        </w:rPr>
        <w:t>.</w:t>
      </w:r>
      <w:r w:rsidR="00A771D4">
        <w:rPr>
          <w:rFonts w:ascii="Calibri" w:hAnsi="Calibri"/>
          <w:sz w:val="22"/>
          <w:szCs w:val="22"/>
          <w:lang w:val="en-GB"/>
        </w:rPr>
        <w:t xml:space="preserve"> </w:t>
      </w:r>
      <w:r w:rsidR="00260DE8">
        <w:rPr>
          <w:rFonts w:ascii="Calibri" w:hAnsi="Calibri"/>
          <w:sz w:val="22"/>
          <w:szCs w:val="22"/>
          <w:lang w:val="en-GB"/>
        </w:rPr>
        <w:t>I</w:t>
      </w:r>
      <w:r w:rsidR="00A771D4">
        <w:rPr>
          <w:rFonts w:ascii="Calibri" w:hAnsi="Calibri"/>
          <w:sz w:val="22"/>
          <w:szCs w:val="22"/>
          <w:lang w:val="en-GB"/>
        </w:rPr>
        <w:t>n effect</w:t>
      </w:r>
      <w:r w:rsidR="00260DE8">
        <w:rPr>
          <w:rFonts w:ascii="Calibri" w:hAnsi="Calibri"/>
          <w:sz w:val="22"/>
          <w:szCs w:val="22"/>
          <w:lang w:val="en-GB"/>
        </w:rPr>
        <w:t>,</w:t>
      </w:r>
      <w:r w:rsidR="00A771D4">
        <w:rPr>
          <w:rFonts w:ascii="Calibri" w:hAnsi="Calibri"/>
          <w:sz w:val="22"/>
          <w:szCs w:val="22"/>
          <w:lang w:val="en-GB"/>
        </w:rPr>
        <w:t xml:space="preserve"> </w:t>
      </w:r>
      <w:r w:rsidR="00260DE8">
        <w:rPr>
          <w:rFonts w:ascii="Calibri" w:hAnsi="Calibri"/>
          <w:sz w:val="22"/>
          <w:szCs w:val="22"/>
          <w:lang w:val="en-GB"/>
        </w:rPr>
        <w:t xml:space="preserve">un-earmarked funding </w:t>
      </w:r>
      <w:r w:rsidR="00A771D4">
        <w:rPr>
          <w:rFonts w:ascii="Calibri" w:hAnsi="Calibri"/>
          <w:sz w:val="22"/>
          <w:szCs w:val="22"/>
          <w:lang w:val="en-GB"/>
        </w:rPr>
        <w:t>subsidises earmarked funding. Using un</w:t>
      </w:r>
      <w:r w:rsidR="00260DE8">
        <w:rPr>
          <w:rFonts w:ascii="Calibri" w:hAnsi="Calibri"/>
          <w:sz w:val="22"/>
          <w:szCs w:val="22"/>
          <w:lang w:val="en-GB"/>
        </w:rPr>
        <w:t>-</w:t>
      </w:r>
      <w:r w:rsidR="00A771D4">
        <w:rPr>
          <w:rFonts w:ascii="Calibri" w:hAnsi="Calibri"/>
          <w:sz w:val="22"/>
          <w:szCs w:val="22"/>
          <w:lang w:val="en-GB"/>
        </w:rPr>
        <w:t>earmarked contributions to cover routine (perhaps also primarily head-quarters) costs limits the</w:t>
      </w:r>
      <w:r w:rsidR="00260DE8">
        <w:rPr>
          <w:rFonts w:ascii="Calibri" w:hAnsi="Calibri"/>
          <w:sz w:val="22"/>
          <w:szCs w:val="22"/>
          <w:lang w:val="en-GB"/>
        </w:rPr>
        <w:t>ir</w:t>
      </w:r>
      <w:r w:rsidR="00A771D4">
        <w:rPr>
          <w:rFonts w:ascii="Calibri" w:hAnsi="Calibri"/>
          <w:sz w:val="22"/>
          <w:szCs w:val="22"/>
          <w:lang w:val="en-GB"/>
        </w:rPr>
        <w:t xml:space="preserve"> potential to contribute to wider organisational and programmatic gains and confirms concerns expressed by some donors. </w:t>
      </w:r>
      <w:r>
        <w:rPr>
          <w:rFonts w:ascii="Calibri" w:hAnsi="Calibri"/>
          <w:sz w:val="22"/>
          <w:szCs w:val="22"/>
          <w:lang w:val="en-GB"/>
        </w:rPr>
        <w:t xml:space="preserve">Reporting and transparency are insufficient to satisfy these donors’ questions and concerns </w:t>
      </w:r>
      <w:r w:rsidR="0020037B">
        <w:rPr>
          <w:rFonts w:ascii="Calibri" w:hAnsi="Calibri"/>
          <w:sz w:val="22"/>
          <w:szCs w:val="22"/>
          <w:lang w:val="en-GB"/>
        </w:rPr>
        <w:t>because</w:t>
      </w:r>
      <w:r>
        <w:rPr>
          <w:rFonts w:ascii="Calibri" w:hAnsi="Calibri"/>
          <w:sz w:val="22"/>
          <w:szCs w:val="22"/>
          <w:lang w:val="en-GB"/>
        </w:rPr>
        <w:t xml:space="preserve"> they </w:t>
      </w:r>
      <w:r w:rsidRPr="00173847">
        <w:rPr>
          <w:rFonts w:ascii="Calibri" w:hAnsi="Calibri"/>
          <w:sz w:val="22"/>
          <w:szCs w:val="22"/>
          <w:lang w:val="en-GB"/>
        </w:rPr>
        <w:t xml:space="preserve">seek more </w:t>
      </w:r>
      <w:r>
        <w:rPr>
          <w:rFonts w:ascii="Calibri" w:hAnsi="Calibri"/>
          <w:sz w:val="22"/>
          <w:szCs w:val="22"/>
          <w:lang w:val="en-GB"/>
        </w:rPr>
        <w:t xml:space="preserve">robust </w:t>
      </w:r>
      <w:r w:rsidRPr="00173847">
        <w:rPr>
          <w:rFonts w:ascii="Calibri" w:hAnsi="Calibri"/>
          <w:sz w:val="22"/>
          <w:szCs w:val="22"/>
          <w:lang w:val="en-GB"/>
        </w:rPr>
        <w:t>evidence that core funding results in more effective assistance and enables agencies to reach more people in need.</w:t>
      </w:r>
      <w:r>
        <w:rPr>
          <w:rFonts w:ascii="Calibri" w:hAnsi="Calibri"/>
          <w:sz w:val="22"/>
          <w:szCs w:val="22"/>
          <w:lang w:val="en-GB"/>
        </w:rPr>
        <w:t xml:space="preserve"> </w:t>
      </w:r>
      <w:r w:rsidR="00C25C8B">
        <w:rPr>
          <w:rFonts w:ascii="Calibri" w:hAnsi="Calibri"/>
          <w:sz w:val="22"/>
          <w:szCs w:val="22"/>
          <w:lang w:val="en-GB"/>
        </w:rPr>
        <w:t>These concerns have already led two</w:t>
      </w:r>
      <w:r w:rsidR="0020037B">
        <w:rPr>
          <w:rFonts w:ascii="Calibri" w:hAnsi="Calibri"/>
          <w:sz w:val="22"/>
          <w:szCs w:val="22"/>
          <w:lang w:val="en-GB"/>
        </w:rPr>
        <w:t xml:space="preserve"> donors </w:t>
      </w:r>
      <w:r w:rsidR="00C25C8B">
        <w:rPr>
          <w:rFonts w:ascii="Calibri" w:hAnsi="Calibri"/>
          <w:sz w:val="22"/>
          <w:szCs w:val="22"/>
          <w:lang w:val="en-GB"/>
        </w:rPr>
        <w:t>to introduce</w:t>
      </w:r>
      <w:r w:rsidR="0020037B">
        <w:rPr>
          <w:rFonts w:ascii="Calibri" w:hAnsi="Calibri"/>
          <w:sz w:val="22"/>
          <w:szCs w:val="22"/>
          <w:lang w:val="en-GB"/>
        </w:rPr>
        <w:t xml:space="preserve"> </w:t>
      </w:r>
      <w:r w:rsidR="00DF70BB">
        <w:rPr>
          <w:rFonts w:ascii="Calibri" w:hAnsi="Calibri"/>
          <w:sz w:val="22"/>
          <w:szCs w:val="22"/>
          <w:lang w:val="en-GB"/>
        </w:rPr>
        <w:t>pe</w:t>
      </w:r>
      <w:r w:rsidR="0020037B">
        <w:rPr>
          <w:rFonts w:ascii="Calibri" w:hAnsi="Calibri"/>
          <w:sz w:val="22"/>
          <w:szCs w:val="22"/>
          <w:lang w:val="en-GB"/>
        </w:rPr>
        <w:t>rformance management frameworks</w:t>
      </w:r>
      <w:r w:rsidR="00DF70BB">
        <w:rPr>
          <w:rFonts w:ascii="Calibri" w:hAnsi="Calibri"/>
          <w:sz w:val="22"/>
          <w:szCs w:val="22"/>
          <w:lang w:val="en-GB"/>
        </w:rPr>
        <w:t xml:space="preserve"> against which </w:t>
      </w:r>
      <w:r w:rsidR="0020037B">
        <w:rPr>
          <w:rFonts w:ascii="Calibri" w:hAnsi="Calibri"/>
          <w:sz w:val="22"/>
          <w:szCs w:val="22"/>
          <w:lang w:val="en-GB"/>
        </w:rPr>
        <w:t xml:space="preserve">they calibrate </w:t>
      </w:r>
      <w:r w:rsidR="00DF70BB">
        <w:rPr>
          <w:rFonts w:ascii="Calibri" w:hAnsi="Calibri"/>
          <w:sz w:val="22"/>
          <w:szCs w:val="22"/>
          <w:lang w:val="en-GB"/>
        </w:rPr>
        <w:t>degree</w:t>
      </w:r>
      <w:r w:rsidR="0020037B">
        <w:rPr>
          <w:rFonts w:ascii="Calibri" w:hAnsi="Calibri"/>
          <w:sz w:val="22"/>
          <w:szCs w:val="22"/>
          <w:lang w:val="en-GB"/>
        </w:rPr>
        <w:t>s of flexibility in their funding</w:t>
      </w:r>
      <w:r w:rsidR="00DF70BB">
        <w:rPr>
          <w:rFonts w:ascii="Calibri" w:hAnsi="Calibri"/>
          <w:sz w:val="22"/>
          <w:szCs w:val="22"/>
          <w:lang w:val="en-GB"/>
        </w:rPr>
        <w:t>.</w:t>
      </w:r>
      <w:r w:rsidR="00DF70BB">
        <w:rPr>
          <w:rStyle w:val="FootnoteReference"/>
          <w:rFonts w:ascii="Calibri" w:hAnsi="Calibri"/>
          <w:sz w:val="22"/>
          <w:szCs w:val="22"/>
          <w:lang w:val="en-GB"/>
        </w:rPr>
        <w:footnoteReference w:id="4"/>
      </w:r>
      <w:r w:rsidR="00DF70BB">
        <w:rPr>
          <w:rFonts w:ascii="Calibri" w:hAnsi="Calibri"/>
          <w:sz w:val="22"/>
          <w:szCs w:val="22"/>
          <w:lang w:val="en-GB"/>
        </w:rPr>
        <w:t xml:space="preserve"> </w:t>
      </w:r>
    </w:p>
    <w:p w14:paraId="33AD875B" w14:textId="2E9DDEEE" w:rsidR="00A1222C" w:rsidRDefault="00A1222C" w:rsidP="004B043C">
      <w:pPr>
        <w:spacing w:after="120"/>
        <w:jc w:val="both"/>
        <w:rPr>
          <w:rFonts w:ascii="Calibri" w:hAnsi="Calibri"/>
          <w:sz w:val="22"/>
          <w:szCs w:val="22"/>
          <w:lang w:val="en-GB"/>
        </w:rPr>
      </w:pPr>
      <w:r>
        <w:rPr>
          <w:rFonts w:ascii="Calibri" w:hAnsi="Calibri"/>
          <w:sz w:val="22"/>
          <w:szCs w:val="22"/>
          <w:lang w:val="en-GB"/>
        </w:rPr>
        <w:t>The use of core contributions for routine costs also raises critical questions for the Grand Bargain workstream on reducing management costs. The question for this workstream perhaps should be expanded from examining how flexible funding can lead to efficiency savings to considering whether current funding arrangements cover costs in a fair and rational way.</w:t>
      </w:r>
    </w:p>
    <w:p w14:paraId="740D6332" w14:textId="0024130E" w:rsidR="00660B12" w:rsidRDefault="0020037B" w:rsidP="004B043C">
      <w:pPr>
        <w:spacing w:after="120"/>
        <w:jc w:val="both"/>
        <w:rPr>
          <w:rFonts w:ascii="Calibri" w:hAnsi="Calibri"/>
          <w:sz w:val="22"/>
          <w:szCs w:val="22"/>
          <w:lang w:val="en-GB"/>
        </w:rPr>
      </w:pPr>
      <w:r>
        <w:rPr>
          <w:rFonts w:ascii="Calibri" w:hAnsi="Calibri"/>
          <w:sz w:val="22"/>
          <w:szCs w:val="22"/>
          <w:lang w:val="en-GB"/>
        </w:rPr>
        <w:t xml:space="preserve">The </w:t>
      </w:r>
      <w:r w:rsidR="00A1222C">
        <w:rPr>
          <w:rFonts w:ascii="Calibri" w:hAnsi="Calibri"/>
          <w:sz w:val="22"/>
          <w:szCs w:val="22"/>
          <w:lang w:val="en-GB"/>
        </w:rPr>
        <w:t>donor survey did not pursue the</w:t>
      </w:r>
      <w:r w:rsidR="00BC1942">
        <w:rPr>
          <w:rFonts w:ascii="Calibri" w:hAnsi="Calibri"/>
          <w:sz w:val="22"/>
          <w:szCs w:val="22"/>
          <w:lang w:val="en-GB"/>
        </w:rPr>
        <w:t xml:space="preserve"> discussion area </w:t>
      </w:r>
      <w:r>
        <w:rPr>
          <w:rFonts w:ascii="Calibri" w:hAnsi="Calibri"/>
          <w:sz w:val="22"/>
          <w:szCs w:val="22"/>
          <w:lang w:val="en-GB"/>
        </w:rPr>
        <w:t xml:space="preserve">on cost-efficiency, evidence of performance and building trust in detail. </w:t>
      </w:r>
      <w:r w:rsidR="00A1222C">
        <w:rPr>
          <w:rFonts w:ascii="Calibri" w:hAnsi="Calibri"/>
          <w:sz w:val="22"/>
          <w:szCs w:val="22"/>
          <w:lang w:val="en-GB"/>
        </w:rPr>
        <w:t>However, d</w:t>
      </w:r>
      <w:r>
        <w:rPr>
          <w:rFonts w:ascii="Calibri" w:hAnsi="Calibri"/>
          <w:sz w:val="22"/>
          <w:szCs w:val="22"/>
          <w:lang w:val="en-GB"/>
        </w:rPr>
        <w:t xml:space="preserve">iscussions </w:t>
      </w:r>
      <w:r w:rsidR="00A1222C">
        <w:rPr>
          <w:rFonts w:ascii="Calibri" w:hAnsi="Calibri"/>
          <w:sz w:val="22"/>
          <w:szCs w:val="22"/>
          <w:lang w:val="en-GB"/>
        </w:rPr>
        <w:t>under</w:t>
      </w:r>
      <w:r>
        <w:rPr>
          <w:rFonts w:ascii="Calibri" w:hAnsi="Calibri"/>
          <w:sz w:val="22"/>
          <w:szCs w:val="22"/>
          <w:lang w:val="en-GB"/>
        </w:rPr>
        <w:t xml:space="preserve"> this workstream could explore</w:t>
      </w:r>
      <w:r w:rsidR="00BC1942">
        <w:rPr>
          <w:rFonts w:ascii="Calibri" w:hAnsi="Calibri"/>
          <w:sz w:val="22"/>
          <w:szCs w:val="22"/>
          <w:lang w:val="en-GB"/>
        </w:rPr>
        <w:t xml:space="preserve"> donor appetite for performance management tools and frameworks </w:t>
      </w:r>
      <w:r>
        <w:rPr>
          <w:rFonts w:ascii="Calibri" w:hAnsi="Calibri"/>
          <w:sz w:val="22"/>
          <w:szCs w:val="22"/>
          <w:lang w:val="en-GB"/>
        </w:rPr>
        <w:t>as well as p</w:t>
      </w:r>
      <w:r w:rsidR="00635AE8">
        <w:rPr>
          <w:rFonts w:ascii="Calibri" w:hAnsi="Calibri"/>
          <w:sz w:val="22"/>
          <w:szCs w:val="22"/>
          <w:lang w:val="en-GB"/>
        </w:rPr>
        <w:t xml:space="preserve">otential links </w:t>
      </w:r>
      <w:r>
        <w:rPr>
          <w:rFonts w:ascii="Calibri" w:hAnsi="Calibri"/>
          <w:sz w:val="22"/>
          <w:szCs w:val="22"/>
          <w:lang w:val="en-GB"/>
        </w:rPr>
        <w:t xml:space="preserve">to </w:t>
      </w:r>
      <w:r w:rsidR="00A1222C">
        <w:rPr>
          <w:rFonts w:ascii="Calibri" w:hAnsi="Calibri"/>
          <w:sz w:val="22"/>
          <w:szCs w:val="22"/>
          <w:lang w:val="en-GB"/>
        </w:rPr>
        <w:t xml:space="preserve">Grand Bargain </w:t>
      </w:r>
      <w:r>
        <w:rPr>
          <w:rFonts w:ascii="Calibri" w:hAnsi="Calibri"/>
          <w:sz w:val="22"/>
          <w:szCs w:val="22"/>
          <w:lang w:val="en-GB"/>
        </w:rPr>
        <w:t xml:space="preserve">commitments </w:t>
      </w:r>
      <w:r w:rsidR="00635AE8">
        <w:rPr>
          <w:rFonts w:ascii="Calibri" w:hAnsi="Calibri"/>
          <w:sz w:val="22"/>
          <w:szCs w:val="22"/>
          <w:lang w:val="en-GB"/>
        </w:rPr>
        <w:t>to reduce management costs and duplication and particularly</w:t>
      </w:r>
      <w:r>
        <w:rPr>
          <w:rFonts w:ascii="Calibri" w:hAnsi="Calibri"/>
          <w:sz w:val="22"/>
          <w:szCs w:val="22"/>
          <w:lang w:val="en-GB"/>
        </w:rPr>
        <w:t xml:space="preserve"> to</w:t>
      </w:r>
      <w:r w:rsidR="00635AE8">
        <w:rPr>
          <w:rFonts w:ascii="Calibri" w:hAnsi="Calibri"/>
          <w:sz w:val="22"/>
          <w:szCs w:val="22"/>
          <w:lang w:val="en-GB"/>
        </w:rPr>
        <w:t xml:space="preserve"> the commitment to “</w:t>
      </w:r>
      <w:r w:rsidR="00635AE8" w:rsidRPr="00635AE8">
        <w:rPr>
          <w:rFonts w:ascii="Calibri" w:hAnsi="Calibri"/>
          <w:sz w:val="22"/>
          <w:szCs w:val="22"/>
          <w:lang w:val="en-GB"/>
        </w:rPr>
        <w:t>Make joint regular functional monitoring and performance reviews and reduce individual donor assessments, evaluations, verifications, risk management and oversight processes.</w:t>
      </w:r>
      <w:r w:rsidR="00635AE8">
        <w:rPr>
          <w:rFonts w:ascii="Calibri" w:hAnsi="Calibri"/>
          <w:sz w:val="22"/>
          <w:szCs w:val="22"/>
          <w:lang w:val="en-GB"/>
        </w:rPr>
        <w:t xml:space="preserve">” </w:t>
      </w:r>
      <w:r>
        <w:rPr>
          <w:rFonts w:ascii="Calibri" w:hAnsi="Calibri"/>
          <w:sz w:val="22"/>
          <w:szCs w:val="22"/>
          <w:lang w:val="en-GB"/>
        </w:rPr>
        <w:t>Donors s</w:t>
      </w:r>
      <w:r w:rsidR="00635AE8">
        <w:rPr>
          <w:rFonts w:ascii="Calibri" w:hAnsi="Calibri"/>
          <w:sz w:val="22"/>
          <w:szCs w:val="22"/>
          <w:lang w:val="en-GB"/>
        </w:rPr>
        <w:t xml:space="preserve">hould </w:t>
      </w:r>
      <w:r>
        <w:rPr>
          <w:rFonts w:ascii="Calibri" w:hAnsi="Calibri"/>
          <w:sz w:val="22"/>
          <w:szCs w:val="22"/>
          <w:lang w:val="en-GB"/>
        </w:rPr>
        <w:t>closely monitor progress on the commitment to joint performance reviews</w:t>
      </w:r>
      <w:r w:rsidR="00635AE8">
        <w:rPr>
          <w:rFonts w:ascii="Calibri" w:hAnsi="Calibri"/>
          <w:sz w:val="22"/>
          <w:szCs w:val="22"/>
          <w:lang w:val="en-GB"/>
        </w:rPr>
        <w:t xml:space="preserve"> to confirm whether </w:t>
      </w:r>
      <w:r w:rsidR="00A1222C">
        <w:rPr>
          <w:rFonts w:ascii="Calibri" w:hAnsi="Calibri"/>
          <w:sz w:val="22"/>
          <w:szCs w:val="22"/>
          <w:lang w:val="en-GB"/>
        </w:rPr>
        <w:t>these</w:t>
      </w:r>
      <w:r w:rsidR="00635AE8">
        <w:rPr>
          <w:rFonts w:ascii="Calibri" w:hAnsi="Calibri"/>
          <w:sz w:val="22"/>
          <w:szCs w:val="22"/>
          <w:lang w:val="en-GB"/>
        </w:rPr>
        <w:t xml:space="preserve"> could provide the performance related evidence </w:t>
      </w:r>
      <w:r w:rsidR="00446AD7">
        <w:rPr>
          <w:rFonts w:ascii="Calibri" w:hAnsi="Calibri"/>
          <w:sz w:val="22"/>
          <w:szCs w:val="22"/>
          <w:lang w:val="en-GB"/>
        </w:rPr>
        <w:t xml:space="preserve">that </w:t>
      </w:r>
      <w:r w:rsidR="00A1222C">
        <w:rPr>
          <w:rFonts w:ascii="Calibri" w:hAnsi="Calibri"/>
          <w:sz w:val="22"/>
          <w:szCs w:val="22"/>
          <w:lang w:val="en-GB"/>
        </w:rPr>
        <w:t xml:space="preserve">they </w:t>
      </w:r>
      <w:r w:rsidR="00635AE8">
        <w:rPr>
          <w:rFonts w:ascii="Calibri" w:hAnsi="Calibri"/>
          <w:sz w:val="22"/>
          <w:szCs w:val="22"/>
          <w:lang w:val="en-GB"/>
        </w:rPr>
        <w:t>require</w:t>
      </w:r>
      <w:r w:rsidR="00446AD7">
        <w:rPr>
          <w:rFonts w:ascii="Calibri" w:hAnsi="Calibri"/>
          <w:sz w:val="22"/>
          <w:szCs w:val="22"/>
          <w:lang w:val="en-GB"/>
        </w:rPr>
        <w:t xml:space="preserve"> to provide more flexible funding</w:t>
      </w:r>
      <w:r w:rsidR="00635AE8">
        <w:rPr>
          <w:rFonts w:ascii="Calibri" w:hAnsi="Calibri"/>
          <w:sz w:val="22"/>
          <w:szCs w:val="22"/>
          <w:lang w:val="en-GB"/>
        </w:rPr>
        <w:t xml:space="preserve">. </w:t>
      </w:r>
    </w:p>
    <w:p w14:paraId="49771FD8" w14:textId="7DE9DA41" w:rsidR="00102046" w:rsidRDefault="00660B12" w:rsidP="00D56A60">
      <w:pPr>
        <w:outlineLvl w:val="0"/>
        <w:rPr>
          <w:rFonts w:ascii="Calibri" w:hAnsi="Calibri"/>
          <w:b/>
          <w:i/>
          <w:sz w:val="22"/>
          <w:szCs w:val="22"/>
          <w:lang w:val="en-GB"/>
        </w:rPr>
      </w:pPr>
      <w:r>
        <w:rPr>
          <w:rFonts w:ascii="Calibri" w:hAnsi="Calibri"/>
          <w:b/>
          <w:i/>
          <w:sz w:val="22"/>
          <w:szCs w:val="22"/>
          <w:lang w:val="en-GB"/>
        </w:rPr>
        <w:t xml:space="preserve">Issue area 3: Strategies to achieve the collective target </w:t>
      </w:r>
    </w:p>
    <w:p w14:paraId="04E21043" w14:textId="71F1A868" w:rsidR="00ED6A03" w:rsidRDefault="00DF70BB" w:rsidP="00ED6A03">
      <w:pPr>
        <w:spacing w:after="120"/>
        <w:jc w:val="both"/>
        <w:rPr>
          <w:rFonts w:ascii="Calibri" w:hAnsi="Calibri"/>
          <w:sz w:val="22"/>
          <w:szCs w:val="22"/>
          <w:lang w:val="en-GB"/>
        </w:rPr>
      </w:pPr>
      <w:r>
        <w:rPr>
          <w:rFonts w:ascii="Calibri" w:hAnsi="Calibri"/>
          <w:sz w:val="22"/>
          <w:szCs w:val="22"/>
          <w:lang w:val="en-GB"/>
        </w:rPr>
        <w:t>Donors vary widely in their commitment and ability to provide flexible financing. Some donors already meet and others significantly exceed the 30% target</w:t>
      </w:r>
      <w:r w:rsidR="006F0FEF">
        <w:rPr>
          <w:rFonts w:ascii="Calibri" w:hAnsi="Calibri"/>
          <w:sz w:val="22"/>
          <w:szCs w:val="22"/>
          <w:lang w:val="en-GB"/>
        </w:rPr>
        <w:t xml:space="preserve"> agreed in the Grand Bargain</w:t>
      </w:r>
      <w:r>
        <w:rPr>
          <w:rFonts w:ascii="Calibri" w:hAnsi="Calibri"/>
          <w:sz w:val="22"/>
          <w:szCs w:val="22"/>
          <w:lang w:val="en-GB"/>
        </w:rPr>
        <w:t xml:space="preserve">, but these are not </w:t>
      </w:r>
      <w:r w:rsidR="00765121">
        <w:rPr>
          <w:rFonts w:ascii="Calibri" w:hAnsi="Calibri"/>
          <w:sz w:val="22"/>
          <w:szCs w:val="22"/>
          <w:lang w:val="en-GB"/>
        </w:rPr>
        <w:t xml:space="preserve">necessarily </w:t>
      </w:r>
      <w:r>
        <w:rPr>
          <w:rFonts w:ascii="Calibri" w:hAnsi="Calibri"/>
          <w:sz w:val="22"/>
          <w:szCs w:val="22"/>
          <w:lang w:val="en-GB"/>
        </w:rPr>
        <w:t>the largest donors.</w:t>
      </w:r>
      <w:r w:rsidR="00CB0C4F">
        <w:rPr>
          <w:rStyle w:val="FootnoteReference"/>
          <w:rFonts w:ascii="Calibri" w:hAnsi="Calibri"/>
          <w:sz w:val="22"/>
          <w:szCs w:val="22"/>
          <w:lang w:val="en-GB"/>
        </w:rPr>
        <w:footnoteReference w:id="5"/>
      </w:r>
      <w:r>
        <w:rPr>
          <w:rFonts w:ascii="Calibri" w:hAnsi="Calibri"/>
          <w:sz w:val="22"/>
          <w:szCs w:val="22"/>
          <w:lang w:val="en-GB"/>
        </w:rPr>
        <w:t xml:space="preserve"> </w:t>
      </w:r>
      <w:r w:rsidR="00ED6A03">
        <w:rPr>
          <w:rFonts w:ascii="Calibri" w:hAnsi="Calibri"/>
          <w:sz w:val="22"/>
          <w:szCs w:val="22"/>
          <w:lang w:val="en-GB"/>
        </w:rPr>
        <w:t xml:space="preserve">Some donors are concerned about fair burden sharing in achieving the 30% target. This is because there is a risk that, as donors face growing </w:t>
      </w:r>
      <w:r w:rsidR="00ED6A03" w:rsidRPr="00DF70BB">
        <w:rPr>
          <w:rFonts w:ascii="Calibri" w:hAnsi="Calibri"/>
          <w:sz w:val="22"/>
          <w:szCs w:val="22"/>
          <w:lang w:val="en-GB"/>
        </w:rPr>
        <w:t xml:space="preserve">pressures to demonstrate results </w:t>
      </w:r>
      <w:r w:rsidR="00ED6A03">
        <w:rPr>
          <w:rFonts w:ascii="Calibri" w:hAnsi="Calibri"/>
          <w:sz w:val="22"/>
          <w:szCs w:val="22"/>
          <w:lang w:val="en-GB"/>
        </w:rPr>
        <w:t xml:space="preserve">and visibility, </w:t>
      </w:r>
      <w:r w:rsidR="00590391">
        <w:rPr>
          <w:rFonts w:ascii="Calibri" w:hAnsi="Calibri"/>
          <w:sz w:val="22"/>
          <w:szCs w:val="22"/>
          <w:lang w:val="en-GB"/>
        </w:rPr>
        <w:t>some are likely to continue or even increase</w:t>
      </w:r>
      <w:r w:rsidR="00ED6A03" w:rsidRPr="00DF70BB">
        <w:rPr>
          <w:rFonts w:ascii="Calibri" w:hAnsi="Calibri"/>
          <w:sz w:val="22"/>
          <w:szCs w:val="22"/>
          <w:lang w:val="en-GB"/>
        </w:rPr>
        <w:t xml:space="preserve"> earmarking</w:t>
      </w:r>
      <w:r w:rsidR="00ED6A03">
        <w:rPr>
          <w:rFonts w:ascii="Calibri" w:hAnsi="Calibri"/>
          <w:sz w:val="22"/>
          <w:szCs w:val="22"/>
          <w:lang w:val="en-GB"/>
        </w:rPr>
        <w:t xml:space="preserve">. In this scenario, </w:t>
      </w:r>
      <w:r w:rsidR="00ED6A03" w:rsidRPr="00DF70BB">
        <w:rPr>
          <w:rFonts w:ascii="Calibri" w:hAnsi="Calibri"/>
          <w:sz w:val="22"/>
          <w:szCs w:val="22"/>
          <w:lang w:val="en-GB"/>
        </w:rPr>
        <w:t xml:space="preserve">more principled and flexible donors </w:t>
      </w:r>
      <w:r w:rsidR="00ED6A03">
        <w:rPr>
          <w:rFonts w:ascii="Calibri" w:hAnsi="Calibri"/>
          <w:sz w:val="22"/>
          <w:szCs w:val="22"/>
          <w:lang w:val="en-GB"/>
        </w:rPr>
        <w:t xml:space="preserve">will be left </w:t>
      </w:r>
      <w:r w:rsidR="00ED6A03" w:rsidRPr="00DF70BB">
        <w:rPr>
          <w:rFonts w:ascii="Calibri" w:hAnsi="Calibri"/>
          <w:sz w:val="22"/>
          <w:szCs w:val="22"/>
          <w:lang w:val="en-GB"/>
        </w:rPr>
        <w:t xml:space="preserve">to </w:t>
      </w:r>
      <w:r w:rsidR="00ED6A03">
        <w:rPr>
          <w:rFonts w:ascii="Calibri" w:hAnsi="Calibri"/>
          <w:sz w:val="22"/>
          <w:szCs w:val="22"/>
          <w:lang w:val="en-GB"/>
        </w:rPr>
        <w:t>shoulder</w:t>
      </w:r>
      <w:r w:rsidR="00ED6A03" w:rsidRPr="00DF70BB">
        <w:rPr>
          <w:rFonts w:ascii="Calibri" w:hAnsi="Calibri"/>
          <w:sz w:val="22"/>
          <w:szCs w:val="22"/>
          <w:lang w:val="en-GB"/>
        </w:rPr>
        <w:t xml:space="preserve"> the burden of covering headquarters administrative costs and other less ‘attractive’ costs.</w:t>
      </w:r>
      <w:r w:rsidR="00ED6A03">
        <w:rPr>
          <w:rFonts w:ascii="Calibri" w:hAnsi="Calibri"/>
          <w:sz w:val="22"/>
          <w:szCs w:val="22"/>
          <w:lang w:val="en-GB"/>
        </w:rPr>
        <w:t xml:space="preserve"> </w:t>
      </w:r>
      <w:r w:rsidR="00590391">
        <w:rPr>
          <w:rFonts w:ascii="Calibri" w:hAnsi="Calibri"/>
          <w:sz w:val="22"/>
          <w:szCs w:val="22"/>
          <w:lang w:val="en-GB"/>
        </w:rPr>
        <w:t>Therefore, i</w:t>
      </w:r>
      <w:r w:rsidR="00ED6A03">
        <w:rPr>
          <w:rFonts w:ascii="Calibri" w:hAnsi="Calibri"/>
          <w:sz w:val="22"/>
          <w:szCs w:val="22"/>
          <w:lang w:val="en-GB"/>
        </w:rPr>
        <w:t xml:space="preserve">n addition to negotiating with recipient organisations on </w:t>
      </w:r>
      <w:r w:rsidR="00590391">
        <w:rPr>
          <w:rFonts w:ascii="Calibri" w:hAnsi="Calibri"/>
          <w:sz w:val="22"/>
          <w:szCs w:val="22"/>
          <w:lang w:val="en-GB"/>
        </w:rPr>
        <w:t>how to</w:t>
      </w:r>
      <w:r w:rsidR="00ED6A03">
        <w:rPr>
          <w:rFonts w:ascii="Calibri" w:hAnsi="Calibri"/>
          <w:sz w:val="22"/>
          <w:szCs w:val="22"/>
          <w:lang w:val="en-GB"/>
        </w:rPr>
        <w:t xml:space="preserve"> </w:t>
      </w:r>
      <w:r w:rsidR="00590391">
        <w:rPr>
          <w:rFonts w:ascii="Calibri" w:hAnsi="Calibri"/>
          <w:sz w:val="22"/>
          <w:szCs w:val="22"/>
          <w:lang w:val="en-GB"/>
        </w:rPr>
        <w:t>address the pressures that donors</w:t>
      </w:r>
      <w:r w:rsidR="00ED6A03">
        <w:rPr>
          <w:rFonts w:ascii="Calibri" w:hAnsi="Calibri"/>
          <w:sz w:val="22"/>
          <w:szCs w:val="22"/>
          <w:lang w:val="en-GB"/>
        </w:rPr>
        <w:t xml:space="preserve"> face in </w:t>
      </w:r>
      <w:r w:rsidR="00590391">
        <w:rPr>
          <w:rFonts w:ascii="Calibri" w:hAnsi="Calibri"/>
          <w:sz w:val="22"/>
          <w:szCs w:val="22"/>
          <w:lang w:val="en-GB"/>
        </w:rPr>
        <w:t>trying to maintain or increase</w:t>
      </w:r>
      <w:r w:rsidR="00ED6A03">
        <w:rPr>
          <w:rFonts w:ascii="Calibri" w:hAnsi="Calibri"/>
          <w:sz w:val="22"/>
          <w:szCs w:val="22"/>
          <w:lang w:val="en-GB"/>
        </w:rPr>
        <w:t xml:space="preserve"> levels of flexible funding, donors will need to negotiate amongst themselves as to where to target their efforts along the spectrum of flexible financing, and who should focus on what, in order to achieve fair and rational burden-sharing in flexible financing. </w:t>
      </w:r>
    </w:p>
    <w:p w14:paraId="7DEB0601" w14:textId="0BC3180F" w:rsidR="00944E9E" w:rsidRDefault="00944E9E" w:rsidP="004B043C">
      <w:pPr>
        <w:spacing w:after="120"/>
        <w:jc w:val="both"/>
        <w:rPr>
          <w:rFonts w:ascii="Calibri" w:hAnsi="Calibri"/>
          <w:sz w:val="22"/>
          <w:szCs w:val="22"/>
          <w:lang w:val="en-GB"/>
        </w:rPr>
      </w:pPr>
      <w:r>
        <w:rPr>
          <w:rFonts w:ascii="Calibri" w:hAnsi="Calibri"/>
          <w:sz w:val="22"/>
          <w:szCs w:val="22"/>
          <w:lang w:val="en-GB"/>
        </w:rPr>
        <w:t xml:space="preserve">In cases where donors are unable to provide </w:t>
      </w:r>
      <w:r w:rsidR="00DF70BB">
        <w:rPr>
          <w:rFonts w:ascii="Calibri" w:hAnsi="Calibri"/>
          <w:sz w:val="22"/>
          <w:szCs w:val="22"/>
          <w:lang w:val="en-GB"/>
        </w:rPr>
        <w:t xml:space="preserve">completely </w:t>
      </w:r>
      <w:r>
        <w:rPr>
          <w:rFonts w:ascii="Calibri" w:hAnsi="Calibri"/>
          <w:sz w:val="22"/>
          <w:szCs w:val="22"/>
          <w:lang w:val="en-GB"/>
        </w:rPr>
        <w:t>un-earmarked funding, they identified ways in which they seek to provide partners with flexibility to achieve benefits such as rapid response to crises and adapt programming to changing needs. These included the following:</w:t>
      </w:r>
    </w:p>
    <w:p w14:paraId="339321F9" w14:textId="77EF16A5" w:rsidR="00944E9E" w:rsidRPr="00660B12" w:rsidRDefault="00944E9E" w:rsidP="0081687E">
      <w:pPr>
        <w:pStyle w:val="ListParagraph"/>
        <w:numPr>
          <w:ilvl w:val="0"/>
          <w:numId w:val="15"/>
        </w:numPr>
        <w:spacing w:after="120"/>
        <w:jc w:val="both"/>
        <w:rPr>
          <w:rFonts w:ascii="Calibri" w:hAnsi="Calibri"/>
          <w:sz w:val="22"/>
          <w:szCs w:val="22"/>
          <w:lang w:val="en-GB"/>
        </w:rPr>
      </w:pPr>
      <w:r w:rsidRPr="00660B12">
        <w:rPr>
          <w:rFonts w:ascii="Calibri" w:hAnsi="Calibri"/>
          <w:b/>
          <w:sz w:val="22"/>
          <w:szCs w:val="22"/>
          <w:lang w:val="en-GB"/>
        </w:rPr>
        <w:t>Rapid response funds for partners:</w:t>
      </w:r>
      <w:r w:rsidRPr="00660B12">
        <w:rPr>
          <w:rFonts w:ascii="Calibri" w:hAnsi="Calibri"/>
          <w:sz w:val="22"/>
          <w:szCs w:val="22"/>
          <w:lang w:val="en-GB"/>
        </w:rPr>
        <w:t xml:space="preserve"> Donors have arrangements either with individual partners or consortia </w:t>
      </w:r>
      <w:r w:rsidR="00EA4C12" w:rsidRPr="00660B12">
        <w:rPr>
          <w:rFonts w:ascii="Calibri" w:hAnsi="Calibri"/>
          <w:sz w:val="22"/>
          <w:szCs w:val="22"/>
          <w:lang w:val="en-GB"/>
        </w:rPr>
        <w:t xml:space="preserve">(often NGOs) </w:t>
      </w:r>
      <w:r w:rsidRPr="00660B12">
        <w:rPr>
          <w:rFonts w:ascii="Calibri" w:hAnsi="Calibri"/>
          <w:sz w:val="22"/>
          <w:szCs w:val="22"/>
          <w:lang w:val="en-GB"/>
        </w:rPr>
        <w:t xml:space="preserve">to provide </w:t>
      </w:r>
      <w:r w:rsidR="0031077D" w:rsidRPr="00660B12">
        <w:rPr>
          <w:rFonts w:ascii="Calibri" w:hAnsi="Calibri"/>
          <w:sz w:val="22"/>
          <w:szCs w:val="22"/>
          <w:lang w:val="en-GB"/>
        </w:rPr>
        <w:t xml:space="preserve">funds in advance that the </w:t>
      </w:r>
      <w:r w:rsidR="00266DDE" w:rsidRPr="00660B12">
        <w:rPr>
          <w:rFonts w:ascii="Calibri" w:hAnsi="Calibri"/>
          <w:sz w:val="22"/>
          <w:szCs w:val="22"/>
          <w:lang w:val="en-GB"/>
        </w:rPr>
        <w:t>organisations</w:t>
      </w:r>
      <w:r w:rsidR="0031077D" w:rsidRPr="00660B12">
        <w:rPr>
          <w:rFonts w:ascii="Calibri" w:hAnsi="Calibri"/>
          <w:sz w:val="22"/>
          <w:szCs w:val="22"/>
          <w:lang w:val="en-GB"/>
        </w:rPr>
        <w:t xml:space="preserve"> can draw down in the even</w:t>
      </w:r>
      <w:r w:rsidR="00EA4C12" w:rsidRPr="00660B12">
        <w:rPr>
          <w:rFonts w:ascii="Calibri" w:hAnsi="Calibri"/>
          <w:sz w:val="22"/>
          <w:szCs w:val="22"/>
          <w:lang w:val="en-GB"/>
        </w:rPr>
        <w:t>t</w:t>
      </w:r>
      <w:r w:rsidR="0031077D" w:rsidRPr="00660B12">
        <w:rPr>
          <w:rFonts w:ascii="Calibri" w:hAnsi="Calibri"/>
          <w:sz w:val="22"/>
          <w:szCs w:val="22"/>
          <w:lang w:val="en-GB"/>
        </w:rPr>
        <w:t xml:space="preserve"> of a crisis, usually with quick agreement from the donor. </w:t>
      </w:r>
      <w:r w:rsidR="00E13B17" w:rsidRPr="00660B12">
        <w:rPr>
          <w:rFonts w:ascii="Calibri" w:hAnsi="Calibri"/>
          <w:sz w:val="22"/>
          <w:szCs w:val="22"/>
          <w:lang w:val="en-GB"/>
        </w:rPr>
        <w:t>Two donors cited their</w:t>
      </w:r>
      <w:r w:rsidR="00266DDE" w:rsidRPr="00660B12">
        <w:rPr>
          <w:rFonts w:ascii="Calibri" w:hAnsi="Calibri"/>
          <w:sz w:val="22"/>
          <w:szCs w:val="22"/>
          <w:lang w:val="en-GB"/>
        </w:rPr>
        <w:t xml:space="preserve"> contribution to IFRC’s </w:t>
      </w:r>
      <w:r w:rsidR="00C738E2" w:rsidRPr="00660B12">
        <w:rPr>
          <w:rFonts w:ascii="Calibri" w:hAnsi="Calibri"/>
          <w:sz w:val="22"/>
          <w:szCs w:val="22"/>
          <w:lang w:val="en-GB"/>
        </w:rPr>
        <w:t>Disaster Relief Emergency Fund</w:t>
      </w:r>
      <w:r w:rsidR="00266DDE" w:rsidRPr="00660B12">
        <w:rPr>
          <w:rFonts w:ascii="Calibri" w:hAnsi="Calibri"/>
          <w:sz w:val="22"/>
          <w:szCs w:val="22"/>
          <w:lang w:val="en-GB"/>
        </w:rPr>
        <w:t xml:space="preserve"> </w:t>
      </w:r>
      <w:r w:rsidR="00C738E2" w:rsidRPr="00660B12">
        <w:rPr>
          <w:rFonts w:ascii="Calibri" w:hAnsi="Calibri"/>
          <w:sz w:val="22"/>
          <w:szCs w:val="22"/>
          <w:lang w:val="en-GB"/>
        </w:rPr>
        <w:t>(</w:t>
      </w:r>
      <w:r w:rsidR="00266DDE" w:rsidRPr="00660B12">
        <w:rPr>
          <w:rFonts w:ascii="Calibri" w:hAnsi="Calibri"/>
          <w:sz w:val="22"/>
          <w:szCs w:val="22"/>
          <w:lang w:val="en-GB"/>
        </w:rPr>
        <w:t>DREF</w:t>
      </w:r>
      <w:r w:rsidR="00C738E2" w:rsidRPr="00660B12">
        <w:rPr>
          <w:rFonts w:ascii="Calibri" w:hAnsi="Calibri"/>
          <w:sz w:val="22"/>
          <w:szCs w:val="22"/>
          <w:lang w:val="en-GB"/>
        </w:rPr>
        <w:t>).</w:t>
      </w:r>
      <w:r w:rsidR="00266DDE" w:rsidRPr="00660B12">
        <w:rPr>
          <w:rFonts w:ascii="Calibri" w:hAnsi="Calibri"/>
          <w:sz w:val="22"/>
          <w:szCs w:val="22"/>
          <w:lang w:val="en-GB"/>
        </w:rPr>
        <w:t xml:space="preserve"> </w:t>
      </w:r>
      <w:r w:rsidR="00EA4C12" w:rsidRPr="00660B12">
        <w:rPr>
          <w:rFonts w:ascii="Calibri" w:hAnsi="Calibri"/>
          <w:sz w:val="22"/>
          <w:szCs w:val="22"/>
          <w:lang w:val="en-GB"/>
        </w:rPr>
        <w:t xml:space="preserve">This was the most commonly cited form of flexible funding for partners outside un-earmarked contributions to multilateral partners. </w:t>
      </w:r>
    </w:p>
    <w:p w14:paraId="55FB8AAC" w14:textId="60E0D42B" w:rsidR="00266DDE" w:rsidRPr="00660B12" w:rsidRDefault="00266DDE" w:rsidP="0081687E">
      <w:pPr>
        <w:pStyle w:val="ListParagraph"/>
        <w:numPr>
          <w:ilvl w:val="0"/>
          <w:numId w:val="15"/>
        </w:numPr>
        <w:spacing w:after="120"/>
        <w:jc w:val="both"/>
        <w:rPr>
          <w:rFonts w:ascii="Calibri" w:hAnsi="Calibri"/>
          <w:sz w:val="22"/>
          <w:szCs w:val="22"/>
          <w:lang w:val="en-GB"/>
        </w:rPr>
      </w:pPr>
      <w:r w:rsidRPr="00660B12">
        <w:rPr>
          <w:rFonts w:ascii="Calibri" w:hAnsi="Calibri"/>
          <w:b/>
          <w:sz w:val="22"/>
          <w:szCs w:val="22"/>
          <w:lang w:val="en-GB"/>
        </w:rPr>
        <w:t>Soft earmarking at country/crisis level:</w:t>
      </w:r>
      <w:r w:rsidRPr="00660B12">
        <w:rPr>
          <w:rFonts w:ascii="Calibri" w:hAnsi="Calibri"/>
          <w:sz w:val="22"/>
          <w:szCs w:val="22"/>
          <w:lang w:val="en-GB"/>
        </w:rPr>
        <w:t xml:space="preserve"> Where donors earmark funds to a specific country or crisis, they can still allow partners flexibility to allocate funding to the most needed sector/activity/geographical area within the country or crisis. </w:t>
      </w:r>
      <w:r w:rsidR="00C738E2" w:rsidRPr="00660B12">
        <w:rPr>
          <w:rFonts w:ascii="Calibri" w:hAnsi="Calibri"/>
          <w:sz w:val="22"/>
          <w:szCs w:val="22"/>
          <w:lang w:val="en-GB"/>
        </w:rPr>
        <w:t>This fits with the Grand Bargain category G of earmarked funding.</w:t>
      </w:r>
      <w:r w:rsidRPr="00660B12">
        <w:rPr>
          <w:rFonts w:ascii="Calibri" w:hAnsi="Calibri"/>
          <w:sz w:val="22"/>
          <w:szCs w:val="22"/>
          <w:lang w:val="en-GB"/>
        </w:rPr>
        <w:t xml:space="preserve"> </w:t>
      </w:r>
      <w:r w:rsidR="00365126" w:rsidRPr="00660B12">
        <w:rPr>
          <w:rFonts w:ascii="Calibri" w:hAnsi="Calibri"/>
          <w:sz w:val="22"/>
          <w:szCs w:val="22"/>
          <w:lang w:val="en-GB"/>
        </w:rPr>
        <w:t>One donor gave the example of earmarking funding to UNHCR by population of concern, which gives the agency the flexibility to respond to the population’s needs across geographical areas.</w:t>
      </w:r>
    </w:p>
    <w:p w14:paraId="2A44C2A3" w14:textId="5ABEE80E" w:rsidR="00E13B17" w:rsidRPr="00660B12" w:rsidRDefault="00E13B17" w:rsidP="004B043C">
      <w:pPr>
        <w:pStyle w:val="ListParagraph"/>
        <w:numPr>
          <w:ilvl w:val="0"/>
          <w:numId w:val="15"/>
        </w:numPr>
        <w:spacing w:after="120"/>
        <w:contextualSpacing w:val="0"/>
        <w:jc w:val="both"/>
        <w:rPr>
          <w:rFonts w:ascii="Calibri" w:hAnsi="Calibri"/>
          <w:sz w:val="22"/>
          <w:szCs w:val="22"/>
          <w:lang w:val="en-GB"/>
        </w:rPr>
      </w:pPr>
      <w:r w:rsidRPr="00660B12">
        <w:rPr>
          <w:rFonts w:ascii="Calibri" w:hAnsi="Calibri"/>
          <w:b/>
          <w:sz w:val="22"/>
          <w:szCs w:val="22"/>
          <w:lang w:val="en-GB"/>
        </w:rPr>
        <w:t>Crisis modifiers:</w:t>
      </w:r>
      <w:r w:rsidRPr="00660B12">
        <w:rPr>
          <w:rFonts w:ascii="Calibri" w:hAnsi="Calibri"/>
          <w:sz w:val="22"/>
          <w:szCs w:val="22"/>
          <w:lang w:val="en-GB"/>
        </w:rPr>
        <w:t xml:space="preserve"> One donor has developed a mechanism to quickly inject emergency funds into existing programmes during crises to enable partners to respond quickly. The donor can also quickly modify a grant to enable partners to respond quickly to changing priorities and needs</w:t>
      </w:r>
      <w:r w:rsidR="00365126" w:rsidRPr="00660B12">
        <w:rPr>
          <w:rFonts w:ascii="Calibri" w:hAnsi="Calibri"/>
          <w:sz w:val="22"/>
          <w:szCs w:val="22"/>
          <w:lang w:val="en-GB"/>
        </w:rPr>
        <w:t xml:space="preserve"> or allow partners to adapt programmes without the need for a modification to the grant if the activities still contribute to the original objective</w:t>
      </w:r>
      <w:r w:rsidRPr="00660B12">
        <w:rPr>
          <w:rFonts w:ascii="Calibri" w:hAnsi="Calibri"/>
          <w:sz w:val="22"/>
          <w:szCs w:val="22"/>
          <w:lang w:val="en-GB"/>
        </w:rPr>
        <w:t xml:space="preserve">. </w:t>
      </w:r>
    </w:p>
    <w:p w14:paraId="7713FD74" w14:textId="77777777" w:rsidR="00295899" w:rsidRDefault="00295899" w:rsidP="00295899">
      <w:pPr>
        <w:spacing w:after="120"/>
        <w:jc w:val="both"/>
        <w:rPr>
          <w:rFonts w:ascii="Calibri" w:hAnsi="Calibri"/>
          <w:sz w:val="22"/>
          <w:szCs w:val="22"/>
          <w:lang w:val="en-GB"/>
        </w:rPr>
      </w:pPr>
      <w:r w:rsidRPr="00295899">
        <w:rPr>
          <w:rFonts w:ascii="Calibri" w:hAnsi="Calibri"/>
          <w:sz w:val="22"/>
          <w:szCs w:val="22"/>
          <w:lang w:val="en-GB"/>
        </w:rPr>
        <w:t xml:space="preserve">The responses to the agency survey showed that three agencies received over 30% of their income as un-earmarked funding in 2016 (OCHA had 39% of its core programme budget (i.e., excluding the CERF and country-based pooled funds) un-earmarked, UNHCR was at 34% and ICRC was at 33%). UNFPA does not receive un-earmarked humanitarian funding, particularly as the CERF is its largest humanitarian donor. The one NGO that responded to the survey had 48% of its total income in 2016 as un-earmarked funding but this came primarily from individuals. All its income from donor governments or agencies was earmarked. </w:t>
      </w:r>
    </w:p>
    <w:p w14:paraId="0E773FB0" w14:textId="7EEC6543" w:rsidR="00D92D23" w:rsidRDefault="00295899" w:rsidP="004B043C">
      <w:pPr>
        <w:spacing w:after="120"/>
        <w:jc w:val="both"/>
        <w:rPr>
          <w:rFonts w:ascii="Calibri" w:hAnsi="Calibri"/>
          <w:sz w:val="22"/>
          <w:szCs w:val="22"/>
          <w:lang w:val="en-GB"/>
        </w:rPr>
      </w:pPr>
      <w:r w:rsidRPr="00295899">
        <w:rPr>
          <w:rFonts w:ascii="Calibri" w:hAnsi="Calibri"/>
          <w:sz w:val="22"/>
          <w:szCs w:val="22"/>
          <w:lang w:val="en-GB"/>
        </w:rPr>
        <w:t xml:space="preserve">What is included in the </w:t>
      </w:r>
      <w:r>
        <w:rPr>
          <w:rFonts w:ascii="Calibri" w:hAnsi="Calibri"/>
          <w:sz w:val="22"/>
          <w:szCs w:val="22"/>
          <w:lang w:val="en-GB"/>
        </w:rPr>
        <w:t xml:space="preserve">30% </w:t>
      </w:r>
      <w:r w:rsidRPr="00295899">
        <w:rPr>
          <w:rFonts w:ascii="Calibri" w:hAnsi="Calibri"/>
          <w:sz w:val="22"/>
          <w:szCs w:val="22"/>
          <w:lang w:val="en-GB"/>
        </w:rPr>
        <w:t>target</w:t>
      </w:r>
      <w:r>
        <w:rPr>
          <w:rFonts w:ascii="Calibri" w:hAnsi="Calibri"/>
          <w:sz w:val="22"/>
          <w:szCs w:val="22"/>
          <w:lang w:val="en-GB"/>
        </w:rPr>
        <w:t>,</w:t>
      </w:r>
      <w:r w:rsidRPr="00295899">
        <w:rPr>
          <w:rFonts w:ascii="Calibri" w:hAnsi="Calibri"/>
          <w:sz w:val="22"/>
          <w:szCs w:val="22"/>
          <w:lang w:val="en-GB"/>
        </w:rPr>
        <w:t xml:space="preserve"> and the priority given to the various degrees of earmarking, will influence the level of effort and division of labour required</w:t>
      </w:r>
      <w:r>
        <w:rPr>
          <w:rFonts w:ascii="Calibri" w:hAnsi="Calibri"/>
          <w:sz w:val="22"/>
          <w:szCs w:val="22"/>
          <w:lang w:val="en-GB"/>
        </w:rPr>
        <w:t>. T</w:t>
      </w:r>
      <w:r w:rsidRPr="00295899">
        <w:rPr>
          <w:rFonts w:ascii="Calibri" w:hAnsi="Calibri"/>
          <w:sz w:val="22"/>
          <w:szCs w:val="22"/>
          <w:lang w:val="en-GB"/>
        </w:rPr>
        <w:t xml:space="preserve">here may be a variety of approaches to achieving the overall aspiration of more flexible funding. </w:t>
      </w:r>
      <w:r w:rsidR="00D92D23">
        <w:rPr>
          <w:rFonts w:ascii="Calibri" w:hAnsi="Calibri"/>
          <w:sz w:val="22"/>
          <w:szCs w:val="22"/>
          <w:lang w:val="en-GB"/>
        </w:rPr>
        <w:t xml:space="preserve">Recipient organisations can create incentives for donors to contribute flexible funds by </w:t>
      </w:r>
      <w:r w:rsidR="00596B86">
        <w:rPr>
          <w:rFonts w:ascii="Calibri" w:hAnsi="Calibri"/>
          <w:sz w:val="22"/>
          <w:szCs w:val="22"/>
          <w:lang w:val="en-GB"/>
        </w:rPr>
        <w:t>establishing</w:t>
      </w:r>
      <w:r w:rsidR="00D92D23">
        <w:rPr>
          <w:rFonts w:ascii="Calibri" w:hAnsi="Calibri"/>
          <w:sz w:val="22"/>
          <w:szCs w:val="22"/>
          <w:lang w:val="en-GB"/>
        </w:rPr>
        <w:t xml:space="preserve"> internal instruments and thematic windows where it is much clearer to donors what they are buying. FAO</w:t>
      </w:r>
      <w:r w:rsidR="00596B86">
        <w:rPr>
          <w:rFonts w:ascii="Calibri" w:hAnsi="Calibri"/>
          <w:sz w:val="22"/>
          <w:szCs w:val="22"/>
          <w:lang w:val="en-GB"/>
        </w:rPr>
        <w:t>,</w:t>
      </w:r>
      <w:r w:rsidR="00D92D23">
        <w:rPr>
          <w:rFonts w:ascii="Calibri" w:hAnsi="Calibri"/>
          <w:sz w:val="22"/>
          <w:szCs w:val="22"/>
          <w:lang w:val="en-GB"/>
        </w:rPr>
        <w:t xml:space="preserve"> for example</w:t>
      </w:r>
      <w:r w:rsidR="00596B86">
        <w:rPr>
          <w:rFonts w:ascii="Calibri" w:hAnsi="Calibri"/>
          <w:sz w:val="22"/>
          <w:szCs w:val="22"/>
          <w:lang w:val="en-GB"/>
        </w:rPr>
        <w:t>,</w:t>
      </w:r>
      <w:r w:rsidR="00D92D23">
        <w:rPr>
          <w:rFonts w:ascii="Calibri" w:hAnsi="Calibri"/>
          <w:sz w:val="22"/>
          <w:szCs w:val="22"/>
          <w:lang w:val="en-GB"/>
        </w:rPr>
        <w:t xml:space="preserve"> </w:t>
      </w:r>
      <w:r w:rsidR="00596B86">
        <w:rPr>
          <w:rFonts w:ascii="Calibri" w:hAnsi="Calibri"/>
          <w:sz w:val="22"/>
          <w:szCs w:val="22"/>
          <w:lang w:val="en-GB"/>
        </w:rPr>
        <w:t>set up</w:t>
      </w:r>
      <w:r w:rsidR="00D92D23">
        <w:rPr>
          <w:rFonts w:ascii="Calibri" w:hAnsi="Calibri"/>
          <w:sz w:val="22"/>
          <w:szCs w:val="22"/>
          <w:lang w:val="en-GB"/>
        </w:rPr>
        <w:t xml:space="preserve"> its </w:t>
      </w:r>
      <w:r w:rsidR="00D92D23" w:rsidRPr="00D92D23">
        <w:rPr>
          <w:rFonts w:ascii="Calibri" w:hAnsi="Calibri"/>
          <w:sz w:val="22"/>
          <w:szCs w:val="22"/>
          <w:lang w:val="en-GB"/>
        </w:rPr>
        <w:t>Special Fund for Emergency and Rehabilitation Activities (SFERA) in 2004</w:t>
      </w:r>
      <w:r w:rsidR="00596B86">
        <w:rPr>
          <w:rFonts w:ascii="Calibri" w:hAnsi="Calibri"/>
          <w:sz w:val="22"/>
          <w:szCs w:val="22"/>
          <w:lang w:val="en-GB"/>
        </w:rPr>
        <w:t>,</w:t>
      </w:r>
      <w:r w:rsidR="00D92D23" w:rsidRPr="00D92D23">
        <w:rPr>
          <w:rFonts w:ascii="Calibri" w:hAnsi="Calibri"/>
          <w:sz w:val="22"/>
          <w:szCs w:val="22"/>
          <w:lang w:val="en-GB"/>
        </w:rPr>
        <w:t xml:space="preserve"> which enhances FAO’s ability to respond to crises. With the support of Belgium, </w:t>
      </w:r>
      <w:r w:rsidR="00596B86">
        <w:rPr>
          <w:rFonts w:ascii="Calibri" w:hAnsi="Calibri"/>
          <w:sz w:val="22"/>
          <w:szCs w:val="22"/>
          <w:lang w:val="en-GB"/>
        </w:rPr>
        <w:t>it</w:t>
      </w:r>
      <w:r w:rsidR="00D92D23" w:rsidRPr="00D92D23">
        <w:rPr>
          <w:rFonts w:ascii="Calibri" w:hAnsi="Calibri"/>
          <w:sz w:val="22"/>
          <w:szCs w:val="22"/>
          <w:lang w:val="en-GB"/>
        </w:rPr>
        <w:t xml:space="preserve"> created an Agricultural Input Response Capacity (AIRC) window</w:t>
      </w:r>
      <w:r w:rsidR="001D46BF">
        <w:rPr>
          <w:rFonts w:ascii="Calibri" w:hAnsi="Calibri"/>
          <w:sz w:val="22"/>
          <w:szCs w:val="22"/>
          <w:lang w:val="en-GB"/>
        </w:rPr>
        <w:t xml:space="preserve"> that</w:t>
      </w:r>
      <w:r w:rsidR="00D92D23" w:rsidRPr="00D92D23">
        <w:rPr>
          <w:rFonts w:ascii="Calibri" w:hAnsi="Calibri"/>
          <w:sz w:val="22"/>
          <w:szCs w:val="22"/>
          <w:lang w:val="en-GB"/>
        </w:rPr>
        <w:t xml:space="preserve"> has enabled </w:t>
      </w:r>
      <w:r w:rsidR="001D46BF">
        <w:rPr>
          <w:rFonts w:ascii="Calibri" w:hAnsi="Calibri"/>
          <w:sz w:val="22"/>
          <w:szCs w:val="22"/>
          <w:lang w:val="en-GB"/>
        </w:rPr>
        <w:t>it</w:t>
      </w:r>
      <w:r w:rsidR="00D92D23" w:rsidRPr="00D92D23">
        <w:rPr>
          <w:rFonts w:ascii="Calibri" w:hAnsi="Calibri"/>
          <w:sz w:val="22"/>
          <w:szCs w:val="22"/>
          <w:lang w:val="en-GB"/>
        </w:rPr>
        <w:t xml:space="preserve"> to </w:t>
      </w:r>
      <w:r w:rsidR="00D92D23">
        <w:rPr>
          <w:rFonts w:ascii="Calibri" w:hAnsi="Calibri"/>
          <w:sz w:val="22"/>
          <w:szCs w:val="22"/>
          <w:lang w:val="en-GB"/>
        </w:rPr>
        <w:t xml:space="preserve">preposition stocks in strategic locations </w:t>
      </w:r>
      <w:r w:rsidR="001D46BF">
        <w:rPr>
          <w:rFonts w:ascii="Calibri" w:hAnsi="Calibri"/>
          <w:sz w:val="22"/>
          <w:szCs w:val="22"/>
          <w:lang w:val="en-GB"/>
        </w:rPr>
        <w:t>for</w:t>
      </w:r>
      <w:r w:rsidR="00D92D23" w:rsidRPr="00D92D23">
        <w:rPr>
          <w:rFonts w:ascii="Calibri" w:hAnsi="Calibri"/>
          <w:sz w:val="22"/>
          <w:szCs w:val="22"/>
          <w:lang w:val="en-GB"/>
        </w:rPr>
        <w:t xml:space="preserve"> rapid d</w:t>
      </w:r>
      <w:r w:rsidR="001D46BF">
        <w:rPr>
          <w:rFonts w:ascii="Calibri" w:hAnsi="Calibri"/>
          <w:sz w:val="22"/>
          <w:szCs w:val="22"/>
          <w:lang w:val="en-GB"/>
        </w:rPr>
        <w:t>istribution</w:t>
      </w:r>
      <w:r w:rsidR="00D92D23" w:rsidRPr="00D92D23">
        <w:rPr>
          <w:rFonts w:ascii="Calibri" w:hAnsi="Calibri"/>
          <w:sz w:val="22"/>
          <w:szCs w:val="22"/>
          <w:lang w:val="en-GB"/>
        </w:rPr>
        <w:t xml:space="preserve">. </w:t>
      </w:r>
      <w:r w:rsidR="002C4A0C">
        <w:rPr>
          <w:rFonts w:ascii="Calibri" w:hAnsi="Calibri"/>
          <w:sz w:val="22"/>
          <w:szCs w:val="22"/>
          <w:lang w:val="en-GB"/>
        </w:rPr>
        <w:t xml:space="preserve">In addition to core contributions to its regular resources budget, UNICEF has successfully attracted softly earmarked contributions to its global thematic funds. </w:t>
      </w:r>
      <w:r w:rsidR="00651AE8">
        <w:rPr>
          <w:rFonts w:ascii="Calibri" w:hAnsi="Calibri"/>
          <w:sz w:val="22"/>
          <w:szCs w:val="22"/>
          <w:lang w:val="en-GB"/>
        </w:rPr>
        <w:t xml:space="preserve">OCHA has </w:t>
      </w:r>
      <w:r w:rsidR="00005260">
        <w:rPr>
          <w:rFonts w:ascii="Calibri" w:hAnsi="Calibri"/>
          <w:sz w:val="22"/>
          <w:szCs w:val="22"/>
          <w:lang w:val="en-GB"/>
        </w:rPr>
        <w:t>grouped</w:t>
      </w:r>
      <w:r w:rsidR="00651AE8">
        <w:rPr>
          <w:rFonts w:ascii="Calibri" w:hAnsi="Calibri"/>
          <w:sz w:val="22"/>
          <w:szCs w:val="22"/>
          <w:lang w:val="en-GB"/>
        </w:rPr>
        <w:t xml:space="preserve"> </w:t>
      </w:r>
      <w:r w:rsidR="00005260">
        <w:rPr>
          <w:rFonts w:ascii="Calibri" w:hAnsi="Calibri"/>
          <w:sz w:val="22"/>
          <w:szCs w:val="22"/>
          <w:lang w:val="en-GB"/>
        </w:rPr>
        <w:t xml:space="preserve">together </w:t>
      </w:r>
      <w:r w:rsidR="00651AE8">
        <w:rPr>
          <w:rFonts w:ascii="Calibri" w:hAnsi="Calibri"/>
          <w:sz w:val="22"/>
          <w:szCs w:val="22"/>
          <w:lang w:val="en-GB"/>
        </w:rPr>
        <w:t xml:space="preserve">costs for </w:t>
      </w:r>
      <w:r w:rsidR="00005260">
        <w:rPr>
          <w:rFonts w:ascii="Calibri" w:hAnsi="Calibri"/>
          <w:sz w:val="22"/>
          <w:szCs w:val="22"/>
          <w:lang w:val="en-GB"/>
        </w:rPr>
        <w:t>crises that cut across multiple countries (such as the Syria crisis). When donors softly earmark to the crisis as a whole, OCHA has greater flexibility in allocating</w:t>
      </w:r>
      <w:r w:rsidR="005C4C67">
        <w:rPr>
          <w:rFonts w:ascii="Calibri" w:hAnsi="Calibri"/>
          <w:sz w:val="22"/>
          <w:szCs w:val="22"/>
          <w:lang w:val="en-GB"/>
        </w:rPr>
        <w:t xml:space="preserve"> funds to individual countries.</w:t>
      </w:r>
      <w:r w:rsidR="00651AE8">
        <w:rPr>
          <w:rFonts w:ascii="Calibri" w:hAnsi="Calibri"/>
          <w:sz w:val="22"/>
          <w:szCs w:val="22"/>
          <w:lang w:val="en-GB"/>
        </w:rPr>
        <w:t xml:space="preserve"> </w:t>
      </w:r>
      <w:r w:rsidR="005C4C67">
        <w:rPr>
          <w:rFonts w:ascii="Calibri" w:hAnsi="Calibri"/>
          <w:sz w:val="22"/>
          <w:szCs w:val="22"/>
          <w:lang w:val="en-GB"/>
        </w:rPr>
        <w:t xml:space="preserve">Meanwhile, </w:t>
      </w:r>
      <w:r w:rsidR="002C4A0C">
        <w:rPr>
          <w:rFonts w:ascii="Calibri" w:hAnsi="Calibri"/>
          <w:sz w:val="22"/>
          <w:szCs w:val="22"/>
          <w:lang w:val="en-GB"/>
        </w:rPr>
        <w:t xml:space="preserve">UNFPA noted that </w:t>
      </w:r>
      <w:r w:rsidR="005C4C67">
        <w:rPr>
          <w:rFonts w:ascii="Calibri" w:hAnsi="Calibri"/>
          <w:sz w:val="22"/>
          <w:szCs w:val="22"/>
          <w:lang w:val="en-GB"/>
        </w:rPr>
        <w:t>its</w:t>
      </w:r>
      <w:r w:rsidR="002C4A0C">
        <w:rPr>
          <w:rFonts w:ascii="Calibri" w:hAnsi="Calibri"/>
          <w:sz w:val="22"/>
          <w:szCs w:val="22"/>
          <w:lang w:val="en-GB"/>
        </w:rPr>
        <w:t xml:space="preserve"> lack of an internal facility to attract flexible contributions </w:t>
      </w:r>
      <w:r w:rsidR="005C4C67">
        <w:rPr>
          <w:rFonts w:ascii="Calibri" w:hAnsi="Calibri"/>
          <w:sz w:val="22"/>
          <w:szCs w:val="22"/>
          <w:lang w:val="en-GB"/>
        </w:rPr>
        <w:t>has probably contributed</w:t>
      </w:r>
      <w:r w:rsidR="002C4A0C">
        <w:rPr>
          <w:rFonts w:ascii="Calibri" w:hAnsi="Calibri"/>
          <w:sz w:val="22"/>
          <w:szCs w:val="22"/>
          <w:lang w:val="en-GB"/>
        </w:rPr>
        <w:t xml:space="preserve"> to </w:t>
      </w:r>
      <w:r w:rsidR="005C4C67">
        <w:rPr>
          <w:rFonts w:ascii="Calibri" w:hAnsi="Calibri"/>
          <w:sz w:val="22"/>
          <w:szCs w:val="22"/>
          <w:lang w:val="en-GB"/>
        </w:rPr>
        <w:t>its</w:t>
      </w:r>
      <w:r w:rsidR="002C4A0C">
        <w:rPr>
          <w:rFonts w:ascii="Calibri" w:hAnsi="Calibri"/>
          <w:sz w:val="22"/>
          <w:szCs w:val="22"/>
          <w:lang w:val="en-GB"/>
        </w:rPr>
        <w:t xml:space="preserve"> lack of success in attracting </w:t>
      </w:r>
      <w:r w:rsidR="005C4C67">
        <w:rPr>
          <w:rFonts w:ascii="Calibri" w:hAnsi="Calibri"/>
          <w:sz w:val="22"/>
          <w:szCs w:val="22"/>
          <w:lang w:val="en-GB"/>
        </w:rPr>
        <w:t>more flexible</w:t>
      </w:r>
      <w:r w:rsidR="002C4A0C">
        <w:rPr>
          <w:rFonts w:ascii="Calibri" w:hAnsi="Calibri"/>
          <w:sz w:val="22"/>
          <w:szCs w:val="22"/>
          <w:lang w:val="en-GB"/>
        </w:rPr>
        <w:t xml:space="preserve"> funds. </w:t>
      </w:r>
    </w:p>
    <w:p w14:paraId="5CC71EED" w14:textId="68EC6F07" w:rsidR="00465537" w:rsidRDefault="00DF70BB" w:rsidP="004B043C">
      <w:pPr>
        <w:spacing w:after="120"/>
        <w:jc w:val="both"/>
        <w:rPr>
          <w:rFonts w:ascii="Calibri" w:hAnsi="Calibri"/>
          <w:sz w:val="22"/>
          <w:szCs w:val="22"/>
          <w:lang w:val="en-GB"/>
        </w:rPr>
      </w:pPr>
      <w:r>
        <w:rPr>
          <w:rFonts w:ascii="Calibri" w:hAnsi="Calibri"/>
          <w:sz w:val="22"/>
          <w:szCs w:val="22"/>
          <w:lang w:val="en-GB"/>
        </w:rPr>
        <w:t xml:space="preserve">There is a significant difference of opinion among donors as to whether </w:t>
      </w:r>
      <w:r w:rsidR="00ED6A03">
        <w:rPr>
          <w:rFonts w:ascii="Calibri" w:hAnsi="Calibri"/>
          <w:sz w:val="22"/>
          <w:szCs w:val="22"/>
          <w:lang w:val="en-GB"/>
        </w:rPr>
        <w:t xml:space="preserve">contributions to </w:t>
      </w:r>
      <w:r>
        <w:rPr>
          <w:rFonts w:ascii="Calibri" w:hAnsi="Calibri"/>
          <w:sz w:val="22"/>
          <w:szCs w:val="22"/>
          <w:lang w:val="en-GB"/>
        </w:rPr>
        <w:t xml:space="preserve">pooled funds should be </w:t>
      </w:r>
      <w:r w:rsidR="0023096E">
        <w:rPr>
          <w:rFonts w:ascii="Calibri" w:hAnsi="Calibri"/>
          <w:sz w:val="22"/>
          <w:szCs w:val="22"/>
          <w:lang w:val="en-GB"/>
        </w:rPr>
        <w:t>classified as</w:t>
      </w:r>
      <w:r>
        <w:rPr>
          <w:rFonts w:ascii="Calibri" w:hAnsi="Calibri"/>
          <w:sz w:val="22"/>
          <w:szCs w:val="22"/>
          <w:lang w:val="en-GB"/>
        </w:rPr>
        <w:t xml:space="preserve"> </w:t>
      </w:r>
      <w:r w:rsidR="0023096E">
        <w:rPr>
          <w:rFonts w:ascii="Calibri" w:hAnsi="Calibri"/>
          <w:sz w:val="22"/>
          <w:szCs w:val="22"/>
          <w:lang w:val="en-GB"/>
        </w:rPr>
        <w:t>un-earmarked or flexible funding</w:t>
      </w:r>
      <w:r>
        <w:rPr>
          <w:rFonts w:ascii="Calibri" w:hAnsi="Calibri"/>
          <w:sz w:val="22"/>
          <w:szCs w:val="22"/>
          <w:lang w:val="en-GB"/>
        </w:rPr>
        <w:t xml:space="preserve">. </w:t>
      </w:r>
      <w:r w:rsidR="00ED6A03">
        <w:rPr>
          <w:rFonts w:ascii="Calibri" w:hAnsi="Calibri"/>
          <w:sz w:val="22"/>
          <w:szCs w:val="22"/>
          <w:lang w:val="en-GB"/>
        </w:rPr>
        <w:t>Inputs to the donor survey</w:t>
      </w:r>
      <w:r w:rsidR="00D01703" w:rsidRPr="00823FB4">
        <w:rPr>
          <w:rFonts w:ascii="Calibri" w:hAnsi="Calibri"/>
          <w:sz w:val="22"/>
          <w:szCs w:val="22"/>
          <w:lang w:val="en-GB"/>
        </w:rPr>
        <w:t xml:space="preserve"> tend to equate contributions to the CERF with un-earmarked funding. This may be because, from the donor perspective, </w:t>
      </w:r>
      <w:r w:rsidR="00D01703" w:rsidRPr="00823FB4">
        <w:rPr>
          <w:sz w:val="22"/>
          <w:szCs w:val="22"/>
          <w:lang w:val="en-GB"/>
        </w:rPr>
        <w:t>the basic act of pre-allocating funds to allow swift allocations to prioritised needs is the same (</w:t>
      </w:r>
      <w:r w:rsidR="00D01703" w:rsidRPr="00823FB4">
        <w:rPr>
          <w:rFonts w:ascii="Calibri" w:hAnsi="Calibri"/>
          <w:sz w:val="22"/>
          <w:szCs w:val="22"/>
          <w:lang w:val="en-GB"/>
        </w:rPr>
        <w:t>Sweden’s 2016 non-paper on the value of flexibility in humanitarian financing). However, from the perspective of a humanitarian agency receiving pooled funds (whether from the CERF or a country based pooled fund</w:t>
      </w:r>
      <w:r w:rsidR="00F41501">
        <w:rPr>
          <w:rFonts w:ascii="Calibri" w:hAnsi="Calibri"/>
          <w:sz w:val="22"/>
          <w:szCs w:val="22"/>
          <w:lang w:val="en-GB"/>
        </w:rPr>
        <w:t xml:space="preserve"> (CBPF)</w:t>
      </w:r>
      <w:r w:rsidR="00D01703" w:rsidRPr="00823FB4">
        <w:rPr>
          <w:rFonts w:ascii="Calibri" w:hAnsi="Calibri"/>
          <w:sz w:val="22"/>
          <w:szCs w:val="22"/>
          <w:lang w:val="en-GB"/>
        </w:rPr>
        <w:t>), this money is earmarked to a specific programme in a specific context and the agency requires permission to re-programme it to meet changing needs. Thus,</w:t>
      </w:r>
      <w:r w:rsidR="00205AE1">
        <w:rPr>
          <w:rFonts w:ascii="Calibri" w:hAnsi="Calibri"/>
          <w:sz w:val="22"/>
          <w:szCs w:val="22"/>
          <w:lang w:val="en-GB"/>
        </w:rPr>
        <w:t xml:space="preserve"> as highlighted by the agency survey,</w:t>
      </w:r>
      <w:r w:rsidR="00D01703" w:rsidRPr="00823FB4">
        <w:rPr>
          <w:rFonts w:ascii="Calibri" w:hAnsi="Calibri"/>
          <w:sz w:val="22"/>
          <w:szCs w:val="22"/>
          <w:lang w:val="en-GB"/>
        </w:rPr>
        <w:t xml:space="preserve"> it provides very little flexibility for implementing agencies. Nevertheless, as Sweden’s non-paper points out, pooled funding plays other critical roles in the humanitarian architecture. These include: A) Empowering humanitarian leadership, B) Channelling funding to Humanitarian Response Plans strategically and holistically; and C) Facilitating funding to local partners (which is often a key reason why donors value country based pooled funds).</w:t>
      </w:r>
      <w:r w:rsidR="00D01703">
        <w:rPr>
          <w:rFonts w:ascii="Calibri" w:hAnsi="Calibri"/>
          <w:sz w:val="22"/>
          <w:szCs w:val="22"/>
          <w:lang w:val="en-GB"/>
        </w:rPr>
        <w:t xml:space="preserve">  Reaching clarity on where pooled funds fit within the spectrum of earmarking will </w:t>
      </w:r>
      <w:r w:rsidR="00425375">
        <w:rPr>
          <w:rFonts w:ascii="Calibri" w:hAnsi="Calibri"/>
          <w:sz w:val="22"/>
          <w:szCs w:val="22"/>
          <w:lang w:val="en-GB"/>
        </w:rPr>
        <w:t xml:space="preserve">be critical to </w:t>
      </w:r>
      <w:r w:rsidR="00242FC0">
        <w:rPr>
          <w:rFonts w:ascii="Calibri" w:hAnsi="Calibri"/>
          <w:sz w:val="22"/>
          <w:szCs w:val="22"/>
          <w:lang w:val="en-GB"/>
        </w:rPr>
        <w:t>measuring progress towards the 30% target.</w:t>
      </w:r>
    </w:p>
    <w:p w14:paraId="26E97F33" w14:textId="5DFA5B50" w:rsidR="003333AC" w:rsidRDefault="003333AC" w:rsidP="004B043C">
      <w:pPr>
        <w:spacing w:after="120"/>
        <w:jc w:val="both"/>
        <w:rPr>
          <w:rFonts w:ascii="Calibri" w:hAnsi="Calibri"/>
          <w:b/>
          <w:i/>
          <w:sz w:val="22"/>
          <w:szCs w:val="22"/>
          <w:lang w:val="en-GB"/>
        </w:rPr>
      </w:pPr>
      <w:r>
        <w:rPr>
          <w:rFonts w:ascii="Calibri" w:hAnsi="Calibri"/>
          <w:b/>
          <w:i/>
          <w:sz w:val="22"/>
          <w:szCs w:val="22"/>
          <w:lang w:val="en-GB"/>
        </w:rPr>
        <w:t xml:space="preserve">Issue area 4: Where in the transaction chain do we want to confer flexibility? </w:t>
      </w:r>
    </w:p>
    <w:p w14:paraId="3A786CC8" w14:textId="18612CA4" w:rsidR="00153B12" w:rsidRDefault="00153B12" w:rsidP="00153B12">
      <w:pPr>
        <w:spacing w:after="120"/>
        <w:jc w:val="both"/>
        <w:rPr>
          <w:rFonts w:ascii="Calibri" w:hAnsi="Calibri"/>
          <w:sz w:val="22"/>
          <w:szCs w:val="22"/>
          <w:lang w:val="en-GB"/>
        </w:rPr>
      </w:pPr>
      <w:r>
        <w:rPr>
          <w:rFonts w:ascii="Calibri" w:hAnsi="Calibri"/>
          <w:sz w:val="22"/>
          <w:szCs w:val="22"/>
          <w:lang w:val="en-GB"/>
        </w:rPr>
        <w:t xml:space="preserve">The commitments are not explicit in stating where in the response system </w:t>
      </w:r>
      <w:r w:rsidR="00514841">
        <w:rPr>
          <w:rFonts w:ascii="Calibri" w:hAnsi="Calibri"/>
          <w:sz w:val="22"/>
          <w:szCs w:val="22"/>
          <w:lang w:val="en-GB"/>
        </w:rPr>
        <w:t>flexible financing</w:t>
      </w:r>
      <w:r>
        <w:rPr>
          <w:rFonts w:ascii="Calibri" w:hAnsi="Calibri"/>
          <w:sz w:val="22"/>
          <w:szCs w:val="22"/>
          <w:lang w:val="en-GB"/>
        </w:rPr>
        <w:t xml:space="preserve"> </w:t>
      </w:r>
      <w:r w:rsidR="00596B86">
        <w:rPr>
          <w:rFonts w:ascii="Calibri" w:hAnsi="Calibri"/>
          <w:sz w:val="22"/>
          <w:szCs w:val="22"/>
          <w:lang w:val="en-GB"/>
        </w:rPr>
        <w:t>is most needed and adds greatest value</w:t>
      </w:r>
      <w:r>
        <w:rPr>
          <w:rFonts w:ascii="Calibri" w:hAnsi="Calibri"/>
          <w:sz w:val="22"/>
          <w:szCs w:val="22"/>
          <w:lang w:val="en-GB"/>
        </w:rPr>
        <w:t xml:space="preserve">. The default position is to </w:t>
      </w:r>
      <w:r w:rsidR="00514841">
        <w:rPr>
          <w:rFonts w:ascii="Calibri" w:hAnsi="Calibri"/>
          <w:sz w:val="22"/>
          <w:szCs w:val="22"/>
          <w:lang w:val="en-GB"/>
        </w:rPr>
        <w:t>focus on</w:t>
      </w:r>
      <w:r>
        <w:rPr>
          <w:rFonts w:ascii="Calibri" w:hAnsi="Calibri"/>
          <w:sz w:val="22"/>
          <w:szCs w:val="22"/>
          <w:lang w:val="en-GB"/>
        </w:rPr>
        <w:t xml:space="preserve"> core contributions to UN agencies and the ICRC, though the Grand Bargain also introduces the CERF and CBPFs </w:t>
      </w:r>
      <w:r w:rsidR="00F327A2">
        <w:rPr>
          <w:rFonts w:ascii="Calibri" w:hAnsi="Calibri"/>
          <w:sz w:val="22"/>
          <w:szCs w:val="22"/>
          <w:lang w:val="en-GB"/>
        </w:rPr>
        <w:t>as forms of flexible funding</w:t>
      </w:r>
      <w:r>
        <w:rPr>
          <w:rFonts w:ascii="Calibri" w:hAnsi="Calibri"/>
          <w:sz w:val="22"/>
          <w:szCs w:val="22"/>
          <w:lang w:val="en-GB"/>
        </w:rPr>
        <w:t>. The language of respondents to both the donor and recipient surveys confirm</w:t>
      </w:r>
      <w:r w:rsidR="000E0DE3">
        <w:rPr>
          <w:rFonts w:ascii="Calibri" w:hAnsi="Calibri"/>
          <w:sz w:val="22"/>
          <w:szCs w:val="22"/>
          <w:lang w:val="en-GB"/>
        </w:rPr>
        <w:t>s</w:t>
      </w:r>
      <w:r>
        <w:rPr>
          <w:rFonts w:ascii="Calibri" w:hAnsi="Calibri"/>
          <w:sz w:val="22"/>
          <w:szCs w:val="22"/>
          <w:lang w:val="en-GB"/>
        </w:rPr>
        <w:t xml:space="preserve"> this sense that </w:t>
      </w:r>
      <w:r w:rsidR="00F327A2">
        <w:rPr>
          <w:rFonts w:ascii="Calibri" w:hAnsi="Calibri"/>
          <w:sz w:val="22"/>
          <w:szCs w:val="22"/>
          <w:lang w:val="en-GB"/>
        </w:rPr>
        <w:t xml:space="preserve">the biggest actors who already </w:t>
      </w:r>
      <w:r w:rsidR="000E0DE3">
        <w:rPr>
          <w:rFonts w:ascii="Calibri" w:hAnsi="Calibri"/>
          <w:sz w:val="22"/>
          <w:szCs w:val="22"/>
          <w:lang w:val="en-GB"/>
        </w:rPr>
        <w:t>receive</w:t>
      </w:r>
      <w:r w:rsidR="00F327A2">
        <w:rPr>
          <w:rFonts w:ascii="Calibri" w:hAnsi="Calibri"/>
          <w:sz w:val="22"/>
          <w:szCs w:val="22"/>
          <w:lang w:val="en-GB"/>
        </w:rPr>
        <w:t xml:space="preserve"> flexible financin</w:t>
      </w:r>
      <w:r w:rsidR="000E0DE3">
        <w:rPr>
          <w:rFonts w:ascii="Calibri" w:hAnsi="Calibri"/>
          <w:sz w:val="22"/>
          <w:szCs w:val="22"/>
          <w:lang w:val="en-GB"/>
        </w:rPr>
        <w:t>g will benefit from increases</w:t>
      </w:r>
      <w:r>
        <w:rPr>
          <w:rFonts w:ascii="Calibri" w:hAnsi="Calibri"/>
          <w:sz w:val="22"/>
          <w:szCs w:val="22"/>
          <w:lang w:val="en-GB"/>
        </w:rPr>
        <w:t xml:space="preserve">. </w:t>
      </w:r>
      <w:r w:rsidR="000E0DE3">
        <w:rPr>
          <w:rFonts w:ascii="Calibri" w:hAnsi="Calibri"/>
          <w:sz w:val="22"/>
          <w:szCs w:val="22"/>
          <w:lang w:val="en-GB"/>
        </w:rPr>
        <w:t xml:space="preserve">The lack of engagement in the recipient survey seems to indicate that international NGOs do not feel this commitment area applies to them. </w:t>
      </w:r>
      <w:r w:rsidR="00137F10">
        <w:rPr>
          <w:rFonts w:ascii="Calibri" w:hAnsi="Calibri"/>
          <w:sz w:val="22"/>
          <w:szCs w:val="22"/>
          <w:lang w:val="en-GB"/>
        </w:rPr>
        <w:t xml:space="preserve">However, since NGOs (particularly at the local level) are the main mechanism for delivering assistance to affected populations, this raises questions about how to ensure that they also have greater flexibility to respond appropriately in emergencies. As noted above, some donors have </w:t>
      </w:r>
      <w:r w:rsidR="00886255">
        <w:rPr>
          <w:rFonts w:ascii="Calibri" w:hAnsi="Calibri"/>
          <w:sz w:val="22"/>
          <w:szCs w:val="22"/>
          <w:lang w:val="en-GB"/>
        </w:rPr>
        <w:t>taken steps in this direction, including introducing rapid response funds and providing</w:t>
      </w:r>
      <w:r w:rsidR="00137F10">
        <w:rPr>
          <w:rFonts w:ascii="Calibri" w:hAnsi="Calibri"/>
          <w:sz w:val="22"/>
          <w:szCs w:val="22"/>
          <w:lang w:val="en-GB"/>
        </w:rPr>
        <w:t xml:space="preserve"> softly earmarked funding to key NGO partners</w:t>
      </w:r>
      <w:r w:rsidR="00F327A2">
        <w:rPr>
          <w:rFonts w:ascii="Calibri" w:hAnsi="Calibri"/>
          <w:sz w:val="22"/>
          <w:szCs w:val="22"/>
          <w:lang w:val="en-GB"/>
        </w:rPr>
        <w:t>, although these tend to be the large international NGOs</w:t>
      </w:r>
      <w:r w:rsidR="00137F10">
        <w:rPr>
          <w:rFonts w:ascii="Calibri" w:hAnsi="Calibri"/>
          <w:sz w:val="22"/>
          <w:szCs w:val="22"/>
          <w:lang w:val="en-GB"/>
        </w:rPr>
        <w:t xml:space="preserve">. </w:t>
      </w:r>
      <w:r w:rsidR="001F167C">
        <w:rPr>
          <w:rFonts w:ascii="Calibri" w:hAnsi="Calibri"/>
          <w:sz w:val="22"/>
          <w:szCs w:val="22"/>
          <w:lang w:val="en-GB"/>
        </w:rPr>
        <w:t>It is also worth noting that the UN agencies responding to the survey</w:t>
      </w:r>
      <w:r w:rsidR="000E0DE3">
        <w:rPr>
          <w:rFonts w:ascii="Calibri" w:hAnsi="Calibri"/>
          <w:sz w:val="22"/>
          <w:szCs w:val="22"/>
          <w:lang w:val="en-GB"/>
        </w:rPr>
        <w:t xml:space="preserve"> have very different</w:t>
      </w:r>
      <w:r w:rsidR="001F167C">
        <w:rPr>
          <w:rFonts w:ascii="Calibri" w:hAnsi="Calibri"/>
          <w:sz w:val="22"/>
          <w:szCs w:val="22"/>
          <w:lang w:val="en-GB"/>
        </w:rPr>
        <w:t xml:space="preserve"> experiences of flexible f</w:t>
      </w:r>
      <w:r w:rsidR="000E0DE3">
        <w:rPr>
          <w:rFonts w:ascii="Calibri" w:hAnsi="Calibri"/>
          <w:sz w:val="22"/>
          <w:szCs w:val="22"/>
          <w:lang w:val="en-GB"/>
        </w:rPr>
        <w:t>inancing</w:t>
      </w:r>
      <w:r w:rsidR="00E732EC">
        <w:rPr>
          <w:rFonts w:ascii="Calibri" w:hAnsi="Calibri"/>
          <w:sz w:val="22"/>
          <w:szCs w:val="22"/>
          <w:lang w:val="en-GB"/>
        </w:rPr>
        <w:t>.</w:t>
      </w:r>
      <w:r w:rsidR="00E732EC" w:rsidRPr="00E732EC">
        <w:rPr>
          <w:rFonts w:ascii="Calibri" w:hAnsi="Calibri"/>
          <w:sz w:val="22"/>
          <w:szCs w:val="22"/>
          <w:lang w:val="en-GB"/>
        </w:rPr>
        <w:t xml:space="preserve"> </w:t>
      </w:r>
      <w:r w:rsidR="00E732EC">
        <w:rPr>
          <w:rFonts w:ascii="Calibri" w:hAnsi="Calibri"/>
          <w:sz w:val="22"/>
          <w:szCs w:val="22"/>
          <w:lang w:val="en-GB"/>
        </w:rPr>
        <w:t>Some receive very little</w:t>
      </w:r>
      <w:r w:rsidR="001A78EB">
        <w:rPr>
          <w:rFonts w:ascii="Calibri" w:hAnsi="Calibri"/>
          <w:sz w:val="22"/>
          <w:szCs w:val="22"/>
          <w:lang w:val="en-GB"/>
        </w:rPr>
        <w:t xml:space="preserve"> flexible funding</w:t>
      </w:r>
      <w:r w:rsidR="00E732EC">
        <w:rPr>
          <w:rFonts w:ascii="Calibri" w:hAnsi="Calibri"/>
          <w:sz w:val="22"/>
          <w:szCs w:val="22"/>
          <w:lang w:val="en-GB"/>
        </w:rPr>
        <w:t xml:space="preserve">, while others routinely receive more than 30% as un-earmarked or softly earmarked funding. </w:t>
      </w:r>
      <w:r w:rsidR="001A78EB">
        <w:rPr>
          <w:rFonts w:ascii="Calibri" w:hAnsi="Calibri"/>
          <w:sz w:val="22"/>
          <w:szCs w:val="22"/>
          <w:lang w:val="en-GB"/>
        </w:rPr>
        <w:t>Current commitments do not reflect on this</w:t>
      </w:r>
      <w:r w:rsidR="00F327A2">
        <w:rPr>
          <w:rFonts w:ascii="Calibri" w:hAnsi="Calibri"/>
          <w:sz w:val="22"/>
          <w:szCs w:val="22"/>
          <w:lang w:val="en-GB"/>
        </w:rPr>
        <w:t xml:space="preserve"> inequality among existing recipients</w:t>
      </w:r>
      <w:r w:rsidR="001A78EB">
        <w:rPr>
          <w:rFonts w:ascii="Calibri" w:hAnsi="Calibri"/>
          <w:sz w:val="22"/>
          <w:szCs w:val="22"/>
          <w:lang w:val="en-GB"/>
        </w:rPr>
        <w:t>. Therefore, i</w:t>
      </w:r>
      <w:r w:rsidR="001F167C">
        <w:rPr>
          <w:rFonts w:ascii="Calibri" w:hAnsi="Calibri"/>
          <w:sz w:val="22"/>
          <w:szCs w:val="22"/>
          <w:lang w:val="en-GB"/>
        </w:rPr>
        <w:t xml:space="preserve">n considering strategies to achieve the commitments and targets, </w:t>
      </w:r>
      <w:r w:rsidR="001A78EB">
        <w:rPr>
          <w:rFonts w:ascii="Calibri" w:hAnsi="Calibri"/>
          <w:sz w:val="22"/>
          <w:szCs w:val="22"/>
          <w:lang w:val="en-GB"/>
        </w:rPr>
        <w:t>signatories should have a practical debate on where in the funding chain there should be greater flexibility</w:t>
      </w:r>
      <w:r w:rsidR="000E0DE3">
        <w:rPr>
          <w:rFonts w:ascii="Calibri" w:hAnsi="Calibri"/>
          <w:sz w:val="22"/>
          <w:szCs w:val="22"/>
          <w:lang w:val="en-GB"/>
        </w:rPr>
        <w:t>,</w:t>
      </w:r>
      <w:r w:rsidR="001A78EB">
        <w:rPr>
          <w:rFonts w:ascii="Calibri" w:hAnsi="Calibri"/>
          <w:sz w:val="22"/>
          <w:szCs w:val="22"/>
          <w:lang w:val="en-GB"/>
        </w:rPr>
        <w:t xml:space="preserve"> in order to add value</w:t>
      </w:r>
      <w:r w:rsidR="000E0DE3">
        <w:rPr>
          <w:rFonts w:ascii="Calibri" w:hAnsi="Calibri"/>
          <w:sz w:val="22"/>
          <w:szCs w:val="22"/>
          <w:lang w:val="en-GB"/>
        </w:rPr>
        <w:t>,</w:t>
      </w:r>
      <w:r w:rsidR="001A78EB">
        <w:rPr>
          <w:rFonts w:ascii="Calibri" w:hAnsi="Calibri"/>
          <w:sz w:val="22"/>
          <w:szCs w:val="22"/>
          <w:lang w:val="en-GB"/>
        </w:rPr>
        <w:t xml:space="preserve"> and also which organisations should benefit.</w:t>
      </w:r>
      <w:r w:rsidR="001F167C">
        <w:rPr>
          <w:rFonts w:ascii="Calibri" w:hAnsi="Calibri"/>
          <w:sz w:val="22"/>
          <w:szCs w:val="22"/>
          <w:lang w:val="en-GB"/>
        </w:rPr>
        <w:t xml:space="preserve"> </w:t>
      </w:r>
    </w:p>
    <w:p w14:paraId="52265EAE" w14:textId="0CA0B67B" w:rsidR="00BF127C" w:rsidRDefault="000E0DE3" w:rsidP="004B043C">
      <w:pPr>
        <w:spacing w:after="120"/>
        <w:jc w:val="both"/>
        <w:rPr>
          <w:rFonts w:ascii="Calibri" w:hAnsi="Calibri"/>
          <w:sz w:val="22"/>
          <w:szCs w:val="22"/>
          <w:lang w:val="en-GB"/>
        </w:rPr>
      </w:pPr>
      <w:r>
        <w:rPr>
          <w:rFonts w:ascii="Calibri" w:hAnsi="Calibri"/>
          <w:sz w:val="22"/>
          <w:szCs w:val="22"/>
          <w:lang w:val="en-GB"/>
        </w:rPr>
        <w:t xml:space="preserve">The agency survey included questions on the extent to which </w:t>
      </w:r>
      <w:r w:rsidR="0027345E">
        <w:rPr>
          <w:rFonts w:ascii="Calibri" w:hAnsi="Calibri"/>
          <w:sz w:val="22"/>
          <w:szCs w:val="22"/>
          <w:lang w:val="en-GB"/>
        </w:rPr>
        <w:t>organisations</w:t>
      </w:r>
      <w:r>
        <w:rPr>
          <w:rFonts w:ascii="Calibri" w:hAnsi="Calibri"/>
          <w:sz w:val="22"/>
          <w:szCs w:val="22"/>
          <w:lang w:val="en-GB"/>
        </w:rPr>
        <w:t xml:space="preserve"> earmark funding to other humanitarian actors. This reflects</w:t>
      </w:r>
      <w:r w:rsidR="00153B12">
        <w:rPr>
          <w:rFonts w:ascii="Calibri" w:hAnsi="Calibri"/>
          <w:sz w:val="22"/>
          <w:szCs w:val="22"/>
          <w:lang w:val="en-GB"/>
        </w:rPr>
        <w:t xml:space="preserve"> the sub-clause in the following commitment: “</w:t>
      </w:r>
      <w:r w:rsidR="00153B12" w:rsidRPr="00153B12">
        <w:rPr>
          <w:rFonts w:ascii="Calibri" w:hAnsi="Calibri"/>
          <w:sz w:val="22"/>
          <w:szCs w:val="22"/>
          <w:lang w:val="en-GB"/>
        </w:rPr>
        <w:t xml:space="preserve">Reduce the degree of earmarking of funds contributed by governments and regional groups who currently provide low levels of flexible finance. </w:t>
      </w:r>
      <w:r w:rsidR="00153B12" w:rsidRPr="00153B12">
        <w:rPr>
          <w:rFonts w:ascii="Calibri" w:hAnsi="Calibri"/>
          <w:b/>
          <w:sz w:val="22"/>
          <w:szCs w:val="22"/>
          <w:lang w:val="en-GB"/>
        </w:rPr>
        <w:t>Aid organisations in turn commit to do the same with their funding when channelling it through partners</w:t>
      </w:r>
      <w:r w:rsidR="00153B12" w:rsidRPr="00153B12">
        <w:rPr>
          <w:rFonts w:ascii="Calibri" w:hAnsi="Calibri"/>
          <w:sz w:val="22"/>
          <w:szCs w:val="22"/>
          <w:lang w:val="en-GB"/>
        </w:rPr>
        <w:t>.</w:t>
      </w:r>
      <w:r w:rsidR="00153B12">
        <w:rPr>
          <w:rFonts w:ascii="Calibri" w:hAnsi="Calibri"/>
          <w:sz w:val="22"/>
          <w:szCs w:val="22"/>
          <w:lang w:val="en-GB"/>
        </w:rPr>
        <w:t xml:space="preserve">” </w:t>
      </w:r>
      <w:r w:rsidR="006E2B1D">
        <w:rPr>
          <w:rFonts w:ascii="Calibri" w:hAnsi="Calibri"/>
          <w:sz w:val="22"/>
          <w:szCs w:val="22"/>
          <w:lang w:val="en-GB"/>
        </w:rPr>
        <w:t xml:space="preserve">With the exception of FAO, for whom the question was not applicable, all the UN agencies responding to the agency survey stated that they tightly earmark funds to partners (in the case of OCHA, this applied to the CERF and country-based pooled funds since it is not an operational agency). It is clearly standard practice to issue partners with fixed-term agreements to achieve the delivery of specific results, which are in line with the agency’s country programme priorities and strategy. </w:t>
      </w:r>
      <w:r w:rsidR="007F1F52">
        <w:rPr>
          <w:rFonts w:ascii="Calibri" w:hAnsi="Calibri"/>
          <w:sz w:val="22"/>
          <w:szCs w:val="22"/>
          <w:lang w:val="en-GB"/>
        </w:rPr>
        <w:t>Given donor emphasis accounting for results, there are currently strong incentives for organisations receiving un-earmarked or flexible funding to continue to have earmarked funding agreements with their partners. As one agency pointed out in response to the survey, “</w:t>
      </w:r>
      <w:r w:rsidR="007F1F52" w:rsidRPr="00BF127C">
        <w:rPr>
          <w:rFonts w:ascii="Calibri" w:hAnsi="Calibri"/>
          <w:sz w:val="22"/>
          <w:szCs w:val="22"/>
          <w:lang w:val="en-GB"/>
        </w:rPr>
        <w:t>No, it is not possible for us to pass on “un</w:t>
      </w:r>
      <w:r w:rsidR="007F1F52">
        <w:rPr>
          <w:rFonts w:ascii="Calibri" w:hAnsi="Calibri"/>
          <w:sz w:val="22"/>
          <w:szCs w:val="22"/>
          <w:lang w:val="en-GB"/>
        </w:rPr>
        <w:t>-</w:t>
      </w:r>
      <w:r w:rsidR="007F1F52" w:rsidRPr="00BF127C">
        <w:rPr>
          <w:rFonts w:ascii="Calibri" w:hAnsi="Calibri"/>
          <w:sz w:val="22"/>
          <w:szCs w:val="22"/>
          <w:lang w:val="en-GB"/>
        </w:rPr>
        <w:t>earmarked” grants to our partners. In general un</w:t>
      </w:r>
      <w:r w:rsidR="007F1F52">
        <w:rPr>
          <w:rFonts w:ascii="Calibri" w:hAnsi="Calibri"/>
          <w:sz w:val="22"/>
          <w:szCs w:val="22"/>
          <w:lang w:val="en-GB"/>
        </w:rPr>
        <w:t>-</w:t>
      </w:r>
      <w:r w:rsidR="007F1F52" w:rsidRPr="00BF127C">
        <w:rPr>
          <w:rFonts w:ascii="Calibri" w:hAnsi="Calibri"/>
          <w:sz w:val="22"/>
          <w:szCs w:val="22"/>
          <w:lang w:val="en-GB"/>
        </w:rPr>
        <w:t>earmarked funding demonstrates the special relationship with our key donors, who</w:t>
      </w:r>
      <w:r w:rsidR="007F1F52">
        <w:rPr>
          <w:rFonts w:ascii="Calibri" w:hAnsi="Calibri"/>
          <w:sz w:val="22"/>
          <w:szCs w:val="22"/>
          <w:lang w:val="en-GB"/>
        </w:rPr>
        <w:t xml:space="preserve"> engage strategically with our </w:t>
      </w:r>
      <w:r w:rsidR="007F1F52" w:rsidRPr="00BF127C">
        <w:rPr>
          <w:rFonts w:ascii="Calibri" w:hAnsi="Calibri"/>
          <w:sz w:val="22"/>
          <w:szCs w:val="22"/>
          <w:lang w:val="en-GB"/>
        </w:rPr>
        <w:t>mission and mandate, and not just specific activities that we perform.</w:t>
      </w:r>
      <w:r w:rsidR="007F1F52">
        <w:rPr>
          <w:rFonts w:ascii="Calibri" w:hAnsi="Calibri"/>
          <w:sz w:val="22"/>
          <w:szCs w:val="22"/>
          <w:lang w:val="en-GB"/>
        </w:rPr>
        <w:t xml:space="preserve">” </w:t>
      </w:r>
    </w:p>
    <w:p w14:paraId="66E29833" w14:textId="55914BAB" w:rsidR="003333AC" w:rsidRPr="003333AC" w:rsidRDefault="00BF127C" w:rsidP="004B043C">
      <w:pPr>
        <w:spacing w:after="120"/>
        <w:jc w:val="both"/>
        <w:rPr>
          <w:rFonts w:ascii="Calibri" w:hAnsi="Calibri"/>
          <w:sz w:val="22"/>
          <w:szCs w:val="22"/>
          <w:lang w:val="en-GB"/>
        </w:rPr>
      </w:pPr>
      <w:r>
        <w:rPr>
          <w:rFonts w:ascii="Calibri" w:hAnsi="Calibri"/>
          <w:sz w:val="22"/>
          <w:szCs w:val="22"/>
          <w:lang w:val="en-GB"/>
        </w:rPr>
        <w:t xml:space="preserve">Clearly there is a need to clarify expectations on this issue. </w:t>
      </w:r>
      <w:r w:rsidR="001F167C">
        <w:rPr>
          <w:rFonts w:ascii="Calibri" w:hAnsi="Calibri"/>
          <w:sz w:val="22"/>
          <w:szCs w:val="22"/>
          <w:lang w:val="en-GB"/>
        </w:rPr>
        <w:t xml:space="preserve">The rationale and incentives for recipient organisations to </w:t>
      </w:r>
      <w:r w:rsidR="00687CB1">
        <w:rPr>
          <w:rFonts w:ascii="Calibri" w:hAnsi="Calibri"/>
          <w:sz w:val="22"/>
          <w:szCs w:val="22"/>
          <w:lang w:val="en-GB"/>
        </w:rPr>
        <w:t>offer</w:t>
      </w:r>
      <w:r w:rsidR="001F167C">
        <w:rPr>
          <w:rFonts w:ascii="Calibri" w:hAnsi="Calibri"/>
          <w:sz w:val="22"/>
          <w:szCs w:val="22"/>
          <w:lang w:val="en-GB"/>
        </w:rPr>
        <w:t xml:space="preserve"> flexible funding to their partners </w:t>
      </w:r>
      <w:r w:rsidR="00687CB1">
        <w:rPr>
          <w:rFonts w:ascii="Calibri" w:hAnsi="Calibri"/>
          <w:sz w:val="22"/>
          <w:szCs w:val="22"/>
          <w:lang w:val="en-GB"/>
        </w:rPr>
        <w:t>are</w:t>
      </w:r>
      <w:r w:rsidR="001F167C">
        <w:rPr>
          <w:rFonts w:ascii="Calibri" w:hAnsi="Calibri"/>
          <w:sz w:val="22"/>
          <w:szCs w:val="22"/>
          <w:lang w:val="en-GB"/>
        </w:rPr>
        <w:t xml:space="preserve"> currently unclear and movement on this part of the commitment is unlikely to h</w:t>
      </w:r>
      <w:r w:rsidR="0098695B">
        <w:rPr>
          <w:rFonts w:ascii="Calibri" w:hAnsi="Calibri"/>
          <w:sz w:val="22"/>
          <w:szCs w:val="22"/>
          <w:lang w:val="en-GB"/>
        </w:rPr>
        <w:t>appen without further clarity about how agencies can change their current arrangements</w:t>
      </w:r>
      <w:r w:rsidR="000F468B">
        <w:rPr>
          <w:rFonts w:ascii="Calibri" w:hAnsi="Calibri"/>
          <w:sz w:val="22"/>
          <w:szCs w:val="22"/>
          <w:lang w:val="en-GB"/>
        </w:rPr>
        <w:t xml:space="preserve"> and emphasis on the need to provide implement partners with greater flexibility</w:t>
      </w:r>
      <w:r w:rsidR="001F167C">
        <w:rPr>
          <w:rFonts w:ascii="Calibri" w:hAnsi="Calibri"/>
          <w:sz w:val="22"/>
          <w:szCs w:val="22"/>
          <w:lang w:val="en-GB"/>
        </w:rPr>
        <w:t xml:space="preserve">. </w:t>
      </w:r>
    </w:p>
    <w:p w14:paraId="56F18588" w14:textId="280D1D86" w:rsidR="004432C9" w:rsidRPr="00823FB4" w:rsidRDefault="00056A0E" w:rsidP="00D56A60">
      <w:pPr>
        <w:outlineLvl w:val="0"/>
        <w:rPr>
          <w:rFonts w:ascii="Calibri" w:hAnsi="Calibri"/>
          <w:b/>
          <w:i/>
          <w:sz w:val="22"/>
          <w:szCs w:val="22"/>
          <w:lang w:val="en-GB"/>
        </w:rPr>
      </w:pPr>
      <w:r>
        <w:rPr>
          <w:rFonts w:ascii="Calibri" w:hAnsi="Calibri"/>
          <w:b/>
          <w:i/>
          <w:sz w:val="22"/>
          <w:szCs w:val="22"/>
          <w:lang w:val="en-GB"/>
        </w:rPr>
        <w:t>Fi</w:t>
      </w:r>
      <w:r w:rsidR="00D85184">
        <w:rPr>
          <w:rFonts w:ascii="Calibri" w:hAnsi="Calibri"/>
          <w:b/>
          <w:i/>
          <w:sz w:val="22"/>
          <w:szCs w:val="22"/>
          <w:lang w:val="en-GB"/>
        </w:rPr>
        <w:t xml:space="preserve">nal considerations </w:t>
      </w:r>
    </w:p>
    <w:p w14:paraId="0A9C9AC9" w14:textId="4A436986" w:rsidR="004432C9" w:rsidRDefault="00D85184" w:rsidP="0081687E">
      <w:pPr>
        <w:jc w:val="both"/>
        <w:rPr>
          <w:rFonts w:ascii="Calibri" w:hAnsi="Calibri"/>
          <w:sz w:val="22"/>
          <w:szCs w:val="22"/>
          <w:lang w:val="en-GB"/>
        </w:rPr>
      </w:pPr>
      <w:r>
        <w:rPr>
          <w:rFonts w:ascii="Calibri" w:hAnsi="Calibri"/>
          <w:sz w:val="22"/>
          <w:szCs w:val="22"/>
          <w:lang w:val="en-GB"/>
        </w:rPr>
        <w:t>A</w:t>
      </w:r>
      <w:r w:rsidR="00A60384" w:rsidRPr="00823FB4">
        <w:rPr>
          <w:rFonts w:ascii="Calibri" w:hAnsi="Calibri"/>
          <w:sz w:val="22"/>
          <w:szCs w:val="22"/>
          <w:lang w:val="en-GB"/>
        </w:rPr>
        <w:t xml:space="preserve"> reduction in earmarking is likely to be linked to achievements in other Grand Bargain commitments. </w:t>
      </w:r>
      <w:r w:rsidR="00BE4CEC">
        <w:rPr>
          <w:rFonts w:ascii="Calibri" w:hAnsi="Calibri"/>
          <w:sz w:val="22"/>
          <w:szCs w:val="22"/>
          <w:lang w:val="en-GB"/>
        </w:rPr>
        <w:t>W</w:t>
      </w:r>
      <w:r>
        <w:rPr>
          <w:rFonts w:ascii="Calibri" w:hAnsi="Calibri"/>
          <w:sz w:val="22"/>
          <w:szCs w:val="22"/>
          <w:lang w:val="en-GB"/>
        </w:rPr>
        <w:t>hile s</w:t>
      </w:r>
      <w:r w:rsidR="00C0045C" w:rsidRPr="00823FB4">
        <w:rPr>
          <w:rFonts w:ascii="Calibri" w:hAnsi="Calibri"/>
          <w:sz w:val="22"/>
          <w:szCs w:val="22"/>
          <w:lang w:val="en-GB"/>
        </w:rPr>
        <w:t>ynergies are</w:t>
      </w:r>
      <w:r w:rsidR="00C0045C" w:rsidRPr="00823FB4">
        <w:rPr>
          <w:lang w:val="en-GB"/>
        </w:rPr>
        <w:t xml:space="preserve"> </w:t>
      </w:r>
      <w:r w:rsidR="00967B7C" w:rsidRPr="00823FB4">
        <w:rPr>
          <w:rFonts w:ascii="Calibri" w:hAnsi="Calibri"/>
          <w:sz w:val="22"/>
          <w:szCs w:val="22"/>
          <w:lang w:val="en-GB"/>
        </w:rPr>
        <w:t>possible in some cases</w:t>
      </w:r>
      <w:r w:rsidR="00BE4CEC">
        <w:rPr>
          <w:rFonts w:ascii="Calibri" w:hAnsi="Calibri"/>
          <w:sz w:val="22"/>
          <w:szCs w:val="22"/>
          <w:lang w:val="en-GB"/>
        </w:rPr>
        <w:t>,</w:t>
      </w:r>
      <w:r w:rsidR="00C0045C" w:rsidRPr="00823FB4">
        <w:rPr>
          <w:rFonts w:ascii="Calibri" w:hAnsi="Calibri"/>
          <w:sz w:val="22"/>
          <w:szCs w:val="22"/>
          <w:lang w:val="en-GB"/>
        </w:rPr>
        <w:t xml:space="preserve"> there are also risks that actions in one workstream will be in tension </w:t>
      </w:r>
      <w:r w:rsidR="00967B7C" w:rsidRPr="00823FB4">
        <w:rPr>
          <w:rFonts w:ascii="Calibri" w:hAnsi="Calibri"/>
          <w:sz w:val="22"/>
          <w:szCs w:val="22"/>
          <w:lang w:val="en-GB"/>
        </w:rPr>
        <w:t>with or contradict</w:t>
      </w:r>
      <w:r w:rsidR="00C0045C" w:rsidRPr="00823FB4">
        <w:rPr>
          <w:rFonts w:ascii="Calibri" w:hAnsi="Calibri"/>
          <w:sz w:val="22"/>
          <w:szCs w:val="22"/>
          <w:lang w:val="en-GB"/>
        </w:rPr>
        <w:t xml:space="preserve"> commitments elsewhere. </w:t>
      </w:r>
      <w:r w:rsidR="00DF51C6">
        <w:rPr>
          <w:rFonts w:ascii="Calibri" w:hAnsi="Calibri"/>
          <w:sz w:val="22"/>
          <w:szCs w:val="22"/>
          <w:lang w:val="en-GB"/>
        </w:rPr>
        <w:t xml:space="preserve">The sequencing of outputs from different commitment workstreams will also inform the possibility of deriving synergies. </w:t>
      </w:r>
      <w:r w:rsidR="00BC6CF9">
        <w:rPr>
          <w:rFonts w:ascii="Calibri" w:hAnsi="Calibri"/>
          <w:sz w:val="22"/>
          <w:szCs w:val="22"/>
          <w:lang w:val="en-GB"/>
        </w:rPr>
        <w:t>Annex 1</w:t>
      </w:r>
      <w:r w:rsidR="00767A42">
        <w:rPr>
          <w:rFonts w:ascii="Calibri" w:hAnsi="Calibri"/>
          <w:sz w:val="22"/>
          <w:szCs w:val="22"/>
          <w:lang w:val="en-GB"/>
        </w:rPr>
        <w:t xml:space="preserve"> highlights some of the areas </w:t>
      </w:r>
      <w:r w:rsidR="00BE4CEC">
        <w:rPr>
          <w:rFonts w:ascii="Calibri" w:hAnsi="Calibri"/>
          <w:sz w:val="22"/>
          <w:szCs w:val="22"/>
          <w:lang w:val="en-GB"/>
        </w:rPr>
        <w:t xml:space="preserve">that </w:t>
      </w:r>
      <w:r w:rsidR="00767A42">
        <w:rPr>
          <w:rFonts w:ascii="Calibri" w:hAnsi="Calibri"/>
          <w:sz w:val="22"/>
          <w:szCs w:val="22"/>
          <w:lang w:val="en-GB"/>
        </w:rPr>
        <w:t xml:space="preserve">signatories may want to keep in mind during future discussions on flexible financing. </w:t>
      </w:r>
    </w:p>
    <w:p w14:paraId="2A93BF85" w14:textId="77777777" w:rsidR="00BC6CF9" w:rsidRDefault="00BC6CF9" w:rsidP="0081687E">
      <w:pPr>
        <w:jc w:val="both"/>
        <w:rPr>
          <w:rFonts w:ascii="Calibri" w:hAnsi="Calibri"/>
          <w:sz w:val="22"/>
          <w:szCs w:val="22"/>
          <w:lang w:val="en-GB"/>
        </w:rPr>
      </w:pPr>
    </w:p>
    <w:p w14:paraId="009FAAC6" w14:textId="77777777" w:rsidR="00596B86" w:rsidRDefault="00596B86" w:rsidP="0081687E">
      <w:pPr>
        <w:jc w:val="both"/>
        <w:rPr>
          <w:rFonts w:ascii="Calibri" w:hAnsi="Calibri"/>
          <w:sz w:val="22"/>
          <w:szCs w:val="22"/>
          <w:lang w:val="en-GB"/>
        </w:rPr>
      </w:pPr>
    </w:p>
    <w:p w14:paraId="5705AB52" w14:textId="2BE1EAA6" w:rsidR="00BC6CF9" w:rsidRPr="00823FB4" w:rsidRDefault="00BC6CF9" w:rsidP="00D56A60">
      <w:pPr>
        <w:spacing w:after="120"/>
        <w:outlineLvl w:val="0"/>
        <w:rPr>
          <w:b/>
          <w:lang w:val="en-GB"/>
        </w:rPr>
      </w:pPr>
      <w:r w:rsidRPr="00823FB4">
        <w:rPr>
          <w:b/>
          <w:lang w:val="en-GB"/>
        </w:rPr>
        <w:t>References</w:t>
      </w:r>
    </w:p>
    <w:p w14:paraId="0F8A6001" w14:textId="77777777" w:rsidR="00BC6CF9" w:rsidRDefault="00BC6CF9" w:rsidP="00BC6CF9">
      <w:pPr>
        <w:pStyle w:val="NormalWeb"/>
        <w:spacing w:before="0" w:beforeAutospacing="0" w:after="120" w:afterAutospacing="0"/>
        <w:rPr>
          <w:rFonts w:asciiTheme="minorHAnsi" w:hAnsiTheme="minorHAnsi" w:cstheme="minorBidi"/>
          <w:sz w:val="22"/>
          <w:szCs w:val="22"/>
          <w:lang w:val="en-GB"/>
        </w:rPr>
      </w:pPr>
      <w:r>
        <w:rPr>
          <w:rFonts w:asciiTheme="minorHAnsi" w:hAnsiTheme="minorHAnsi" w:cstheme="minorBidi"/>
          <w:sz w:val="22"/>
          <w:szCs w:val="22"/>
          <w:lang w:val="en-GB"/>
        </w:rPr>
        <w:t xml:space="preserve">DFID (2016) </w:t>
      </w:r>
      <w:r>
        <w:rPr>
          <w:rFonts w:asciiTheme="minorHAnsi" w:hAnsiTheme="minorHAnsi" w:cstheme="minorBidi"/>
          <w:i/>
          <w:sz w:val="22"/>
          <w:szCs w:val="22"/>
          <w:lang w:val="en-GB"/>
        </w:rPr>
        <w:t>Raising the standard: the Multilateral Development Review 2016</w:t>
      </w:r>
      <w:r>
        <w:rPr>
          <w:rFonts w:asciiTheme="minorHAnsi" w:hAnsiTheme="minorHAnsi" w:cstheme="minorBidi"/>
          <w:sz w:val="22"/>
          <w:szCs w:val="22"/>
          <w:lang w:val="en-GB"/>
        </w:rPr>
        <w:t xml:space="preserve">, December 2016. </w:t>
      </w:r>
      <w:hyperlink r:id="rId11" w:history="1">
        <w:r w:rsidRPr="00A6204E">
          <w:rPr>
            <w:rStyle w:val="Hyperlink"/>
            <w:rFonts w:asciiTheme="minorHAnsi" w:hAnsiTheme="minorHAnsi" w:cstheme="minorBidi"/>
            <w:sz w:val="22"/>
            <w:szCs w:val="22"/>
            <w:lang w:val="en-GB"/>
          </w:rPr>
          <w:t>https://www.gov.uk/government/uploads/system/uploads/attachment_data/file/573884/Multilateral-Development-Review-Dec2016.pdf</w:t>
        </w:r>
      </w:hyperlink>
      <w:r>
        <w:rPr>
          <w:rFonts w:asciiTheme="minorHAnsi" w:hAnsiTheme="minorHAnsi" w:cstheme="minorBidi"/>
          <w:sz w:val="22"/>
          <w:szCs w:val="22"/>
          <w:lang w:val="en-GB"/>
        </w:rPr>
        <w:t xml:space="preserve"> </w:t>
      </w:r>
    </w:p>
    <w:p w14:paraId="4A91C4EE" w14:textId="77777777" w:rsidR="00BC6CF9" w:rsidRDefault="00BC6CF9" w:rsidP="00BC6CF9">
      <w:pPr>
        <w:pStyle w:val="NormalWeb"/>
        <w:spacing w:before="0" w:beforeAutospacing="0" w:after="120" w:afterAutospacing="0"/>
        <w:rPr>
          <w:rFonts w:asciiTheme="minorHAnsi" w:hAnsiTheme="minorHAnsi" w:cstheme="minorBidi"/>
          <w:sz w:val="22"/>
          <w:szCs w:val="22"/>
          <w:lang w:val="en-GB"/>
        </w:rPr>
      </w:pPr>
      <w:r w:rsidRPr="00823FB4">
        <w:rPr>
          <w:rFonts w:asciiTheme="minorHAnsi" w:hAnsiTheme="minorHAnsi" w:cstheme="minorBidi"/>
          <w:sz w:val="22"/>
          <w:szCs w:val="22"/>
          <w:lang w:val="en-GB"/>
        </w:rPr>
        <w:t xml:space="preserve">Totora, P. &amp; Steensen, S. (2014) </w:t>
      </w:r>
      <w:r w:rsidRPr="00823FB4">
        <w:rPr>
          <w:rFonts w:asciiTheme="minorHAnsi" w:hAnsiTheme="minorHAnsi" w:cstheme="minorBidi"/>
          <w:i/>
          <w:sz w:val="22"/>
          <w:szCs w:val="22"/>
          <w:lang w:val="en-GB"/>
        </w:rPr>
        <w:t xml:space="preserve">Making earmarked funding more effective: Current practices and a way forward. </w:t>
      </w:r>
      <w:r w:rsidRPr="00823FB4">
        <w:rPr>
          <w:rFonts w:asciiTheme="minorHAnsi" w:hAnsiTheme="minorHAnsi" w:cstheme="minorBidi"/>
          <w:sz w:val="22"/>
          <w:szCs w:val="22"/>
          <w:lang w:val="en-GB"/>
        </w:rPr>
        <w:t xml:space="preserve">OECD Development Co-operation Directorate, Report No. 1, 2014. </w:t>
      </w:r>
      <w:hyperlink r:id="rId12" w:history="1">
        <w:r w:rsidRPr="00823FB4">
          <w:rPr>
            <w:rStyle w:val="Hyperlink"/>
            <w:rFonts w:asciiTheme="minorHAnsi" w:hAnsiTheme="minorHAnsi" w:cstheme="minorBidi"/>
            <w:sz w:val="22"/>
            <w:szCs w:val="22"/>
            <w:lang w:val="en-GB"/>
          </w:rPr>
          <w:t>http://www.oecd.org/dac/aid-architecture/Multilateral%20Report%20N%201_2014.pdf</w:t>
        </w:r>
      </w:hyperlink>
      <w:r w:rsidRPr="00823FB4">
        <w:rPr>
          <w:rFonts w:asciiTheme="minorHAnsi" w:hAnsiTheme="minorHAnsi" w:cstheme="minorBidi"/>
          <w:sz w:val="22"/>
          <w:szCs w:val="22"/>
          <w:lang w:val="en-GB"/>
        </w:rPr>
        <w:t xml:space="preserve"> </w:t>
      </w:r>
    </w:p>
    <w:p w14:paraId="553CABA3" w14:textId="77777777" w:rsidR="00BC6CF9" w:rsidRPr="00C35743" w:rsidRDefault="00BC6CF9" w:rsidP="00BC6CF9">
      <w:pPr>
        <w:pStyle w:val="NormalWeb"/>
        <w:spacing w:before="0" w:beforeAutospacing="0" w:after="120" w:afterAutospacing="0"/>
        <w:rPr>
          <w:rFonts w:asciiTheme="minorHAnsi" w:hAnsiTheme="minorHAnsi" w:cstheme="minorBidi"/>
          <w:sz w:val="22"/>
          <w:szCs w:val="22"/>
          <w:lang w:val="en-GB"/>
        </w:rPr>
      </w:pPr>
      <w:r>
        <w:rPr>
          <w:rFonts w:asciiTheme="minorHAnsi" w:hAnsiTheme="minorHAnsi" w:cstheme="minorBidi"/>
          <w:sz w:val="22"/>
          <w:szCs w:val="22"/>
          <w:lang w:val="en-GB"/>
        </w:rPr>
        <w:t xml:space="preserve">UNHCR (2016) </w:t>
      </w:r>
      <w:r>
        <w:rPr>
          <w:rFonts w:asciiTheme="minorHAnsi" w:hAnsiTheme="minorHAnsi" w:cstheme="minorBidi"/>
          <w:i/>
          <w:sz w:val="22"/>
          <w:szCs w:val="22"/>
          <w:lang w:val="en-GB"/>
        </w:rPr>
        <w:t xml:space="preserve">UNHCR’s use of Unearmarked Funding in 2015, </w:t>
      </w:r>
      <w:r>
        <w:rPr>
          <w:rFonts w:asciiTheme="minorHAnsi" w:hAnsiTheme="minorHAnsi" w:cstheme="minorBidi"/>
          <w:sz w:val="22"/>
          <w:szCs w:val="22"/>
          <w:lang w:val="en-GB"/>
        </w:rPr>
        <w:t xml:space="preserve">July 2016. </w:t>
      </w:r>
      <w:hyperlink r:id="rId13" w:history="1">
        <w:r w:rsidRPr="00A6204E">
          <w:rPr>
            <w:rStyle w:val="Hyperlink"/>
            <w:rFonts w:asciiTheme="minorHAnsi" w:hAnsiTheme="minorHAnsi" w:cstheme="minorBidi"/>
            <w:sz w:val="22"/>
            <w:szCs w:val="22"/>
            <w:lang w:val="en-GB"/>
          </w:rPr>
          <w:t>http://reporting.unhcr.org/sites/default/files/UNHCR-use-of-unearmarked-funding-in-2015-A5-June2016%20FINAL.pdf</w:t>
        </w:r>
      </w:hyperlink>
      <w:r>
        <w:rPr>
          <w:rFonts w:asciiTheme="minorHAnsi" w:hAnsiTheme="minorHAnsi" w:cstheme="minorBidi"/>
          <w:sz w:val="22"/>
          <w:szCs w:val="22"/>
          <w:lang w:val="en-GB"/>
        </w:rPr>
        <w:t xml:space="preserve"> </w:t>
      </w:r>
    </w:p>
    <w:p w14:paraId="01272D68" w14:textId="77777777" w:rsidR="00BC6CF9" w:rsidRPr="00823FB4" w:rsidRDefault="00BC6CF9" w:rsidP="0081687E">
      <w:pPr>
        <w:jc w:val="both"/>
        <w:rPr>
          <w:rFonts w:ascii="Calibri" w:hAnsi="Calibri"/>
          <w:sz w:val="22"/>
          <w:szCs w:val="22"/>
          <w:lang w:val="en-GB"/>
        </w:rPr>
      </w:pPr>
    </w:p>
    <w:p w14:paraId="02F1E6B9" w14:textId="77777777" w:rsidR="00BC6CF9" w:rsidRDefault="00BC6CF9" w:rsidP="0081687E">
      <w:pPr>
        <w:jc w:val="both"/>
        <w:rPr>
          <w:lang w:val="en-GB"/>
        </w:rPr>
        <w:sectPr w:rsidR="00BC6CF9" w:rsidSect="00C249EC">
          <w:pgSz w:w="11900" w:h="16840"/>
          <w:pgMar w:top="1440" w:right="1440" w:bottom="1440" w:left="1440" w:header="720" w:footer="720" w:gutter="0"/>
          <w:cols w:space="720"/>
          <w:docGrid w:linePitch="360"/>
        </w:sectPr>
      </w:pPr>
    </w:p>
    <w:p w14:paraId="37217ECD" w14:textId="152CF105" w:rsidR="00BC1942" w:rsidRPr="00BC6CF9" w:rsidRDefault="00BC6CF9" w:rsidP="00D56A60">
      <w:pPr>
        <w:jc w:val="both"/>
        <w:outlineLvl w:val="0"/>
        <w:rPr>
          <w:b/>
          <w:lang w:val="en-GB"/>
        </w:rPr>
      </w:pPr>
      <w:r>
        <w:rPr>
          <w:b/>
          <w:lang w:val="en-GB"/>
        </w:rPr>
        <w:t xml:space="preserve">Annex 1. Links with Grand Bargain Commitment Areas </w:t>
      </w:r>
    </w:p>
    <w:p w14:paraId="1F4653A6" w14:textId="78270DEE" w:rsidR="00BC1942" w:rsidRDefault="00BC1942" w:rsidP="00BC1942">
      <w:pPr>
        <w:pStyle w:val="Caption"/>
        <w:rPr>
          <w:lang w:val="en-GB"/>
        </w:rPr>
      </w:pPr>
    </w:p>
    <w:tbl>
      <w:tblPr>
        <w:tblStyle w:val="TableGridLight1"/>
        <w:tblW w:w="5000" w:type="pct"/>
        <w:tblLook w:val="04A0" w:firstRow="1" w:lastRow="0" w:firstColumn="1" w:lastColumn="0" w:noHBand="0" w:noVBand="1"/>
      </w:tblPr>
      <w:tblGrid>
        <w:gridCol w:w="7488"/>
        <w:gridCol w:w="6688"/>
      </w:tblGrid>
      <w:tr w:rsidR="00767A42" w14:paraId="7E5E3CDA" w14:textId="77777777" w:rsidTr="00BC6CF9">
        <w:tc>
          <w:tcPr>
            <w:tcW w:w="2641" w:type="pct"/>
          </w:tcPr>
          <w:p w14:paraId="37F86315" w14:textId="19EA3AB3" w:rsidR="00D85184" w:rsidRPr="00767A42" w:rsidRDefault="00D85184" w:rsidP="00102046">
            <w:pPr>
              <w:spacing w:after="120"/>
              <w:rPr>
                <w:b/>
                <w:sz w:val="20"/>
                <w:szCs w:val="20"/>
                <w:lang w:val="en-GB"/>
              </w:rPr>
            </w:pPr>
            <w:r w:rsidRPr="00767A42">
              <w:rPr>
                <w:b/>
                <w:sz w:val="20"/>
                <w:szCs w:val="20"/>
                <w:lang w:val="en-GB"/>
              </w:rPr>
              <w:t xml:space="preserve">Commitment </w:t>
            </w:r>
          </w:p>
        </w:tc>
        <w:tc>
          <w:tcPr>
            <w:tcW w:w="2359" w:type="pct"/>
          </w:tcPr>
          <w:p w14:paraId="4EFDEC47" w14:textId="5257FC98" w:rsidR="00D85184" w:rsidRPr="00767A42" w:rsidRDefault="00D85184" w:rsidP="00102046">
            <w:pPr>
              <w:spacing w:after="120"/>
              <w:rPr>
                <w:b/>
                <w:sz w:val="20"/>
                <w:szCs w:val="20"/>
                <w:lang w:val="en-GB"/>
              </w:rPr>
            </w:pPr>
            <w:r w:rsidRPr="00767A42">
              <w:rPr>
                <w:b/>
                <w:sz w:val="20"/>
                <w:szCs w:val="20"/>
                <w:lang w:val="en-GB"/>
              </w:rPr>
              <w:t xml:space="preserve">Opportunity/risk </w:t>
            </w:r>
          </w:p>
        </w:tc>
      </w:tr>
      <w:tr w:rsidR="00767A42" w14:paraId="1165445C" w14:textId="77777777" w:rsidTr="00BC6CF9">
        <w:tc>
          <w:tcPr>
            <w:tcW w:w="2641" w:type="pct"/>
          </w:tcPr>
          <w:p w14:paraId="16882D67" w14:textId="77777777" w:rsidR="00D85184" w:rsidRPr="00767A42" w:rsidRDefault="00D85184" w:rsidP="00D85184">
            <w:pPr>
              <w:spacing w:after="120"/>
              <w:rPr>
                <w:b/>
                <w:i/>
                <w:sz w:val="20"/>
                <w:szCs w:val="20"/>
                <w:lang w:val="en-GB"/>
              </w:rPr>
            </w:pPr>
            <w:r w:rsidRPr="00767A42">
              <w:rPr>
                <w:b/>
                <w:i/>
                <w:sz w:val="20"/>
                <w:szCs w:val="20"/>
                <w:lang w:val="en-GB"/>
              </w:rPr>
              <w:t xml:space="preserve">Transparency </w:t>
            </w:r>
          </w:p>
          <w:p w14:paraId="01428B68" w14:textId="77777777" w:rsidR="00D85184" w:rsidRPr="00823FB4" w:rsidRDefault="00D85184" w:rsidP="00D85184">
            <w:pPr>
              <w:pStyle w:val="NormalWeb"/>
              <w:spacing w:before="0" w:beforeAutospacing="0" w:after="120" w:afterAutospacing="0"/>
              <w:rPr>
                <w:rFonts w:ascii="Calibri" w:hAnsi="Calibri"/>
                <w:b/>
                <w:sz w:val="20"/>
                <w:szCs w:val="20"/>
                <w:lang w:val="en-GB"/>
              </w:rPr>
            </w:pPr>
            <w:r w:rsidRPr="00823FB4">
              <w:rPr>
                <w:rFonts w:ascii="Calibri" w:hAnsi="Calibri"/>
                <w:sz w:val="20"/>
                <w:szCs w:val="20"/>
                <w:lang w:val="en-GB"/>
              </w:rPr>
              <w:t xml:space="preserve">Publish timely, transparent, harmonised and open high-quality data on humanitarian funding within two years of the World Humanitarian Summit in Istanbul. We consider IATI to provide a basis for the purpose of a common standard. </w:t>
            </w:r>
          </w:p>
          <w:p w14:paraId="70EAD717" w14:textId="77777777" w:rsidR="00D85184" w:rsidRPr="00823FB4" w:rsidRDefault="00D85184" w:rsidP="00D85184">
            <w:pPr>
              <w:pStyle w:val="NormalWeb"/>
              <w:spacing w:before="0" w:beforeAutospacing="0" w:after="120" w:afterAutospacing="0"/>
              <w:rPr>
                <w:b/>
                <w:sz w:val="20"/>
                <w:szCs w:val="20"/>
                <w:lang w:val="en-GB"/>
              </w:rPr>
            </w:pPr>
            <w:r w:rsidRPr="00823FB4">
              <w:rPr>
                <w:rFonts w:ascii="Calibri" w:hAnsi="Calibri"/>
                <w:sz w:val="20"/>
                <w:szCs w:val="20"/>
                <w:lang w:val="en-GB"/>
              </w:rPr>
              <w:t xml:space="preserve">Improve the digital platform and engage with the open-data standard community to help ensure: </w:t>
            </w:r>
          </w:p>
          <w:p w14:paraId="7C4A840A" w14:textId="77777777" w:rsidR="00D85184" w:rsidRPr="00823FB4" w:rsidRDefault="00D85184" w:rsidP="00D85184">
            <w:pPr>
              <w:pStyle w:val="NormalWeb"/>
              <w:numPr>
                <w:ilvl w:val="0"/>
                <w:numId w:val="12"/>
              </w:numPr>
              <w:spacing w:before="0" w:beforeAutospacing="0" w:after="120" w:afterAutospacing="0"/>
              <w:ind w:left="714" w:hanging="357"/>
              <w:contextualSpacing/>
              <w:rPr>
                <w:b/>
                <w:sz w:val="20"/>
                <w:szCs w:val="20"/>
                <w:lang w:val="en-GB"/>
              </w:rPr>
            </w:pPr>
            <w:r w:rsidRPr="00823FB4">
              <w:rPr>
                <w:rFonts w:ascii="Calibri" w:hAnsi="Calibri"/>
                <w:sz w:val="20"/>
                <w:szCs w:val="20"/>
                <w:lang w:val="en-GB"/>
              </w:rPr>
              <w:t xml:space="preserve">Accountability of donors and responders with open data for retrieval and analysis; improvements in decision-making, based upon the best possible information; </w:t>
            </w:r>
          </w:p>
          <w:p w14:paraId="51B87495" w14:textId="77777777" w:rsidR="00D85184" w:rsidRPr="00823FB4" w:rsidRDefault="00D85184" w:rsidP="00D85184">
            <w:pPr>
              <w:pStyle w:val="NormalWeb"/>
              <w:numPr>
                <w:ilvl w:val="0"/>
                <w:numId w:val="12"/>
              </w:numPr>
              <w:spacing w:before="0" w:beforeAutospacing="0" w:after="120" w:afterAutospacing="0"/>
              <w:contextualSpacing/>
              <w:rPr>
                <w:b/>
                <w:sz w:val="20"/>
                <w:szCs w:val="20"/>
                <w:lang w:val="en-GB"/>
              </w:rPr>
            </w:pPr>
            <w:r w:rsidRPr="00823FB4">
              <w:rPr>
                <w:rFonts w:ascii="Calibri" w:hAnsi="Calibri"/>
                <w:sz w:val="20"/>
                <w:szCs w:val="20"/>
                <w:lang w:val="en-GB"/>
              </w:rPr>
              <w:t xml:space="preserve">A reduced workload over time as a result of donors accepting common standard data for some reporting purposes; and </w:t>
            </w:r>
          </w:p>
          <w:p w14:paraId="2C5D6932" w14:textId="77777777" w:rsidR="00D85184" w:rsidRPr="00823FB4" w:rsidRDefault="00D85184" w:rsidP="00D85184">
            <w:pPr>
              <w:pStyle w:val="NormalWeb"/>
              <w:numPr>
                <w:ilvl w:val="0"/>
                <w:numId w:val="12"/>
              </w:numPr>
              <w:spacing w:before="0" w:beforeAutospacing="0" w:after="120" w:afterAutospacing="0"/>
              <w:ind w:left="714" w:hanging="357"/>
              <w:contextualSpacing/>
              <w:rPr>
                <w:b/>
                <w:sz w:val="20"/>
                <w:szCs w:val="20"/>
                <w:lang w:val="en-GB"/>
              </w:rPr>
            </w:pPr>
            <w:r w:rsidRPr="00823FB4">
              <w:rPr>
                <w:rFonts w:ascii="Calibri" w:hAnsi="Calibri"/>
                <w:sz w:val="20"/>
                <w:szCs w:val="20"/>
                <w:lang w:val="en-GB"/>
              </w:rPr>
              <w:t xml:space="preserve">Traceability of donors’ funding throughout the transaction chain as far as the final responders and, where feasible, affected people. </w:t>
            </w:r>
          </w:p>
          <w:p w14:paraId="005167F7" w14:textId="169980AD" w:rsidR="00D85184" w:rsidRDefault="00D85184" w:rsidP="00D85184">
            <w:pPr>
              <w:spacing w:after="120"/>
              <w:rPr>
                <w:sz w:val="20"/>
                <w:szCs w:val="20"/>
                <w:lang w:val="en-GB"/>
              </w:rPr>
            </w:pPr>
            <w:r w:rsidRPr="00823FB4">
              <w:rPr>
                <w:i/>
                <w:sz w:val="20"/>
                <w:szCs w:val="20"/>
                <w:lang w:val="en-GB"/>
              </w:rPr>
              <w:t>(Workstream leads: Netherlands/World Bank)</w:t>
            </w:r>
          </w:p>
        </w:tc>
        <w:tc>
          <w:tcPr>
            <w:tcW w:w="2359" w:type="pct"/>
          </w:tcPr>
          <w:p w14:paraId="7DC8BFDA" w14:textId="77777777" w:rsidR="00D85184" w:rsidRDefault="00D85184" w:rsidP="00102046">
            <w:pPr>
              <w:spacing w:after="120"/>
              <w:rPr>
                <w:sz w:val="20"/>
                <w:szCs w:val="20"/>
                <w:lang w:val="en-GB"/>
              </w:rPr>
            </w:pPr>
          </w:p>
          <w:p w14:paraId="68D435D0" w14:textId="07EA19C9" w:rsidR="00767A42" w:rsidRDefault="00767A42" w:rsidP="00102046">
            <w:pPr>
              <w:spacing w:after="120"/>
              <w:rPr>
                <w:sz w:val="20"/>
                <w:szCs w:val="20"/>
                <w:lang w:val="en-GB"/>
              </w:rPr>
            </w:pPr>
            <w:r>
              <w:rPr>
                <w:sz w:val="20"/>
                <w:szCs w:val="20"/>
                <w:lang w:val="en-GB"/>
              </w:rPr>
              <w:t xml:space="preserve">With the newly engineered </w:t>
            </w:r>
            <w:r w:rsidR="006F0FEF">
              <w:rPr>
                <w:sz w:val="20"/>
                <w:szCs w:val="20"/>
                <w:lang w:val="en-GB"/>
              </w:rPr>
              <w:t>Financial Tracking Service</w:t>
            </w:r>
            <w:r>
              <w:rPr>
                <w:sz w:val="20"/>
                <w:szCs w:val="20"/>
                <w:lang w:val="en-GB"/>
              </w:rPr>
              <w:t>, it is already possible to track onward transactions from recipient organi</w:t>
            </w:r>
            <w:r w:rsidR="00BE4CEC">
              <w:rPr>
                <w:sz w:val="20"/>
                <w:szCs w:val="20"/>
                <w:lang w:val="en-GB"/>
              </w:rPr>
              <w:t>s</w:t>
            </w:r>
            <w:r>
              <w:rPr>
                <w:sz w:val="20"/>
                <w:szCs w:val="20"/>
                <w:lang w:val="en-GB"/>
              </w:rPr>
              <w:t xml:space="preserve">ations to implementing partners. This may provide greater transparency on funding flows through the transaction chain and greater traceability of core funding down to the project-level. However, recipient organisations are not yet reporting this data. </w:t>
            </w:r>
          </w:p>
          <w:p w14:paraId="0112A5A7" w14:textId="54E74233" w:rsidR="00767A42" w:rsidRDefault="00767A42" w:rsidP="00102046">
            <w:pPr>
              <w:spacing w:after="120"/>
              <w:rPr>
                <w:sz w:val="20"/>
                <w:szCs w:val="20"/>
                <w:lang w:val="en-GB"/>
              </w:rPr>
            </w:pPr>
            <w:r>
              <w:rPr>
                <w:sz w:val="20"/>
                <w:szCs w:val="20"/>
                <w:lang w:val="en-GB"/>
              </w:rPr>
              <w:t>IATI provides opportunities for partners to publish results reporting alongside finan</w:t>
            </w:r>
            <w:r w:rsidR="00BE4CEC">
              <w:rPr>
                <w:sz w:val="20"/>
                <w:szCs w:val="20"/>
                <w:lang w:val="en-GB"/>
              </w:rPr>
              <w:t xml:space="preserve">cial reporting, in real or near </w:t>
            </w:r>
            <w:r>
              <w:rPr>
                <w:sz w:val="20"/>
                <w:szCs w:val="20"/>
                <w:lang w:val="en-GB"/>
              </w:rPr>
              <w:t xml:space="preserve">real-time, which could satisfy some donor information requirements. </w:t>
            </w:r>
          </w:p>
          <w:p w14:paraId="4E0E3071" w14:textId="45AC0C8D" w:rsidR="00767A42" w:rsidRDefault="00767A42" w:rsidP="00102046">
            <w:pPr>
              <w:spacing w:after="120"/>
              <w:rPr>
                <w:sz w:val="20"/>
                <w:szCs w:val="20"/>
                <w:lang w:val="en-GB"/>
              </w:rPr>
            </w:pPr>
            <w:r>
              <w:rPr>
                <w:sz w:val="20"/>
                <w:szCs w:val="20"/>
                <w:lang w:val="en-GB"/>
              </w:rPr>
              <w:t xml:space="preserve">These are both downstream solutions however and will not deliver significant volumes of financing data or results information within the near future. </w:t>
            </w:r>
          </w:p>
        </w:tc>
      </w:tr>
      <w:tr w:rsidR="00767A42" w14:paraId="02F0D23D" w14:textId="77777777" w:rsidTr="00BC6CF9">
        <w:tc>
          <w:tcPr>
            <w:tcW w:w="2641" w:type="pct"/>
          </w:tcPr>
          <w:p w14:paraId="62D60C2C" w14:textId="77777777" w:rsidR="00767A42" w:rsidRPr="00767A42" w:rsidRDefault="00767A42" w:rsidP="00767A42">
            <w:pPr>
              <w:spacing w:after="120"/>
              <w:rPr>
                <w:b/>
                <w:i/>
                <w:sz w:val="20"/>
                <w:szCs w:val="20"/>
                <w:lang w:val="en-GB"/>
              </w:rPr>
            </w:pPr>
            <w:r w:rsidRPr="00767A42">
              <w:rPr>
                <w:b/>
                <w:i/>
                <w:sz w:val="20"/>
                <w:szCs w:val="20"/>
                <w:lang w:val="en-GB"/>
              </w:rPr>
              <w:t>Front-line responders</w:t>
            </w:r>
          </w:p>
          <w:p w14:paraId="489DEA72" w14:textId="77777777" w:rsidR="00767A42" w:rsidRPr="00823FB4" w:rsidRDefault="00767A42" w:rsidP="00767A42">
            <w:pPr>
              <w:spacing w:after="120"/>
              <w:rPr>
                <w:b/>
                <w:sz w:val="20"/>
                <w:szCs w:val="20"/>
                <w:lang w:val="en-GB"/>
              </w:rPr>
            </w:pPr>
            <w:r w:rsidRPr="00823FB4">
              <w:rPr>
                <w:sz w:val="20"/>
                <w:szCs w:val="20"/>
                <w:lang w:val="en-GB"/>
              </w:rPr>
              <w:t>Increase and support multi-year investment in the institutional capacities of local and national responders, including preparedness, response and coordination capacities, especially in fragile contexts and where communities are vulnerable to armed conflicts, disasters, recurrent outbreaks and the effects of climate change. We should achieve this through collaboration with development partners and incorporate capacity strengthening in partnership agreements.</w:t>
            </w:r>
          </w:p>
          <w:p w14:paraId="6D37F7EB" w14:textId="77777777" w:rsidR="00767A42" w:rsidRPr="00823FB4" w:rsidRDefault="00767A42" w:rsidP="00767A42">
            <w:pPr>
              <w:spacing w:after="120"/>
              <w:rPr>
                <w:b/>
                <w:sz w:val="20"/>
                <w:szCs w:val="20"/>
                <w:lang w:val="en-GB"/>
              </w:rPr>
            </w:pPr>
            <w:r w:rsidRPr="00823FB4">
              <w:rPr>
                <w:sz w:val="20"/>
                <w:szCs w:val="20"/>
                <w:lang w:val="en-GB"/>
              </w:rPr>
              <w:t>Achieve by 2020 a global, aggregated target of at least 25 per cent of humanitarian funding to local and national responders as directly as possible to improve outcomes for affected people and reduce transactional costs.</w:t>
            </w:r>
          </w:p>
          <w:p w14:paraId="74FC2F19" w14:textId="7ED7C640" w:rsidR="00D85184" w:rsidRPr="00767A42" w:rsidRDefault="00767A42" w:rsidP="00767A42">
            <w:pPr>
              <w:rPr>
                <w:i/>
                <w:sz w:val="20"/>
                <w:szCs w:val="20"/>
                <w:lang w:val="en-GB"/>
              </w:rPr>
            </w:pPr>
            <w:r w:rsidRPr="00823FB4">
              <w:rPr>
                <w:i/>
                <w:sz w:val="20"/>
                <w:szCs w:val="20"/>
                <w:lang w:val="en-GB"/>
              </w:rPr>
              <w:t>(Switzerland/IFRC)</w:t>
            </w:r>
          </w:p>
        </w:tc>
        <w:tc>
          <w:tcPr>
            <w:tcW w:w="2359" w:type="pct"/>
          </w:tcPr>
          <w:p w14:paraId="36DD7BCA" w14:textId="77777777" w:rsidR="00D85184" w:rsidRDefault="00D85184" w:rsidP="00102046">
            <w:pPr>
              <w:spacing w:after="120"/>
              <w:rPr>
                <w:sz w:val="20"/>
                <w:szCs w:val="20"/>
                <w:lang w:val="en-GB"/>
              </w:rPr>
            </w:pPr>
          </w:p>
          <w:p w14:paraId="03EC0836" w14:textId="1899204E" w:rsidR="00767A42" w:rsidRDefault="00767A42" w:rsidP="00102046">
            <w:pPr>
              <w:spacing w:after="120"/>
              <w:rPr>
                <w:sz w:val="20"/>
                <w:szCs w:val="20"/>
                <w:lang w:val="en-GB"/>
              </w:rPr>
            </w:pPr>
            <w:r>
              <w:rPr>
                <w:sz w:val="20"/>
                <w:szCs w:val="20"/>
                <w:lang w:val="en-GB"/>
              </w:rPr>
              <w:t xml:space="preserve">Donors currently have little visibility of whether core funding is used to support multi-year investments in the institutional capacities of local and national responders. </w:t>
            </w:r>
          </w:p>
          <w:p w14:paraId="47FDCA3E" w14:textId="3763B64D" w:rsidR="00767A42" w:rsidRDefault="00767A42" w:rsidP="00102046">
            <w:pPr>
              <w:spacing w:after="120"/>
              <w:rPr>
                <w:sz w:val="20"/>
                <w:szCs w:val="20"/>
                <w:lang w:val="en-GB"/>
              </w:rPr>
            </w:pPr>
            <w:r>
              <w:rPr>
                <w:sz w:val="20"/>
                <w:szCs w:val="20"/>
                <w:lang w:val="en-GB"/>
              </w:rPr>
              <w:t xml:space="preserve">The global target of 25% of funding as directly as possible to local and national responders plus the target of 30% of funds provided as flexible funds together accounts for a large proportion of donor resources. Whether this represents a rational portfolio is not yet known. </w:t>
            </w:r>
          </w:p>
          <w:p w14:paraId="09A7BC56" w14:textId="703C6CC5" w:rsidR="00767A42" w:rsidRDefault="00767A42" w:rsidP="00102046">
            <w:pPr>
              <w:spacing w:after="120"/>
              <w:rPr>
                <w:sz w:val="20"/>
                <w:szCs w:val="20"/>
                <w:lang w:val="en-GB"/>
              </w:rPr>
            </w:pPr>
            <w:r>
              <w:rPr>
                <w:sz w:val="20"/>
                <w:szCs w:val="20"/>
                <w:lang w:val="en-GB"/>
              </w:rPr>
              <w:t xml:space="preserve">If country-based pooled funds are ultimately included in the category of “as directly as possible” </w:t>
            </w:r>
            <w:r>
              <w:rPr>
                <w:i/>
                <w:sz w:val="20"/>
                <w:szCs w:val="20"/>
                <w:lang w:val="en-GB"/>
              </w:rPr>
              <w:t>and</w:t>
            </w:r>
            <w:r>
              <w:rPr>
                <w:sz w:val="20"/>
                <w:szCs w:val="20"/>
                <w:lang w:val="en-GB"/>
              </w:rPr>
              <w:t xml:space="preserve"> “flexible” this provides a “quick-win” for donors in reaching their targets. </w:t>
            </w:r>
          </w:p>
        </w:tc>
      </w:tr>
      <w:tr w:rsidR="00635AE8" w14:paraId="382B86D9" w14:textId="77777777" w:rsidTr="00BC6CF9">
        <w:tc>
          <w:tcPr>
            <w:tcW w:w="2641" w:type="pct"/>
          </w:tcPr>
          <w:p w14:paraId="78E114AF" w14:textId="6DE38651" w:rsidR="00635AE8" w:rsidRDefault="00635AE8" w:rsidP="00BC1942">
            <w:pPr>
              <w:spacing w:after="120"/>
              <w:rPr>
                <w:b/>
                <w:i/>
                <w:sz w:val="20"/>
                <w:szCs w:val="20"/>
                <w:lang w:val="en-GB"/>
              </w:rPr>
            </w:pPr>
            <w:r>
              <w:rPr>
                <w:b/>
                <w:i/>
                <w:sz w:val="20"/>
                <w:szCs w:val="20"/>
                <w:lang w:val="en-GB"/>
              </w:rPr>
              <w:t xml:space="preserve">Reduce duplication and management costs with periodic functional reviews </w:t>
            </w:r>
          </w:p>
          <w:p w14:paraId="68859E75" w14:textId="77777777" w:rsidR="00635AE8" w:rsidRPr="00635AE8" w:rsidRDefault="00635AE8" w:rsidP="00BC1942">
            <w:pPr>
              <w:spacing w:after="120"/>
              <w:rPr>
                <w:sz w:val="20"/>
                <w:szCs w:val="20"/>
                <w:lang w:val="en-GB"/>
              </w:rPr>
            </w:pPr>
            <w:r w:rsidRPr="00635AE8">
              <w:rPr>
                <w:sz w:val="20"/>
                <w:szCs w:val="20"/>
                <w:lang w:val="en-GB"/>
              </w:rPr>
              <w:t>Reduce the costs and measure the gained efficiencies of delivering assistance with technology (including green) and innovation.</w:t>
            </w:r>
          </w:p>
          <w:p w14:paraId="7B1B7B09" w14:textId="77777777" w:rsidR="00635AE8" w:rsidRPr="00635AE8" w:rsidRDefault="00635AE8" w:rsidP="00BC1942">
            <w:pPr>
              <w:spacing w:after="120"/>
              <w:rPr>
                <w:sz w:val="20"/>
                <w:szCs w:val="20"/>
                <w:lang w:val="en-GB"/>
              </w:rPr>
            </w:pPr>
            <w:r w:rsidRPr="00635AE8">
              <w:rPr>
                <w:sz w:val="20"/>
                <w:szCs w:val="20"/>
                <w:lang w:val="en-GB"/>
              </w:rPr>
              <w:t>Provide transparent and comparable cost structures by the end of 2017. We acknowledge that operational management of the Grand Bargain signatories - the United Nations, International Organization for Migration (IOM), the Red Cross and Red Crescent Movement and the NGO sector may require different approaches.</w:t>
            </w:r>
          </w:p>
          <w:p w14:paraId="6E9088C3" w14:textId="739A5D2F" w:rsidR="00635AE8" w:rsidRPr="00BC1942" w:rsidRDefault="00635AE8" w:rsidP="00BC1942">
            <w:pPr>
              <w:spacing w:after="120"/>
              <w:rPr>
                <w:b/>
                <w:i/>
                <w:sz w:val="20"/>
                <w:szCs w:val="20"/>
                <w:lang w:val="en-GB"/>
              </w:rPr>
            </w:pPr>
            <w:r w:rsidRPr="00635AE8">
              <w:rPr>
                <w:sz w:val="20"/>
                <w:szCs w:val="20"/>
                <w:lang w:val="en-GB"/>
              </w:rPr>
              <w:t>Make joint regular functional monitoring and performance reviews and reduce individual donor assessments, evaluations, verifications, risk management and oversight processes.</w:t>
            </w:r>
          </w:p>
        </w:tc>
        <w:tc>
          <w:tcPr>
            <w:tcW w:w="2359" w:type="pct"/>
          </w:tcPr>
          <w:p w14:paraId="725AD73E" w14:textId="77777777" w:rsidR="00635AE8" w:rsidRDefault="00635AE8" w:rsidP="00102046">
            <w:pPr>
              <w:spacing w:after="120"/>
              <w:rPr>
                <w:sz w:val="20"/>
                <w:szCs w:val="20"/>
                <w:lang w:val="en-GB"/>
              </w:rPr>
            </w:pPr>
          </w:p>
          <w:p w14:paraId="5A0A6C86" w14:textId="77777777" w:rsidR="00635AE8" w:rsidRDefault="00635AE8" w:rsidP="00635AE8">
            <w:pPr>
              <w:spacing w:after="120"/>
              <w:rPr>
                <w:sz w:val="20"/>
                <w:szCs w:val="20"/>
                <w:lang w:val="en-GB"/>
              </w:rPr>
            </w:pPr>
            <w:r>
              <w:rPr>
                <w:sz w:val="20"/>
                <w:szCs w:val="20"/>
                <w:lang w:val="en-GB"/>
              </w:rPr>
              <w:t xml:space="preserve">Donors pointed to hopes that progress in this work area would help to build confidence in partner cost-efficiency. </w:t>
            </w:r>
          </w:p>
          <w:p w14:paraId="39DB968E" w14:textId="1C4F273F" w:rsidR="00635AE8" w:rsidRDefault="00635AE8" w:rsidP="00635AE8">
            <w:pPr>
              <w:spacing w:after="120"/>
              <w:rPr>
                <w:sz w:val="20"/>
                <w:szCs w:val="20"/>
                <w:lang w:val="en-GB"/>
              </w:rPr>
            </w:pPr>
            <w:r>
              <w:rPr>
                <w:sz w:val="20"/>
                <w:szCs w:val="20"/>
                <w:lang w:val="en-GB"/>
              </w:rPr>
              <w:t xml:space="preserve">The proposed joint functional performance reviews should be followed closely as there may be opportunities to influence their design and content to provide relevant partner performance-related evidence. </w:t>
            </w:r>
          </w:p>
        </w:tc>
      </w:tr>
      <w:tr w:rsidR="00767A42" w14:paraId="3E149397" w14:textId="77777777" w:rsidTr="00BC6CF9">
        <w:tc>
          <w:tcPr>
            <w:tcW w:w="2641" w:type="pct"/>
          </w:tcPr>
          <w:p w14:paraId="0C170832" w14:textId="77777777" w:rsidR="00BC1942" w:rsidRPr="00BC1942" w:rsidRDefault="00BC1942" w:rsidP="00BC1942">
            <w:pPr>
              <w:spacing w:after="120"/>
              <w:rPr>
                <w:b/>
                <w:i/>
                <w:sz w:val="20"/>
                <w:szCs w:val="20"/>
                <w:lang w:val="en-GB"/>
              </w:rPr>
            </w:pPr>
            <w:r w:rsidRPr="00BC1942">
              <w:rPr>
                <w:b/>
                <w:i/>
                <w:sz w:val="20"/>
                <w:szCs w:val="20"/>
                <w:lang w:val="en-GB"/>
              </w:rPr>
              <w:t xml:space="preserve">More joint and impartial needs assessments </w:t>
            </w:r>
          </w:p>
          <w:p w14:paraId="6AA21644" w14:textId="77777777" w:rsidR="00BC1942" w:rsidRPr="00823FB4" w:rsidRDefault="00BC1942" w:rsidP="00BC1942">
            <w:pPr>
              <w:spacing w:after="120"/>
              <w:rPr>
                <w:b/>
                <w:sz w:val="20"/>
                <w:szCs w:val="20"/>
                <w:lang w:val="en-GB"/>
              </w:rPr>
            </w:pPr>
            <w:r w:rsidRPr="00823FB4">
              <w:rPr>
                <w:sz w:val="20"/>
                <w:szCs w:val="20"/>
                <w:lang w:val="en-GB"/>
              </w:rPr>
              <w:t>Provide a single, comprehensive, cross-sectoral, methodologically sound and impartial overall assessment of needs for each crisis to inform strategic decisions on how to respond and fund thereby reducing the number of assessments and appeals produced by individual organisations.</w:t>
            </w:r>
          </w:p>
          <w:p w14:paraId="6BBE1AF7" w14:textId="2F042590" w:rsidR="00D85184" w:rsidRPr="00BC1942" w:rsidRDefault="00BC1942" w:rsidP="00BC1942">
            <w:pPr>
              <w:pStyle w:val="NormalWeb"/>
              <w:spacing w:before="0" w:beforeAutospacing="0" w:after="120" w:afterAutospacing="0"/>
              <w:rPr>
                <w:rFonts w:asciiTheme="minorHAnsi" w:hAnsiTheme="minorHAnsi"/>
                <w:sz w:val="20"/>
                <w:szCs w:val="20"/>
                <w:lang w:val="en-GB"/>
              </w:rPr>
            </w:pPr>
            <w:r w:rsidRPr="00BC1942">
              <w:rPr>
                <w:rFonts w:asciiTheme="minorHAnsi" w:hAnsiTheme="minorHAnsi"/>
                <w:i/>
                <w:sz w:val="20"/>
                <w:szCs w:val="20"/>
                <w:lang w:val="en-GB"/>
              </w:rPr>
              <w:t>(ECHO/OCHA)</w:t>
            </w:r>
          </w:p>
        </w:tc>
        <w:tc>
          <w:tcPr>
            <w:tcW w:w="2359" w:type="pct"/>
          </w:tcPr>
          <w:p w14:paraId="2B6C3F5F" w14:textId="77777777" w:rsidR="00D85184" w:rsidRDefault="00D85184" w:rsidP="00102046">
            <w:pPr>
              <w:spacing w:after="120"/>
              <w:rPr>
                <w:sz w:val="20"/>
                <w:szCs w:val="20"/>
                <w:lang w:val="en-GB"/>
              </w:rPr>
            </w:pPr>
          </w:p>
          <w:p w14:paraId="771D6765" w14:textId="6D33E4C2" w:rsidR="00BC1942" w:rsidRDefault="00BC1942" w:rsidP="00BC1942">
            <w:pPr>
              <w:spacing w:after="120"/>
              <w:rPr>
                <w:sz w:val="20"/>
                <w:szCs w:val="20"/>
                <w:lang w:val="en-GB"/>
              </w:rPr>
            </w:pPr>
            <w:r>
              <w:rPr>
                <w:sz w:val="20"/>
                <w:szCs w:val="20"/>
                <w:lang w:val="en-GB"/>
              </w:rPr>
              <w:t xml:space="preserve">Several donors noted the anticipated connections between improved needs assessments and discussions on increased transparency around the criteria for allocating flexible financing to crisis response. The pace of progress and anticipated outcomes of this workstream should be monitored to assess whether these expectations will in fact be met and with an acceptable timeframe. </w:t>
            </w:r>
          </w:p>
        </w:tc>
      </w:tr>
      <w:tr w:rsidR="00767A42" w14:paraId="341C2260" w14:textId="77777777" w:rsidTr="00BC6CF9">
        <w:tc>
          <w:tcPr>
            <w:tcW w:w="2641" w:type="pct"/>
          </w:tcPr>
          <w:p w14:paraId="03647E53" w14:textId="77777777" w:rsidR="00BC1942" w:rsidRPr="00BC1942" w:rsidRDefault="00BC1942" w:rsidP="00BC1942">
            <w:pPr>
              <w:spacing w:after="120"/>
              <w:rPr>
                <w:b/>
                <w:i/>
                <w:sz w:val="20"/>
                <w:szCs w:val="20"/>
                <w:lang w:val="en-GB"/>
              </w:rPr>
            </w:pPr>
            <w:r w:rsidRPr="00BC1942">
              <w:rPr>
                <w:b/>
                <w:i/>
                <w:sz w:val="20"/>
                <w:szCs w:val="20"/>
                <w:lang w:val="en-GB"/>
              </w:rPr>
              <w:t xml:space="preserve">More multi-year humanitarian funding </w:t>
            </w:r>
          </w:p>
          <w:p w14:paraId="414EDFAA" w14:textId="77777777" w:rsidR="00BC1942" w:rsidRPr="00823FB4" w:rsidRDefault="00BC1942" w:rsidP="00BC1942">
            <w:pPr>
              <w:spacing w:after="120"/>
              <w:rPr>
                <w:b/>
                <w:sz w:val="20"/>
                <w:szCs w:val="20"/>
                <w:lang w:val="en-GB"/>
              </w:rPr>
            </w:pPr>
            <w:r w:rsidRPr="00823FB4">
              <w:rPr>
                <w:sz w:val="20"/>
                <w:szCs w:val="20"/>
                <w:lang w:val="en-GB"/>
              </w:rPr>
              <w:t>Increase multi-year, collaborative and flexible planning and multi-year funding instruments and document the impacts on programme efficiency and effectiveness, ensuring that recipients apply the same funding arrangements with their implementing partners.</w:t>
            </w:r>
          </w:p>
          <w:p w14:paraId="366ED21C" w14:textId="08CFD5D4" w:rsidR="00D85184" w:rsidRPr="00BC1942" w:rsidRDefault="00BC1942" w:rsidP="00BC1942">
            <w:pPr>
              <w:rPr>
                <w:i/>
                <w:sz w:val="20"/>
                <w:szCs w:val="20"/>
                <w:lang w:val="en-GB"/>
              </w:rPr>
            </w:pPr>
            <w:r w:rsidRPr="00823FB4">
              <w:rPr>
                <w:i/>
                <w:sz w:val="20"/>
                <w:szCs w:val="20"/>
                <w:lang w:val="en-GB"/>
              </w:rPr>
              <w:t>(Canada/UNICEF)</w:t>
            </w:r>
          </w:p>
        </w:tc>
        <w:tc>
          <w:tcPr>
            <w:tcW w:w="2359" w:type="pct"/>
          </w:tcPr>
          <w:p w14:paraId="5649B87F" w14:textId="77777777" w:rsidR="00D85184" w:rsidRDefault="00D85184" w:rsidP="00102046">
            <w:pPr>
              <w:spacing w:after="120"/>
              <w:rPr>
                <w:sz w:val="20"/>
                <w:szCs w:val="20"/>
                <w:lang w:val="en-GB"/>
              </w:rPr>
            </w:pPr>
          </w:p>
          <w:p w14:paraId="547F563C" w14:textId="0A9258FB" w:rsidR="00BC1942" w:rsidRDefault="00BC1942" w:rsidP="00BC1942">
            <w:pPr>
              <w:spacing w:after="120"/>
              <w:rPr>
                <w:sz w:val="20"/>
                <w:szCs w:val="20"/>
                <w:lang w:val="en-GB"/>
              </w:rPr>
            </w:pPr>
            <w:r>
              <w:rPr>
                <w:sz w:val="20"/>
                <w:szCs w:val="20"/>
                <w:lang w:val="en-GB"/>
              </w:rPr>
              <w:t xml:space="preserve">For a growing number of donors, their flexible funding commitments are also multi-year. Discussions on these two workstream areas are clearly inter-linked. Advocates for increasing flexible financing should engage with actors seeking to document the impacts of multi-year financing on effectiveness and efficiency as findings will be mutually beneficial. </w:t>
            </w:r>
          </w:p>
        </w:tc>
      </w:tr>
      <w:tr w:rsidR="00285077" w14:paraId="67FADCC8" w14:textId="77777777" w:rsidTr="00BC6CF9">
        <w:tc>
          <w:tcPr>
            <w:tcW w:w="2641" w:type="pct"/>
          </w:tcPr>
          <w:p w14:paraId="1DF4E277" w14:textId="56A0A1BB" w:rsidR="00285077" w:rsidRDefault="00285077" w:rsidP="00BC1942">
            <w:pPr>
              <w:spacing w:after="120"/>
              <w:rPr>
                <w:b/>
                <w:i/>
                <w:sz w:val="20"/>
                <w:szCs w:val="20"/>
                <w:lang w:val="en-GB"/>
              </w:rPr>
            </w:pPr>
            <w:r>
              <w:rPr>
                <w:b/>
                <w:i/>
                <w:sz w:val="20"/>
                <w:szCs w:val="20"/>
                <w:lang w:val="en-GB"/>
              </w:rPr>
              <w:t xml:space="preserve">Harmonise and simplify reporting requirements </w:t>
            </w:r>
          </w:p>
          <w:p w14:paraId="5FEEC67D" w14:textId="77777777" w:rsidR="00285077" w:rsidRPr="00285077" w:rsidRDefault="00285077" w:rsidP="00285077">
            <w:pPr>
              <w:spacing w:after="120"/>
              <w:rPr>
                <w:sz w:val="20"/>
                <w:szCs w:val="20"/>
                <w:lang w:val="en-GB"/>
              </w:rPr>
            </w:pPr>
            <w:r w:rsidRPr="00285077">
              <w:rPr>
                <w:sz w:val="20"/>
                <w:szCs w:val="20"/>
                <w:lang w:val="en-GB"/>
              </w:rPr>
              <w:t>Simplify and harmonise reporting requirements by the end of 2018 by reducing its volume, jointly deciding on common terminology, identifying core requirements and developing a common report structure.</w:t>
            </w:r>
          </w:p>
          <w:p w14:paraId="6641A2CB" w14:textId="1E3EB15E" w:rsidR="00285077" w:rsidRPr="00285077" w:rsidRDefault="00285077" w:rsidP="00285077">
            <w:pPr>
              <w:spacing w:after="120"/>
              <w:rPr>
                <w:sz w:val="20"/>
                <w:szCs w:val="20"/>
                <w:lang w:val="en-GB"/>
              </w:rPr>
            </w:pPr>
            <w:r w:rsidRPr="00285077">
              <w:rPr>
                <w:sz w:val="20"/>
                <w:szCs w:val="20"/>
                <w:lang w:val="en-GB"/>
              </w:rPr>
              <w:t>Invest in technology and reporting systems to enable better access to information.</w:t>
            </w:r>
          </w:p>
          <w:p w14:paraId="38C5A026" w14:textId="77777777" w:rsidR="00285077" w:rsidRDefault="00285077" w:rsidP="00285077">
            <w:pPr>
              <w:spacing w:after="120"/>
              <w:rPr>
                <w:sz w:val="20"/>
                <w:szCs w:val="20"/>
                <w:lang w:val="en-GB"/>
              </w:rPr>
            </w:pPr>
            <w:r w:rsidRPr="00285077">
              <w:rPr>
                <w:sz w:val="20"/>
                <w:szCs w:val="20"/>
                <w:lang w:val="en-GB"/>
              </w:rPr>
              <w:t>Enhance the quality of reporting to better capture results, enable learning and increase the efficiency of reporting.</w:t>
            </w:r>
          </w:p>
          <w:p w14:paraId="297E6E04" w14:textId="109D9E29" w:rsidR="00285077" w:rsidRPr="00285077" w:rsidRDefault="00285077" w:rsidP="00285077">
            <w:pPr>
              <w:spacing w:after="120"/>
              <w:rPr>
                <w:i/>
                <w:sz w:val="20"/>
                <w:szCs w:val="20"/>
                <w:lang w:val="en-GB"/>
              </w:rPr>
            </w:pPr>
            <w:r>
              <w:rPr>
                <w:i/>
                <w:sz w:val="20"/>
                <w:szCs w:val="20"/>
                <w:lang w:val="en-GB"/>
              </w:rPr>
              <w:t xml:space="preserve">(ICVA/Germany) </w:t>
            </w:r>
          </w:p>
        </w:tc>
        <w:tc>
          <w:tcPr>
            <w:tcW w:w="2359" w:type="pct"/>
          </w:tcPr>
          <w:p w14:paraId="66272409" w14:textId="77777777" w:rsidR="00285077" w:rsidRDefault="00285077" w:rsidP="00102046">
            <w:pPr>
              <w:spacing w:after="120"/>
              <w:rPr>
                <w:sz w:val="20"/>
                <w:szCs w:val="20"/>
                <w:lang w:val="en-GB"/>
              </w:rPr>
            </w:pPr>
          </w:p>
          <w:p w14:paraId="67B1CAB5" w14:textId="669475C6" w:rsidR="00285077" w:rsidRDefault="00285077" w:rsidP="00285077">
            <w:pPr>
              <w:spacing w:after="120"/>
              <w:rPr>
                <w:sz w:val="20"/>
                <w:szCs w:val="20"/>
                <w:lang w:val="en-GB"/>
              </w:rPr>
            </w:pPr>
            <w:r>
              <w:rPr>
                <w:sz w:val="20"/>
                <w:szCs w:val="20"/>
                <w:lang w:val="en-GB"/>
              </w:rPr>
              <w:t xml:space="preserve">The current dialogue process should provide a good opportunity to identify harmonised core requirements, reducing the need for ad hoc requests. Actors working under this workstream should liaise closely with the reporting workstream leads to ensure that information requirements identified for flexible financing feed into the commitment to enhancing the quality of reporting. </w:t>
            </w:r>
          </w:p>
          <w:p w14:paraId="724F519D" w14:textId="2ABA6D94" w:rsidR="00285077" w:rsidRDefault="00285077" w:rsidP="00285077">
            <w:pPr>
              <w:spacing w:after="120"/>
              <w:rPr>
                <w:sz w:val="20"/>
                <w:szCs w:val="20"/>
                <w:lang w:val="en-GB"/>
              </w:rPr>
            </w:pPr>
            <w:r>
              <w:rPr>
                <w:sz w:val="20"/>
                <w:szCs w:val="20"/>
                <w:lang w:val="en-GB"/>
              </w:rPr>
              <w:t>There is a significant risk that the proposed information requirements outlined above will overall add to the burden of reporting if not managed carefully.</w:t>
            </w:r>
          </w:p>
        </w:tc>
      </w:tr>
    </w:tbl>
    <w:p w14:paraId="78042378" w14:textId="77777777" w:rsidR="003379E6" w:rsidRDefault="003379E6">
      <w:pPr>
        <w:rPr>
          <w:rFonts w:ascii="Calibri" w:hAnsi="Calibri"/>
          <w:sz w:val="22"/>
          <w:szCs w:val="22"/>
          <w:lang w:val="en-GB"/>
        </w:rPr>
        <w:sectPr w:rsidR="003379E6" w:rsidSect="00BC6CF9">
          <w:pgSz w:w="16840" w:h="11900" w:orient="landscape"/>
          <w:pgMar w:top="1440" w:right="1440" w:bottom="1440" w:left="1440" w:header="720" w:footer="720" w:gutter="0"/>
          <w:cols w:space="720"/>
          <w:docGrid w:linePitch="360"/>
        </w:sectPr>
      </w:pPr>
    </w:p>
    <w:p w14:paraId="60D92A03" w14:textId="2ABB8C5A" w:rsidR="003379E6" w:rsidRDefault="003379E6" w:rsidP="00596B86">
      <w:pPr>
        <w:rPr>
          <w:rFonts w:ascii="Calibri" w:hAnsi="Calibri"/>
          <w:sz w:val="22"/>
          <w:szCs w:val="22"/>
          <w:lang w:val="en-GB"/>
        </w:rPr>
      </w:pPr>
    </w:p>
    <w:sectPr w:rsidR="003379E6">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4D8C8" w14:textId="77777777" w:rsidR="00AD03CC" w:rsidRDefault="00AD03CC" w:rsidP="002A783B">
      <w:r>
        <w:separator/>
      </w:r>
    </w:p>
  </w:endnote>
  <w:endnote w:type="continuationSeparator" w:id="0">
    <w:p w14:paraId="1122F6F4" w14:textId="77777777" w:rsidR="00AD03CC" w:rsidRDefault="00AD03CC" w:rsidP="002A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Yu Mincho">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TimesNewRomanPS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DCA85" w14:textId="77777777" w:rsidR="00663554" w:rsidRDefault="00663554" w:rsidP="00F877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C1D38F" w14:textId="77777777" w:rsidR="00663554" w:rsidRDefault="00663554" w:rsidP="001020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7137C" w14:textId="28AB6E0E" w:rsidR="00663554" w:rsidRDefault="00663554" w:rsidP="00F877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5EC6">
      <w:rPr>
        <w:rStyle w:val="PageNumber"/>
        <w:noProof/>
      </w:rPr>
      <w:t>1</w:t>
    </w:r>
    <w:r>
      <w:rPr>
        <w:rStyle w:val="PageNumber"/>
      </w:rPr>
      <w:fldChar w:fldCharType="end"/>
    </w:r>
  </w:p>
  <w:p w14:paraId="48F5F865" w14:textId="77777777" w:rsidR="00663554" w:rsidRDefault="00663554" w:rsidP="0010204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51DC6" w14:textId="2841068D" w:rsidR="00663554" w:rsidRDefault="00663554" w:rsidP="00B715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81E8D" w14:textId="77777777" w:rsidR="00AD03CC" w:rsidRDefault="00AD03CC" w:rsidP="002A783B">
      <w:r>
        <w:separator/>
      </w:r>
    </w:p>
  </w:footnote>
  <w:footnote w:type="continuationSeparator" w:id="0">
    <w:p w14:paraId="1048E3E1" w14:textId="77777777" w:rsidR="00AD03CC" w:rsidRDefault="00AD03CC" w:rsidP="002A783B">
      <w:r>
        <w:continuationSeparator/>
      </w:r>
    </w:p>
  </w:footnote>
  <w:footnote w:id="1">
    <w:p w14:paraId="6DDE3788" w14:textId="3BC1E602" w:rsidR="00663554" w:rsidRPr="00836607" w:rsidRDefault="00663554" w:rsidP="00776805">
      <w:pPr>
        <w:pStyle w:val="FootnoteText"/>
        <w:rPr>
          <w:rFonts w:ascii="Calibri" w:hAnsi="Calibri"/>
        </w:rPr>
      </w:pPr>
      <w:r w:rsidRPr="00836607">
        <w:rPr>
          <w:rFonts w:ascii="Calibri" w:hAnsi="Calibri" w:cs="TimesNewRomanPSMT"/>
          <w:sz w:val="18"/>
          <w:szCs w:val="18"/>
          <w:vertAlign w:val="superscript"/>
          <w:lang w:val="en-US"/>
        </w:rPr>
        <w:footnoteRef/>
      </w:r>
      <w:r w:rsidRPr="00836607">
        <w:rPr>
          <w:rFonts w:ascii="Calibri" w:hAnsi="Calibri" w:cs="TimesNewRomanPSMT"/>
          <w:sz w:val="18"/>
          <w:szCs w:val="18"/>
          <w:vertAlign w:val="superscript"/>
          <w:lang w:val="en-US"/>
        </w:rPr>
        <w:t xml:space="preserve"> </w:t>
      </w:r>
      <w:r w:rsidRPr="00836607">
        <w:rPr>
          <w:rFonts w:ascii="Calibri" w:hAnsi="Calibri" w:cs="TimesNewRomanPSMT"/>
          <w:sz w:val="18"/>
          <w:szCs w:val="18"/>
          <w:lang w:val="en-US"/>
        </w:rPr>
        <w:t>Completely un-earmarked voluntary contributions to UN agencies are also known as multilateral Official Development Assistance (ODA) or ‘core’ contributions to multilateral agencies. Bilateral humanitarian contributions to these UN agencies have grown sharply during this period (from USD 245 million in 2004, to USD 7 billion in 2014), but the volume of multilateral ODA they received remained relatively static in comparison, only growing by 39% in real terms across the period, from USD 710 million in 2004, to USD 988 in 2014.</w:t>
      </w:r>
    </w:p>
  </w:footnote>
  <w:footnote w:id="2">
    <w:p w14:paraId="6BC11114" w14:textId="5B6373BC" w:rsidR="00663554" w:rsidRPr="00836607" w:rsidRDefault="00663554" w:rsidP="00836607">
      <w:pPr>
        <w:pStyle w:val="NormalWeb"/>
        <w:spacing w:before="0" w:beforeAutospacing="0" w:after="0" w:afterAutospacing="0"/>
        <w:rPr>
          <w:rFonts w:ascii="Calibri" w:hAnsi="Calibri"/>
          <w:sz w:val="18"/>
          <w:szCs w:val="18"/>
          <w:lang w:val="en-GB"/>
        </w:rPr>
      </w:pPr>
      <w:r w:rsidRPr="00836607">
        <w:rPr>
          <w:rStyle w:val="FootnoteReference"/>
          <w:rFonts w:ascii="Calibri" w:hAnsi="Calibri"/>
          <w:sz w:val="18"/>
          <w:szCs w:val="18"/>
          <w:lang w:val="en-GB"/>
        </w:rPr>
        <w:footnoteRef/>
      </w:r>
      <w:r w:rsidRPr="00836607">
        <w:rPr>
          <w:rFonts w:ascii="Calibri" w:hAnsi="Calibri"/>
          <w:sz w:val="18"/>
          <w:szCs w:val="18"/>
          <w:lang w:val="en-GB"/>
        </w:rPr>
        <w:t xml:space="preserve"> A 2014 OECD DAC survey of OECD donors found for example “</w:t>
      </w:r>
      <w:r w:rsidRPr="00836607">
        <w:rPr>
          <w:rFonts w:ascii="Calibri" w:hAnsi="Calibri" w:cs="TimesNewRomanPSMT"/>
          <w:sz w:val="18"/>
          <w:szCs w:val="18"/>
          <w:lang w:val="en-GB"/>
        </w:rPr>
        <w:t>In their responses to the Survey, the reason for using earmarked funding most cited (mentioned by 14 out of 22 members) is the additional influence it allows in shaping a multilateral organisation’s development agenda.</w:t>
      </w:r>
      <w:r w:rsidRPr="00836607">
        <w:rPr>
          <w:rFonts w:ascii="Calibri" w:hAnsi="Calibri" w:cs="TimesNewRomanPSMT"/>
          <w:position w:val="266"/>
          <w:sz w:val="18"/>
          <w:szCs w:val="18"/>
          <w:lang w:val="en-GB"/>
        </w:rPr>
        <w:t xml:space="preserve"> </w:t>
      </w:r>
      <w:r w:rsidRPr="00836607">
        <w:rPr>
          <w:rFonts w:ascii="Calibri" w:hAnsi="Calibri" w:cs="TimesNewRomanPSMT"/>
          <w:sz w:val="18"/>
          <w:szCs w:val="18"/>
          <w:lang w:val="en-GB"/>
        </w:rPr>
        <w:t xml:space="preserve">In particular, DAC members report that earmarked contributions provide a means to align an organisation’s agenda to their own priorities, to address priorities that are not adequately covered by core funding, and to design more innovative programmes…..The second most cited reason for using earmarked funding (mentioned by 8 out of 22 members) is that it provides greater visibility to donor resources.” (Totora &amp; Steensen, 2014) </w:t>
      </w:r>
    </w:p>
  </w:footnote>
  <w:footnote w:id="3">
    <w:p w14:paraId="5CE0BD0E" w14:textId="77777777" w:rsidR="00663554" w:rsidRPr="00836607" w:rsidRDefault="00663554" w:rsidP="005D457D">
      <w:pPr>
        <w:pStyle w:val="FootnoteText"/>
        <w:rPr>
          <w:rFonts w:ascii="Calibri" w:hAnsi="Calibri"/>
          <w:sz w:val="18"/>
          <w:szCs w:val="18"/>
        </w:rPr>
      </w:pPr>
      <w:r w:rsidRPr="00836607">
        <w:rPr>
          <w:rStyle w:val="FootnoteReference"/>
          <w:rFonts w:ascii="Calibri" w:hAnsi="Calibri"/>
          <w:sz w:val="18"/>
          <w:szCs w:val="18"/>
        </w:rPr>
        <w:footnoteRef/>
      </w:r>
      <w:r w:rsidRPr="00836607">
        <w:rPr>
          <w:rFonts w:ascii="Calibri" w:hAnsi="Calibri"/>
          <w:sz w:val="18"/>
          <w:szCs w:val="18"/>
        </w:rPr>
        <w:t xml:space="preserve"> See </w:t>
      </w:r>
      <w:hyperlink r:id="rId1" w:history="1">
        <w:r w:rsidRPr="00836607">
          <w:rPr>
            <w:rStyle w:val="Hyperlink"/>
            <w:rFonts w:ascii="Calibri" w:hAnsi="Calibri"/>
            <w:sz w:val="18"/>
            <w:szCs w:val="18"/>
            <w:lang w:val="en-US"/>
          </w:rPr>
          <w:t>https://www.unicef.org/publicpartnerships/66662_66851.html</w:t>
        </w:r>
      </w:hyperlink>
    </w:p>
  </w:footnote>
  <w:footnote w:id="4">
    <w:p w14:paraId="50BF1E49" w14:textId="2C9D6EB4" w:rsidR="00663554" w:rsidRPr="00052C0D" w:rsidRDefault="00663554" w:rsidP="00052C0D">
      <w:pPr>
        <w:jc w:val="both"/>
        <w:rPr>
          <w:rFonts w:ascii="Calibri" w:hAnsi="Calibri"/>
          <w:sz w:val="18"/>
          <w:szCs w:val="18"/>
          <w:lang w:val="en-GB"/>
        </w:rPr>
      </w:pPr>
      <w:r w:rsidRPr="00052C0D">
        <w:rPr>
          <w:rStyle w:val="FootnoteReference"/>
          <w:rFonts w:ascii="Calibri" w:hAnsi="Calibri"/>
          <w:sz w:val="18"/>
          <w:szCs w:val="18"/>
        </w:rPr>
        <w:footnoteRef/>
      </w:r>
      <w:r w:rsidRPr="00052C0D">
        <w:rPr>
          <w:rFonts w:ascii="Calibri" w:hAnsi="Calibri"/>
          <w:sz w:val="18"/>
          <w:szCs w:val="18"/>
        </w:rPr>
        <w:t xml:space="preserve"> The UK government’s latest Multilateral Aid Review states for example that: </w:t>
      </w:r>
      <w:r w:rsidRPr="00052C0D">
        <w:rPr>
          <w:rFonts w:ascii="Calibri" w:hAnsi="Calibri"/>
          <w:sz w:val="18"/>
          <w:szCs w:val="18"/>
          <w:lang w:val="en-GB"/>
        </w:rPr>
        <w:t xml:space="preserve">“From now on, up to 30% of DFID’s core funding to UN humanitarian and development agencies will be set aside and allocated according to performance. Funds will only be disbursed to agencies that meet pre-agreed performance targets. Some of these targets will be joint, to encourage collaboration or where success depends on the combined actions of different agencies, for example on nutrition.” (DFID, 2016) </w:t>
      </w:r>
    </w:p>
  </w:footnote>
  <w:footnote w:id="5">
    <w:p w14:paraId="1CB6B853" w14:textId="10A3BA2E" w:rsidR="00663554" w:rsidRPr="00762564" w:rsidRDefault="00663554">
      <w:pPr>
        <w:pStyle w:val="FootnoteText"/>
        <w:rPr>
          <w:rFonts w:ascii="Calibri" w:hAnsi="Calibri"/>
          <w:sz w:val="18"/>
          <w:szCs w:val="18"/>
          <w:lang w:val="en-US"/>
        </w:rPr>
      </w:pPr>
      <w:r w:rsidRPr="00762564">
        <w:rPr>
          <w:rStyle w:val="FootnoteReference"/>
          <w:rFonts w:ascii="Calibri" w:hAnsi="Calibri"/>
          <w:sz w:val="18"/>
          <w:szCs w:val="18"/>
        </w:rPr>
        <w:footnoteRef/>
      </w:r>
      <w:r w:rsidRPr="00762564">
        <w:rPr>
          <w:rFonts w:ascii="Calibri" w:hAnsi="Calibri"/>
          <w:sz w:val="18"/>
          <w:szCs w:val="18"/>
        </w:rPr>
        <w:t xml:space="preserve"> </w:t>
      </w:r>
      <w:r w:rsidRPr="00762564">
        <w:rPr>
          <w:rFonts w:ascii="Calibri" w:hAnsi="Calibri"/>
          <w:sz w:val="18"/>
          <w:szCs w:val="18"/>
          <w:lang w:val="en-US"/>
        </w:rPr>
        <w:t>11 donors provide 100% of their funding to OCHA as un-earmarked contributions. However, these are relatively small donors such as Denmark, Finland, New Zealand, Monaco</w:t>
      </w:r>
      <w:r>
        <w:rPr>
          <w:rFonts w:ascii="Calibri" w:hAnsi="Calibri"/>
          <w:sz w:val="18"/>
          <w:szCs w:val="18"/>
          <w:lang w:val="en-US"/>
        </w:rPr>
        <w:t>,</w:t>
      </w:r>
      <w:r w:rsidRPr="00762564">
        <w:rPr>
          <w:rFonts w:ascii="Calibri" w:hAnsi="Calibri"/>
          <w:sz w:val="18"/>
          <w:szCs w:val="18"/>
          <w:lang w:val="en-US"/>
        </w:rPr>
        <w:t xml:space="preserve"> etc.</w:t>
      </w:r>
      <w:r>
        <w:rPr>
          <w:rFonts w:ascii="Calibri" w:hAnsi="Calibri"/>
          <w:sz w:val="18"/>
          <w:szCs w:val="18"/>
          <w:lang w:val="en-US"/>
        </w:rPr>
        <w:t xml:space="preserve"> The UK, which is by far the largest donor to OCHA, provided 74% of its contribution of USD 31.5 million as un-earmarked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98A39" w14:textId="77777777" w:rsidR="00663554" w:rsidRDefault="00663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2755"/>
    <w:multiLevelType w:val="hybridMultilevel"/>
    <w:tmpl w:val="95F6A1A0"/>
    <w:lvl w:ilvl="0" w:tplc="6D329774">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B25E9"/>
    <w:multiLevelType w:val="hybridMultilevel"/>
    <w:tmpl w:val="496AECCA"/>
    <w:lvl w:ilvl="0" w:tplc="6D32977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754FF"/>
    <w:multiLevelType w:val="multilevel"/>
    <w:tmpl w:val="263412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1E5C1F"/>
    <w:multiLevelType w:val="hybridMultilevel"/>
    <w:tmpl w:val="AC3A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52045"/>
    <w:multiLevelType w:val="hybridMultilevel"/>
    <w:tmpl w:val="1B748AA2"/>
    <w:lvl w:ilvl="0" w:tplc="81AAF320">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AD45BA2"/>
    <w:multiLevelType w:val="hybridMultilevel"/>
    <w:tmpl w:val="5DAE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C66FB"/>
    <w:multiLevelType w:val="hybridMultilevel"/>
    <w:tmpl w:val="212CF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E2ED0"/>
    <w:multiLevelType w:val="hybridMultilevel"/>
    <w:tmpl w:val="3D0455F2"/>
    <w:lvl w:ilvl="0" w:tplc="254A01EA">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E1BCE"/>
    <w:multiLevelType w:val="hybridMultilevel"/>
    <w:tmpl w:val="00F61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E40042"/>
    <w:multiLevelType w:val="multilevel"/>
    <w:tmpl w:val="05EC7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E95DBE"/>
    <w:multiLevelType w:val="hybridMultilevel"/>
    <w:tmpl w:val="1E88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715594"/>
    <w:multiLevelType w:val="hybridMultilevel"/>
    <w:tmpl w:val="00F61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FB1337"/>
    <w:multiLevelType w:val="hybridMultilevel"/>
    <w:tmpl w:val="C3F6406C"/>
    <w:lvl w:ilvl="0" w:tplc="6D32977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D775E8"/>
    <w:multiLevelType w:val="hybridMultilevel"/>
    <w:tmpl w:val="231E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44024D"/>
    <w:multiLevelType w:val="hybridMultilevel"/>
    <w:tmpl w:val="F830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5E62AF"/>
    <w:multiLevelType w:val="hybridMultilevel"/>
    <w:tmpl w:val="B04A7B16"/>
    <w:lvl w:ilvl="0" w:tplc="254A01EA">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0A5E94"/>
    <w:multiLevelType w:val="hybridMultilevel"/>
    <w:tmpl w:val="4A482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066D3B"/>
    <w:multiLevelType w:val="hybridMultilevel"/>
    <w:tmpl w:val="A44A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230A4C"/>
    <w:multiLevelType w:val="multilevel"/>
    <w:tmpl w:val="5AC0E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BF7963"/>
    <w:multiLevelType w:val="hybridMultilevel"/>
    <w:tmpl w:val="93C675CA"/>
    <w:lvl w:ilvl="0" w:tplc="06EE1D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486F8B"/>
    <w:multiLevelType w:val="hybridMultilevel"/>
    <w:tmpl w:val="00F61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13"/>
  </w:num>
  <w:num w:numId="4">
    <w:abstractNumId w:val="2"/>
  </w:num>
  <w:num w:numId="5">
    <w:abstractNumId w:val="15"/>
  </w:num>
  <w:num w:numId="6">
    <w:abstractNumId w:val="7"/>
  </w:num>
  <w:num w:numId="7">
    <w:abstractNumId w:val="14"/>
  </w:num>
  <w:num w:numId="8">
    <w:abstractNumId w:val="19"/>
  </w:num>
  <w:num w:numId="9">
    <w:abstractNumId w:val="20"/>
  </w:num>
  <w:num w:numId="10">
    <w:abstractNumId w:val="8"/>
  </w:num>
  <w:num w:numId="11">
    <w:abstractNumId w:val="5"/>
  </w:num>
  <w:num w:numId="12">
    <w:abstractNumId w:val="3"/>
  </w:num>
  <w:num w:numId="13">
    <w:abstractNumId w:val="6"/>
  </w:num>
  <w:num w:numId="14">
    <w:abstractNumId w:val="9"/>
  </w:num>
  <w:num w:numId="15">
    <w:abstractNumId w:val="17"/>
  </w:num>
  <w:num w:numId="16">
    <w:abstractNumId w:val="12"/>
  </w:num>
  <w:num w:numId="17">
    <w:abstractNumId w:val="0"/>
  </w:num>
  <w:num w:numId="18">
    <w:abstractNumId w:val="1"/>
  </w:num>
  <w:num w:numId="19">
    <w:abstractNumId w:val="16"/>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9C"/>
    <w:rsid w:val="00005260"/>
    <w:rsid w:val="0000719D"/>
    <w:rsid w:val="000264D6"/>
    <w:rsid w:val="00026FB7"/>
    <w:rsid w:val="00043927"/>
    <w:rsid w:val="00052A0F"/>
    <w:rsid w:val="00052C0D"/>
    <w:rsid w:val="00056A0E"/>
    <w:rsid w:val="00080B5D"/>
    <w:rsid w:val="00087D47"/>
    <w:rsid w:val="00092941"/>
    <w:rsid w:val="000A07A0"/>
    <w:rsid w:val="000C36B6"/>
    <w:rsid w:val="000C5F5E"/>
    <w:rsid w:val="000D2939"/>
    <w:rsid w:val="000D4401"/>
    <w:rsid w:val="000E0DE3"/>
    <w:rsid w:val="000F468B"/>
    <w:rsid w:val="001009CB"/>
    <w:rsid w:val="00102046"/>
    <w:rsid w:val="001050D4"/>
    <w:rsid w:val="00136F20"/>
    <w:rsid w:val="00137F10"/>
    <w:rsid w:val="00153B12"/>
    <w:rsid w:val="00155D15"/>
    <w:rsid w:val="00162AD5"/>
    <w:rsid w:val="00173847"/>
    <w:rsid w:val="001746A0"/>
    <w:rsid w:val="00182FE3"/>
    <w:rsid w:val="001938F3"/>
    <w:rsid w:val="001A78EB"/>
    <w:rsid w:val="001B5EC6"/>
    <w:rsid w:val="001B7CF1"/>
    <w:rsid w:val="001C7DCC"/>
    <w:rsid w:val="001D0937"/>
    <w:rsid w:val="001D46BF"/>
    <w:rsid w:val="001E6EEA"/>
    <w:rsid w:val="001F03CC"/>
    <w:rsid w:val="001F167C"/>
    <w:rsid w:val="001F4244"/>
    <w:rsid w:val="001F6984"/>
    <w:rsid w:val="0020037B"/>
    <w:rsid w:val="002053B3"/>
    <w:rsid w:val="00205AE1"/>
    <w:rsid w:val="00206301"/>
    <w:rsid w:val="00206344"/>
    <w:rsid w:val="00213869"/>
    <w:rsid w:val="00215E87"/>
    <w:rsid w:val="00227E6D"/>
    <w:rsid w:val="0023096E"/>
    <w:rsid w:val="002348B4"/>
    <w:rsid w:val="002369CB"/>
    <w:rsid w:val="0024028E"/>
    <w:rsid w:val="00242FC0"/>
    <w:rsid w:val="002434F5"/>
    <w:rsid w:val="00260DE8"/>
    <w:rsid w:val="00265C65"/>
    <w:rsid w:val="00266DDE"/>
    <w:rsid w:val="0027345E"/>
    <w:rsid w:val="00281FB7"/>
    <w:rsid w:val="00285077"/>
    <w:rsid w:val="00295899"/>
    <w:rsid w:val="002A244D"/>
    <w:rsid w:val="002A47AA"/>
    <w:rsid w:val="002A783B"/>
    <w:rsid w:val="002A7E1A"/>
    <w:rsid w:val="002B57B7"/>
    <w:rsid w:val="002B6B44"/>
    <w:rsid w:val="002C4A0C"/>
    <w:rsid w:val="002D0210"/>
    <w:rsid w:val="002F3E46"/>
    <w:rsid w:val="0031077D"/>
    <w:rsid w:val="00322B84"/>
    <w:rsid w:val="003301C7"/>
    <w:rsid w:val="003333AC"/>
    <w:rsid w:val="003379E6"/>
    <w:rsid w:val="00345F41"/>
    <w:rsid w:val="0035356F"/>
    <w:rsid w:val="00363396"/>
    <w:rsid w:val="00365126"/>
    <w:rsid w:val="00370EA4"/>
    <w:rsid w:val="003831CD"/>
    <w:rsid w:val="00387A42"/>
    <w:rsid w:val="00392984"/>
    <w:rsid w:val="00394035"/>
    <w:rsid w:val="003A092A"/>
    <w:rsid w:val="003A0CC6"/>
    <w:rsid w:val="003A6200"/>
    <w:rsid w:val="003B126C"/>
    <w:rsid w:val="003B6049"/>
    <w:rsid w:val="003C6B8D"/>
    <w:rsid w:val="003C72B0"/>
    <w:rsid w:val="003D064B"/>
    <w:rsid w:val="003D7AC8"/>
    <w:rsid w:val="003E571B"/>
    <w:rsid w:val="003F5492"/>
    <w:rsid w:val="003F74A2"/>
    <w:rsid w:val="00410DDD"/>
    <w:rsid w:val="00411936"/>
    <w:rsid w:val="00412990"/>
    <w:rsid w:val="00416C9C"/>
    <w:rsid w:val="00425375"/>
    <w:rsid w:val="00442129"/>
    <w:rsid w:val="004421D1"/>
    <w:rsid w:val="004432C9"/>
    <w:rsid w:val="00446AD7"/>
    <w:rsid w:val="00447BA6"/>
    <w:rsid w:val="00454CCE"/>
    <w:rsid w:val="00465537"/>
    <w:rsid w:val="00473D9C"/>
    <w:rsid w:val="0049204D"/>
    <w:rsid w:val="004929DD"/>
    <w:rsid w:val="004A6586"/>
    <w:rsid w:val="004A66B9"/>
    <w:rsid w:val="004B043C"/>
    <w:rsid w:val="005027D0"/>
    <w:rsid w:val="00514841"/>
    <w:rsid w:val="00517250"/>
    <w:rsid w:val="00537549"/>
    <w:rsid w:val="0054389A"/>
    <w:rsid w:val="00546839"/>
    <w:rsid w:val="00550298"/>
    <w:rsid w:val="005507A5"/>
    <w:rsid w:val="005773E7"/>
    <w:rsid w:val="00587B87"/>
    <w:rsid w:val="00590391"/>
    <w:rsid w:val="00596B86"/>
    <w:rsid w:val="00597F35"/>
    <w:rsid w:val="005B263E"/>
    <w:rsid w:val="005C4C67"/>
    <w:rsid w:val="005D457D"/>
    <w:rsid w:val="005D679B"/>
    <w:rsid w:val="005E66FA"/>
    <w:rsid w:val="005F3DDA"/>
    <w:rsid w:val="0061600E"/>
    <w:rsid w:val="00624464"/>
    <w:rsid w:val="00634F94"/>
    <w:rsid w:val="00635AE8"/>
    <w:rsid w:val="00651AE8"/>
    <w:rsid w:val="00660B12"/>
    <w:rsid w:val="00663554"/>
    <w:rsid w:val="00664869"/>
    <w:rsid w:val="00665786"/>
    <w:rsid w:val="006729AD"/>
    <w:rsid w:val="0068080E"/>
    <w:rsid w:val="00687CB1"/>
    <w:rsid w:val="006A31C3"/>
    <w:rsid w:val="006B1300"/>
    <w:rsid w:val="006C5576"/>
    <w:rsid w:val="006D5745"/>
    <w:rsid w:val="006E110B"/>
    <w:rsid w:val="006E2B1D"/>
    <w:rsid w:val="006F030F"/>
    <w:rsid w:val="006F0FEF"/>
    <w:rsid w:val="007237A4"/>
    <w:rsid w:val="00723C45"/>
    <w:rsid w:val="00726849"/>
    <w:rsid w:val="00727171"/>
    <w:rsid w:val="00727FE7"/>
    <w:rsid w:val="00730578"/>
    <w:rsid w:val="00731EC1"/>
    <w:rsid w:val="00750560"/>
    <w:rsid w:val="007576CC"/>
    <w:rsid w:val="00762564"/>
    <w:rsid w:val="00765121"/>
    <w:rsid w:val="00767A42"/>
    <w:rsid w:val="00776805"/>
    <w:rsid w:val="00796E09"/>
    <w:rsid w:val="007A14F4"/>
    <w:rsid w:val="007A72C5"/>
    <w:rsid w:val="007C4501"/>
    <w:rsid w:val="007D18DE"/>
    <w:rsid w:val="007E37E0"/>
    <w:rsid w:val="007F1F52"/>
    <w:rsid w:val="008117A4"/>
    <w:rsid w:val="00811FAE"/>
    <w:rsid w:val="00814B5E"/>
    <w:rsid w:val="0081687E"/>
    <w:rsid w:val="00823FB4"/>
    <w:rsid w:val="008336EF"/>
    <w:rsid w:val="00836607"/>
    <w:rsid w:val="00836E6C"/>
    <w:rsid w:val="00850A7A"/>
    <w:rsid w:val="00866202"/>
    <w:rsid w:val="008753B1"/>
    <w:rsid w:val="00877263"/>
    <w:rsid w:val="00886255"/>
    <w:rsid w:val="00894538"/>
    <w:rsid w:val="00896AEF"/>
    <w:rsid w:val="008A1157"/>
    <w:rsid w:val="008B415A"/>
    <w:rsid w:val="008E6081"/>
    <w:rsid w:val="008F08B4"/>
    <w:rsid w:val="00912548"/>
    <w:rsid w:val="00921A9E"/>
    <w:rsid w:val="009342DB"/>
    <w:rsid w:val="00944E9E"/>
    <w:rsid w:val="00954DC4"/>
    <w:rsid w:val="00956195"/>
    <w:rsid w:val="00962A9B"/>
    <w:rsid w:val="00967007"/>
    <w:rsid w:val="00967B7C"/>
    <w:rsid w:val="009753F3"/>
    <w:rsid w:val="0098695B"/>
    <w:rsid w:val="009876A3"/>
    <w:rsid w:val="00993DCF"/>
    <w:rsid w:val="009C720A"/>
    <w:rsid w:val="009D20DE"/>
    <w:rsid w:val="009E235A"/>
    <w:rsid w:val="009E777B"/>
    <w:rsid w:val="009F1CCE"/>
    <w:rsid w:val="009F49DD"/>
    <w:rsid w:val="00A07AB6"/>
    <w:rsid w:val="00A1222C"/>
    <w:rsid w:val="00A13D57"/>
    <w:rsid w:val="00A14876"/>
    <w:rsid w:val="00A2190D"/>
    <w:rsid w:val="00A23C39"/>
    <w:rsid w:val="00A37145"/>
    <w:rsid w:val="00A43488"/>
    <w:rsid w:val="00A454E2"/>
    <w:rsid w:val="00A512CD"/>
    <w:rsid w:val="00A60384"/>
    <w:rsid w:val="00A71B4E"/>
    <w:rsid w:val="00A771D4"/>
    <w:rsid w:val="00A811E1"/>
    <w:rsid w:val="00A90527"/>
    <w:rsid w:val="00A911E7"/>
    <w:rsid w:val="00A94451"/>
    <w:rsid w:val="00AA2CAE"/>
    <w:rsid w:val="00AB064C"/>
    <w:rsid w:val="00AB35E7"/>
    <w:rsid w:val="00AC048A"/>
    <w:rsid w:val="00AC61AC"/>
    <w:rsid w:val="00AD00AE"/>
    <w:rsid w:val="00AD03CC"/>
    <w:rsid w:val="00AD04B3"/>
    <w:rsid w:val="00AE1188"/>
    <w:rsid w:val="00AE11BF"/>
    <w:rsid w:val="00AE20C2"/>
    <w:rsid w:val="00AE3C51"/>
    <w:rsid w:val="00AF1EE0"/>
    <w:rsid w:val="00AF3180"/>
    <w:rsid w:val="00AF4BCE"/>
    <w:rsid w:val="00B075A2"/>
    <w:rsid w:val="00B105E5"/>
    <w:rsid w:val="00B13107"/>
    <w:rsid w:val="00B3332A"/>
    <w:rsid w:val="00B3611B"/>
    <w:rsid w:val="00B37F9D"/>
    <w:rsid w:val="00B4594E"/>
    <w:rsid w:val="00B56667"/>
    <w:rsid w:val="00B6004A"/>
    <w:rsid w:val="00B636EC"/>
    <w:rsid w:val="00B64ECF"/>
    <w:rsid w:val="00B65483"/>
    <w:rsid w:val="00B65B47"/>
    <w:rsid w:val="00B7157C"/>
    <w:rsid w:val="00B75873"/>
    <w:rsid w:val="00B84FDE"/>
    <w:rsid w:val="00B96E9D"/>
    <w:rsid w:val="00BB0E1F"/>
    <w:rsid w:val="00BB4142"/>
    <w:rsid w:val="00BC1942"/>
    <w:rsid w:val="00BC6CF9"/>
    <w:rsid w:val="00BD28C5"/>
    <w:rsid w:val="00BE1F12"/>
    <w:rsid w:val="00BE4CEC"/>
    <w:rsid w:val="00BE6E9E"/>
    <w:rsid w:val="00BF127C"/>
    <w:rsid w:val="00C0045C"/>
    <w:rsid w:val="00C1255F"/>
    <w:rsid w:val="00C227E1"/>
    <w:rsid w:val="00C249EC"/>
    <w:rsid w:val="00C25C8B"/>
    <w:rsid w:val="00C35743"/>
    <w:rsid w:val="00C37654"/>
    <w:rsid w:val="00C507A0"/>
    <w:rsid w:val="00C62180"/>
    <w:rsid w:val="00C653F0"/>
    <w:rsid w:val="00C738E2"/>
    <w:rsid w:val="00CA70EA"/>
    <w:rsid w:val="00CB0C4F"/>
    <w:rsid w:val="00CB1BCF"/>
    <w:rsid w:val="00CD2B37"/>
    <w:rsid w:val="00CD3F71"/>
    <w:rsid w:val="00CD4543"/>
    <w:rsid w:val="00CE0368"/>
    <w:rsid w:val="00CE4F52"/>
    <w:rsid w:val="00D01703"/>
    <w:rsid w:val="00D10192"/>
    <w:rsid w:val="00D336DB"/>
    <w:rsid w:val="00D35898"/>
    <w:rsid w:val="00D36337"/>
    <w:rsid w:val="00D37F97"/>
    <w:rsid w:val="00D518A4"/>
    <w:rsid w:val="00D52344"/>
    <w:rsid w:val="00D56A60"/>
    <w:rsid w:val="00D63EEB"/>
    <w:rsid w:val="00D70F17"/>
    <w:rsid w:val="00D7184C"/>
    <w:rsid w:val="00D71A84"/>
    <w:rsid w:val="00D757C4"/>
    <w:rsid w:val="00D85184"/>
    <w:rsid w:val="00D86947"/>
    <w:rsid w:val="00D92D23"/>
    <w:rsid w:val="00DC0748"/>
    <w:rsid w:val="00DC2C92"/>
    <w:rsid w:val="00DC3478"/>
    <w:rsid w:val="00DC3ABB"/>
    <w:rsid w:val="00DF4C3A"/>
    <w:rsid w:val="00DF51C6"/>
    <w:rsid w:val="00DF70BB"/>
    <w:rsid w:val="00E02511"/>
    <w:rsid w:val="00E06E2C"/>
    <w:rsid w:val="00E119BD"/>
    <w:rsid w:val="00E13B17"/>
    <w:rsid w:val="00E30853"/>
    <w:rsid w:val="00E47260"/>
    <w:rsid w:val="00E47A74"/>
    <w:rsid w:val="00E51AFC"/>
    <w:rsid w:val="00E61634"/>
    <w:rsid w:val="00E6562C"/>
    <w:rsid w:val="00E732EC"/>
    <w:rsid w:val="00E81A00"/>
    <w:rsid w:val="00E82D3A"/>
    <w:rsid w:val="00E94872"/>
    <w:rsid w:val="00E97797"/>
    <w:rsid w:val="00EA4C12"/>
    <w:rsid w:val="00EA5569"/>
    <w:rsid w:val="00EB2922"/>
    <w:rsid w:val="00EB3D94"/>
    <w:rsid w:val="00EB6150"/>
    <w:rsid w:val="00ED6A03"/>
    <w:rsid w:val="00EF28A1"/>
    <w:rsid w:val="00EF315C"/>
    <w:rsid w:val="00EF3EAB"/>
    <w:rsid w:val="00F11776"/>
    <w:rsid w:val="00F24B1E"/>
    <w:rsid w:val="00F327A2"/>
    <w:rsid w:val="00F32E9A"/>
    <w:rsid w:val="00F41501"/>
    <w:rsid w:val="00F600FC"/>
    <w:rsid w:val="00F74692"/>
    <w:rsid w:val="00F81AA2"/>
    <w:rsid w:val="00F831E2"/>
    <w:rsid w:val="00F877E5"/>
    <w:rsid w:val="00F87E2F"/>
    <w:rsid w:val="00FA182B"/>
    <w:rsid w:val="00FB0FFD"/>
    <w:rsid w:val="00FE00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12B6C"/>
  <w14:defaultImageDpi w14:val="32767"/>
  <w15:docId w15:val="{CD689517-18DB-497E-8226-EA94F995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877E5"/>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D9C"/>
    <w:pPr>
      <w:ind w:left="720"/>
      <w:contextualSpacing/>
    </w:pPr>
  </w:style>
  <w:style w:type="table" w:styleId="TableGrid">
    <w:name w:val="Table Grid"/>
    <w:basedOn w:val="TableNormal"/>
    <w:uiPriority w:val="39"/>
    <w:rsid w:val="00473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473D9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32E9A"/>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2A783B"/>
    <w:rPr>
      <w:lang w:val="en-GB"/>
    </w:rPr>
  </w:style>
  <w:style w:type="character" w:customStyle="1" w:styleId="FootnoteTextChar">
    <w:name w:val="Footnote Text Char"/>
    <w:basedOn w:val="DefaultParagraphFont"/>
    <w:link w:val="FootnoteText"/>
    <w:uiPriority w:val="99"/>
    <w:rsid w:val="002A783B"/>
    <w:rPr>
      <w:lang w:val="en-GB"/>
    </w:rPr>
  </w:style>
  <w:style w:type="character" w:styleId="FootnoteReference">
    <w:name w:val="footnote reference"/>
    <w:basedOn w:val="DefaultParagraphFont"/>
    <w:uiPriority w:val="99"/>
    <w:unhideWhenUsed/>
    <w:rsid w:val="002A783B"/>
    <w:rPr>
      <w:vertAlign w:val="superscript"/>
    </w:rPr>
  </w:style>
  <w:style w:type="character" w:styleId="Hyperlink">
    <w:name w:val="Hyperlink"/>
    <w:basedOn w:val="DefaultParagraphFont"/>
    <w:uiPriority w:val="99"/>
    <w:unhideWhenUsed/>
    <w:rsid w:val="00866202"/>
    <w:rPr>
      <w:color w:val="0563C1" w:themeColor="hyperlink"/>
      <w:u w:val="single"/>
    </w:rPr>
  </w:style>
  <w:style w:type="paragraph" w:styleId="Caption">
    <w:name w:val="caption"/>
    <w:basedOn w:val="Normal"/>
    <w:next w:val="Normal"/>
    <w:uiPriority w:val="35"/>
    <w:unhideWhenUsed/>
    <w:qFormat/>
    <w:rsid w:val="00087D47"/>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7768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6805"/>
    <w:rPr>
      <w:rFonts w:ascii="Lucida Grande" w:hAnsi="Lucida Grande" w:cs="Lucida Grande"/>
      <w:sz w:val="18"/>
      <w:szCs w:val="18"/>
    </w:rPr>
  </w:style>
  <w:style w:type="character" w:styleId="CommentReference">
    <w:name w:val="annotation reference"/>
    <w:basedOn w:val="DefaultParagraphFont"/>
    <w:uiPriority w:val="99"/>
    <w:semiHidden/>
    <w:unhideWhenUsed/>
    <w:rsid w:val="00B6004A"/>
    <w:rPr>
      <w:sz w:val="18"/>
      <w:szCs w:val="18"/>
    </w:rPr>
  </w:style>
  <w:style w:type="paragraph" w:styleId="CommentText">
    <w:name w:val="annotation text"/>
    <w:basedOn w:val="Normal"/>
    <w:link w:val="CommentTextChar"/>
    <w:uiPriority w:val="99"/>
    <w:semiHidden/>
    <w:unhideWhenUsed/>
    <w:rsid w:val="00B6004A"/>
  </w:style>
  <w:style w:type="character" w:customStyle="1" w:styleId="CommentTextChar">
    <w:name w:val="Comment Text Char"/>
    <w:basedOn w:val="DefaultParagraphFont"/>
    <w:link w:val="CommentText"/>
    <w:uiPriority w:val="99"/>
    <w:semiHidden/>
    <w:rsid w:val="00B6004A"/>
  </w:style>
  <w:style w:type="paragraph" w:styleId="CommentSubject">
    <w:name w:val="annotation subject"/>
    <w:basedOn w:val="CommentText"/>
    <w:next w:val="CommentText"/>
    <w:link w:val="CommentSubjectChar"/>
    <w:uiPriority w:val="99"/>
    <w:semiHidden/>
    <w:unhideWhenUsed/>
    <w:rsid w:val="00B6004A"/>
    <w:rPr>
      <w:b/>
      <w:bCs/>
      <w:sz w:val="20"/>
      <w:szCs w:val="20"/>
    </w:rPr>
  </w:style>
  <w:style w:type="character" w:customStyle="1" w:styleId="CommentSubjectChar">
    <w:name w:val="Comment Subject Char"/>
    <w:basedOn w:val="CommentTextChar"/>
    <w:link w:val="CommentSubject"/>
    <w:uiPriority w:val="99"/>
    <w:semiHidden/>
    <w:rsid w:val="00B6004A"/>
    <w:rPr>
      <w:b/>
      <w:bCs/>
      <w:sz w:val="20"/>
      <w:szCs w:val="20"/>
    </w:rPr>
  </w:style>
  <w:style w:type="paragraph" w:styleId="Revision">
    <w:name w:val="Revision"/>
    <w:hidden/>
    <w:uiPriority w:val="99"/>
    <w:semiHidden/>
    <w:rsid w:val="00944E9E"/>
  </w:style>
  <w:style w:type="paragraph" w:styleId="Footer">
    <w:name w:val="footer"/>
    <w:basedOn w:val="Normal"/>
    <w:link w:val="FooterChar"/>
    <w:uiPriority w:val="99"/>
    <w:unhideWhenUsed/>
    <w:rsid w:val="00102046"/>
    <w:pPr>
      <w:tabs>
        <w:tab w:val="center" w:pos="4513"/>
        <w:tab w:val="right" w:pos="9026"/>
      </w:tabs>
    </w:pPr>
  </w:style>
  <w:style w:type="character" w:customStyle="1" w:styleId="FooterChar">
    <w:name w:val="Footer Char"/>
    <w:basedOn w:val="DefaultParagraphFont"/>
    <w:link w:val="Footer"/>
    <w:uiPriority w:val="99"/>
    <w:rsid w:val="00102046"/>
  </w:style>
  <w:style w:type="character" w:styleId="PageNumber">
    <w:name w:val="page number"/>
    <w:basedOn w:val="DefaultParagraphFont"/>
    <w:uiPriority w:val="99"/>
    <w:semiHidden/>
    <w:unhideWhenUsed/>
    <w:rsid w:val="00102046"/>
  </w:style>
  <w:style w:type="table" w:customStyle="1" w:styleId="TableGridLight1">
    <w:name w:val="Table Grid Light1"/>
    <w:basedOn w:val="TableNormal"/>
    <w:uiPriority w:val="40"/>
    <w:rsid w:val="00BC19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Cell"/>
    <w:basedOn w:val="Normal"/>
    <w:next w:val="Normal"/>
    <w:link w:val="TitleChar"/>
    <w:uiPriority w:val="10"/>
    <w:qFormat/>
    <w:rsid w:val="00811FAE"/>
    <w:pPr>
      <w:spacing w:before="720" w:after="200" w:line="276" w:lineRule="auto"/>
    </w:pPr>
    <w:rPr>
      <w:rFonts w:eastAsiaTheme="minorEastAsia"/>
      <w:caps/>
      <w:color w:val="4472C4" w:themeColor="accent1"/>
      <w:spacing w:val="10"/>
      <w:kern w:val="28"/>
      <w:sz w:val="52"/>
      <w:szCs w:val="52"/>
      <w:lang w:eastAsia="zh-CN"/>
    </w:rPr>
  </w:style>
  <w:style w:type="character" w:customStyle="1" w:styleId="TitleChar">
    <w:name w:val="Title Char"/>
    <w:aliases w:val="TitleCell Char"/>
    <w:basedOn w:val="DefaultParagraphFont"/>
    <w:link w:val="Title"/>
    <w:uiPriority w:val="10"/>
    <w:rsid w:val="00811FAE"/>
    <w:rPr>
      <w:rFonts w:eastAsiaTheme="minorEastAsia"/>
      <w:caps/>
      <w:color w:val="4472C4" w:themeColor="accent1"/>
      <w:spacing w:val="10"/>
      <w:kern w:val="28"/>
      <w:sz w:val="52"/>
      <w:szCs w:val="52"/>
      <w:lang w:eastAsia="zh-CN"/>
    </w:rPr>
  </w:style>
  <w:style w:type="paragraph" w:customStyle="1" w:styleId="Paragraphedeliste1">
    <w:name w:val="Paragraphe de liste1"/>
    <w:basedOn w:val="Normal"/>
    <w:uiPriority w:val="34"/>
    <w:qFormat/>
    <w:rsid w:val="00811FAE"/>
    <w:pPr>
      <w:spacing w:line="276" w:lineRule="auto"/>
      <w:ind w:left="720"/>
    </w:pPr>
    <w:rPr>
      <w:rFonts w:ascii="Times New Roman" w:eastAsia="Calibri" w:hAnsi="Times New Roman" w:cs="Times New Roman"/>
      <w:lang w:eastAsia="zh-CN"/>
    </w:rPr>
  </w:style>
  <w:style w:type="character" w:customStyle="1" w:styleId="Heading2Char">
    <w:name w:val="Heading 2 Char"/>
    <w:basedOn w:val="DefaultParagraphFont"/>
    <w:link w:val="Heading2"/>
    <w:uiPriority w:val="9"/>
    <w:rsid w:val="00F877E5"/>
    <w:rPr>
      <w:rFonts w:asciiTheme="majorHAnsi" w:eastAsiaTheme="majorEastAsia" w:hAnsiTheme="majorHAnsi" w:cstheme="majorBidi"/>
      <w:b/>
      <w:bCs/>
      <w:color w:val="4472C4" w:themeColor="accent1"/>
      <w:sz w:val="26"/>
      <w:szCs w:val="26"/>
    </w:rPr>
  </w:style>
  <w:style w:type="paragraph" w:styleId="Header">
    <w:name w:val="header"/>
    <w:basedOn w:val="Normal"/>
    <w:link w:val="HeaderChar"/>
    <w:uiPriority w:val="99"/>
    <w:unhideWhenUsed/>
    <w:rsid w:val="003379E6"/>
    <w:pPr>
      <w:tabs>
        <w:tab w:val="center" w:pos="4513"/>
        <w:tab w:val="right" w:pos="9026"/>
      </w:tabs>
    </w:pPr>
    <w:rPr>
      <w:rFonts w:eastAsiaTheme="minorEastAsia"/>
      <w:sz w:val="22"/>
      <w:szCs w:val="22"/>
      <w:lang w:val="en-GB" w:eastAsia="en-GB"/>
    </w:rPr>
  </w:style>
  <w:style w:type="character" w:customStyle="1" w:styleId="HeaderChar">
    <w:name w:val="Header Char"/>
    <w:basedOn w:val="DefaultParagraphFont"/>
    <w:link w:val="Header"/>
    <w:uiPriority w:val="99"/>
    <w:rsid w:val="003379E6"/>
    <w:rPr>
      <w:rFonts w:eastAsiaTheme="minorEastAsia"/>
      <w:sz w:val="22"/>
      <w:szCs w:val="22"/>
      <w:lang w:val="en-GB" w:eastAsia="en-GB"/>
    </w:rPr>
  </w:style>
  <w:style w:type="character" w:styleId="IntenseEmphasis">
    <w:name w:val="Intense Emphasis"/>
    <w:basedOn w:val="DefaultParagraphFont"/>
    <w:uiPriority w:val="21"/>
    <w:qFormat/>
    <w:rsid w:val="00442129"/>
    <w:rPr>
      <w:i/>
      <w:iCs/>
      <w:color w:val="4472C4" w:themeColor="accent1"/>
    </w:rPr>
  </w:style>
  <w:style w:type="paragraph" w:styleId="DocumentMap">
    <w:name w:val="Document Map"/>
    <w:basedOn w:val="Normal"/>
    <w:link w:val="DocumentMapChar"/>
    <w:uiPriority w:val="99"/>
    <w:semiHidden/>
    <w:unhideWhenUsed/>
    <w:rsid w:val="00D56A60"/>
    <w:rPr>
      <w:rFonts w:ascii="Times New Roman" w:hAnsi="Times New Roman" w:cs="Times New Roman"/>
    </w:rPr>
  </w:style>
  <w:style w:type="character" w:customStyle="1" w:styleId="DocumentMapChar">
    <w:name w:val="Document Map Char"/>
    <w:basedOn w:val="DefaultParagraphFont"/>
    <w:link w:val="DocumentMap"/>
    <w:uiPriority w:val="99"/>
    <w:semiHidden/>
    <w:rsid w:val="00D56A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72448">
      <w:bodyDiv w:val="1"/>
      <w:marLeft w:val="0"/>
      <w:marRight w:val="0"/>
      <w:marTop w:val="0"/>
      <w:marBottom w:val="0"/>
      <w:divBdr>
        <w:top w:val="none" w:sz="0" w:space="0" w:color="auto"/>
        <w:left w:val="none" w:sz="0" w:space="0" w:color="auto"/>
        <w:bottom w:val="none" w:sz="0" w:space="0" w:color="auto"/>
        <w:right w:val="none" w:sz="0" w:space="0" w:color="auto"/>
      </w:divBdr>
      <w:divsChild>
        <w:div w:id="1898321588">
          <w:marLeft w:val="0"/>
          <w:marRight w:val="0"/>
          <w:marTop w:val="0"/>
          <w:marBottom w:val="0"/>
          <w:divBdr>
            <w:top w:val="none" w:sz="0" w:space="0" w:color="auto"/>
            <w:left w:val="none" w:sz="0" w:space="0" w:color="auto"/>
            <w:bottom w:val="none" w:sz="0" w:space="0" w:color="auto"/>
            <w:right w:val="none" w:sz="0" w:space="0" w:color="auto"/>
          </w:divBdr>
          <w:divsChild>
            <w:div w:id="1176384078">
              <w:marLeft w:val="0"/>
              <w:marRight w:val="0"/>
              <w:marTop w:val="0"/>
              <w:marBottom w:val="0"/>
              <w:divBdr>
                <w:top w:val="none" w:sz="0" w:space="0" w:color="auto"/>
                <w:left w:val="none" w:sz="0" w:space="0" w:color="auto"/>
                <w:bottom w:val="none" w:sz="0" w:space="0" w:color="auto"/>
                <w:right w:val="none" w:sz="0" w:space="0" w:color="auto"/>
              </w:divBdr>
              <w:divsChild>
                <w:div w:id="15210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77450">
      <w:bodyDiv w:val="1"/>
      <w:marLeft w:val="0"/>
      <w:marRight w:val="0"/>
      <w:marTop w:val="0"/>
      <w:marBottom w:val="0"/>
      <w:divBdr>
        <w:top w:val="none" w:sz="0" w:space="0" w:color="auto"/>
        <w:left w:val="none" w:sz="0" w:space="0" w:color="auto"/>
        <w:bottom w:val="none" w:sz="0" w:space="0" w:color="auto"/>
        <w:right w:val="none" w:sz="0" w:space="0" w:color="auto"/>
      </w:divBdr>
      <w:divsChild>
        <w:div w:id="1989285920">
          <w:marLeft w:val="0"/>
          <w:marRight w:val="0"/>
          <w:marTop w:val="0"/>
          <w:marBottom w:val="0"/>
          <w:divBdr>
            <w:top w:val="none" w:sz="0" w:space="0" w:color="auto"/>
            <w:left w:val="none" w:sz="0" w:space="0" w:color="auto"/>
            <w:bottom w:val="none" w:sz="0" w:space="0" w:color="auto"/>
            <w:right w:val="none" w:sz="0" w:space="0" w:color="auto"/>
          </w:divBdr>
          <w:divsChild>
            <w:div w:id="1423525889">
              <w:marLeft w:val="0"/>
              <w:marRight w:val="0"/>
              <w:marTop w:val="0"/>
              <w:marBottom w:val="0"/>
              <w:divBdr>
                <w:top w:val="none" w:sz="0" w:space="0" w:color="auto"/>
                <w:left w:val="none" w:sz="0" w:space="0" w:color="auto"/>
                <w:bottom w:val="none" w:sz="0" w:space="0" w:color="auto"/>
                <w:right w:val="none" w:sz="0" w:space="0" w:color="auto"/>
              </w:divBdr>
              <w:divsChild>
                <w:div w:id="10200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4801">
      <w:bodyDiv w:val="1"/>
      <w:marLeft w:val="0"/>
      <w:marRight w:val="0"/>
      <w:marTop w:val="0"/>
      <w:marBottom w:val="0"/>
      <w:divBdr>
        <w:top w:val="none" w:sz="0" w:space="0" w:color="auto"/>
        <w:left w:val="none" w:sz="0" w:space="0" w:color="auto"/>
        <w:bottom w:val="none" w:sz="0" w:space="0" w:color="auto"/>
        <w:right w:val="none" w:sz="0" w:space="0" w:color="auto"/>
      </w:divBdr>
      <w:divsChild>
        <w:div w:id="713119173">
          <w:marLeft w:val="0"/>
          <w:marRight w:val="0"/>
          <w:marTop w:val="0"/>
          <w:marBottom w:val="0"/>
          <w:divBdr>
            <w:top w:val="none" w:sz="0" w:space="0" w:color="auto"/>
            <w:left w:val="none" w:sz="0" w:space="0" w:color="auto"/>
            <w:bottom w:val="none" w:sz="0" w:space="0" w:color="auto"/>
            <w:right w:val="none" w:sz="0" w:space="0" w:color="auto"/>
          </w:divBdr>
          <w:divsChild>
            <w:div w:id="1398166551">
              <w:marLeft w:val="0"/>
              <w:marRight w:val="0"/>
              <w:marTop w:val="0"/>
              <w:marBottom w:val="0"/>
              <w:divBdr>
                <w:top w:val="none" w:sz="0" w:space="0" w:color="auto"/>
                <w:left w:val="none" w:sz="0" w:space="0" w:color="auto"/>
                <w:bottom w:val="none" w:sz="0" w:space="0" w:color="auto"/>
                <w:right w:val="none" w:sz="0" w:space="0" w:color="auto"/>
              </w:divBdr>
              <w:divsChild>
                <w:div w:id="16064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224997">
      <w:bodyDiv w:val="1"/>
      <w:marLeft w:val="0"/>
      <w:marRight w:val="0"/>
      <w:marTop w:val="0"/>
      <w:marBottom w:val="0"/>
      <w:divBdr>
        <w:top w:val="none" w:sz="0" w:space="0" w:color="auto"/>
        <w:left w:val="none" w:sz="0" w:space="0" w:color="auto"/>
        <w:bottom w:val="none" w:sz="0" w:space="0" w:color="auto"/>
        <w:right w:val="none" w:sz="0" w:space="0" w:color="auto"/>
      </w:divBdr>
      <w:divsChild>
        <w:div w:id="1126463177">
          <w:marLeft w:val="0"/>
          <w:marRight w:val="0"/>
          <w:marTop w:val="0"/>
          <w:marBottom w:val="0"/>
          <w:divBdr>
            <w:top w:val="none" w:sz="0" w:space="0" w:color="auto"/>
            <w:left w:val="none" w:sz="0" w:space="0" w:color="auto"/>
            <w:bottom w:val="none" w:sz="0" w:space="0" w:color="auto"/>
            <w:right w:val="none" w:sz="0" w:space="0" w:color="auto"/>
          </w:divBdr>
          <w:divsChild>
            <w:div w:id="847452567">
              <w:marLeft w:val="0"/>
              <w:marRight w:val="0"/>
              <w:marTop w:val="0"/>
              <w:marBottom w:val="0"/>
              <w:divBdr>
                <w:top w:val="none" w:sz="0" w:space="0" w:color="auto"/>
                <w:left w:val="none" w:sz="0" w:space="0" w:color="auto"/>
                <w:bottom w:val="none" w:sz="0" w:space="0" w:color="auto"/>
                <w:right w:val="none" w:sz="0" w:space="0" w:color="auto"/>
              </w:divBdr>
              <w:divsChild>
                <w:div w:id="6129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061771">
      <w:bodyDiv w:val="1"/>
      <w:marLeft w:val="0"/>
      <w:marRight w:val="0"/>
      <w:marTop w:val="0"/>
      <w:marBottom w:val="0"/>
      <w:divBdr>
        <w:top w:val="none" w:sz="0" w:space="0" w:color="auto"/>
        <w:left w:val="none" w:sz="0" w:space="0" w:color="auto"/>
        <w:bottom w:val="none" w:sz="0" w:space="0" w:color="auto"/>
        <w:right w:val="none" w:sz="0" w:space="0" w:color="auto"/>
      </w:divBdr>
      <w:divsChild>
        <w:div w:id="704334747">
          <w:marLeft w:val="0"/>
          <w:marRight w:val="0"/>
          <w:marTop w:val="0"/>
          <w:marBottom w:val="0"/>
          <w:divBdr>
            <w:top w:val="none" w:sz="0" w:space="0" w:color="auto"/>
            <w:left w:val="none" w:sz="0" w:space="0" w:color="auto"/>
            <w:bottom w:val="none" w:sz="0" w:space="0" w:color="auto"/>
            <w:right w:val="none" w:sz="0" w:space="0" w:color="auto"/>
          </w:divBdr>
          <w:divsChild>
            <w:div w:id="829826719">
              <w:marLeft w:val="0"/>
              <w:marRight w:val="0"/>
              <w:marTop w:val="0"/>
              <w:marBottom w:val="0"/>
              <w:divBdr>
                <w:top w:val="none" w:sz="0" w:space="0" w:color="auto"/>
                <w:left w:val="none" w:sz="0" w:space="0" w:color="auto"/>
                <w:bottom w:val="none" w:sz="0" w:space="0" w:color="auto"/>
                <w:right w:val="none" w:sz="0" w:space="0" w:color="auto"/>
              </w:divBdr>
              <w:divsChild>
                <w:div w:id="30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98521">
      <w:bodyDiv w:val="1"/>
      <w:marLeft w:val="0"/>
      <w:marRight w:val="0"/>
      <w:marTop w:val="0"/>
      <w:marBottom w:val="0"/>
      <w:divBdr>
        <w:top w:val="none" w:sz="0" w:space="0" w:color="auto"/>
        <w:left w:val="none" w:sz="0" w:space="0" w:color="auto"/>
        <w:bottom w:val="none" w:sz="0" w:space="0" w:color="auto"/>
        <w:right w:val="none" w:sz="0" w:space="0" w:color="auto"/>
      </w:divBdr>
      <w:divsChild>
        <w:div w:id="1655259442">
          <w:marLeft w:val="0"/>
          <w:marRight w:val="0"/>
          <w:marTop w:val="0"/>
          <w:marBottom w:val="0"/>
          <w:divBdr>
            <w:top w:val="none" w:sz="0" w:space="0" w:color="auto"/>
            <w:left w:val="none" w:sz="0" w:space="0" w:color="auto"/>
            <w:bottom w:val="none" w:sz="0" w:space="0" w:color="auto"/>
            <w:right w:val="none" w:sz="0" w:space="0" w:color="auto"/>
          </w:divBdr>
          <w:divsChild>
            <w:div w:id="2107840876">
              <w:marLeft w:val="0"/>
              <w:marRight w:val="0"/>
              <w:marTop w:val="0"/>
              <w:marBottom w:val="0"/>
              <w:divBdr>
                <w:top w:val="none" w:sz="0" w:space="0" w:color="auto"/>
                <w:left w:val="none" w:sz="0" w:space="0" w:color="auto"/>
                <w:bottom w:val="none" w:sz="0" w:space="0" w:color="auto"/>
                <w:right w:val="none" w:sz="0" w:space="0" w:color="auto"/>
              </w:divBdr>
              <w:divsChild>
                <w:div w:id="12825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11973">
      <w:bodyDiv w:val="1"/>
      <w:marLeft w:val="0"/>
      <w:marRight w:val="0"/>
      <w:marTop w:val="0"/>
      <w:marBottom w:val="0"/>
      <w:divBdr>
        <w:top w:val="none" w:sz="0" w:space="0" w:color="auto"/>
        <w:left w:val="none" w:sz="0" w:space="0" w:color="auto"/>
        <w:bottom w:val="none" w:sz="0" w:space="0" w:color="auto"/>
        <w:right w:val="none" w:sz="0" w:space="0" w:color="auto"/>
      </w:divBdr>
      <w:divsChild>
        <w:div w:id="741441449">
          <w:marLeft w:val="0"/>
          <w:marRight w:val="0"/>
          <w:marTop w:val="0"/>
          <w:marBottom w:val="0"/>
          <w:divBdr>
            <w:top w:val="none" w:sz="0" w:space="0" w:color="auto"/>
            <w:left w:val="none" w:sz="0" w:space="0" w:color="auto"/>
            <w:bottom w:val="none" w:sz="0" w:space="0" w:color="auto"/>
            <w:right w:val="none" w:sz="0" w:space="0" w:color="auto"/>
          </w:divBdr>
          <w:divsChild>
            <w:div w:id="2123724793">
              <w:marLeft w:val="0"/>
              <w:marRight w:val="0"/>
              <w:marTop w:val="0"/>
              <w:marBottom w:val="0"/>
              <w:divBdr>
                <w:top w:val="none" w:sz="0" w:space="0" w:color="auto"/>
                <w:left w:val="none" w:sz="0" w:space="0" w:color="auto"/>
                <w:bottom w:val="none" w:sz="0" w:space="0" w:color="auto"/>
                <w:right w:val="none" w:sz="0" w:space="0" w:color="auto"/>
              </w:divBdr>
              <w:divsChild>
                <w:div w:id="195024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149884">
      <w:bodyDiv w:val="1"/>
      <w:marLeft w:val="0"/>
      <w:marRight w:val="0"/>
      <w:marTop w:val="0"/>
      <w:marBottom w:val="0"/>
      <w:divBdr>
        <w:top w:val="none" w:sz="0" w:space="0" w:color="auto"/>
        <w:left w:val="none" w:sz="0" w:space="0" w:color="auto"/>
        <w:bottom w:val="none" w:sz="0" w:space="0" w:color="auto"/>
        <w:right w:val="none" w:sz="0" w:space="0" w:color="auto"/>
      </w:divBdr>
      <w:divsChild>
        <w:div w:id="2113233734">
          <w:marLeft w:val="0"/>
          <w:marRight w:val="0"/>
          <w:marTop w:val="0"/>
          <w:marBottom w:val="0"/>
          <w:divBdr>
            <w:top w:val="none" w:sz="0" w:space="0" w:color="auto"/>
            <w:left w:val="none" w:sz="0" w:space="0" w:color="auto"/>
            <w:bottom w:val="none" w:sz="0" w:space="0" w:color="auto"/>
            <w:right w:val="none" w:sz="0" w:space="0" w:color="auto"/>
          </w:divBdr>
          <w:divsChild>
            <w:div w:id="1306549992">
              <w:marLeft w:val="0"/>
              <w:marRight w:val="0"/>
              <w:marTop w:val="0"/>
              <w:marBottom w:val="0"/>
              <w:divBdr>
                <w:top w:val="none" w:sz="0" w:space="0" w:color="auto"/>
                <w:left w:val="none" w:sz="0" w:space="0" w:color="auto"/>
                <w:bottom w:val="none" w:sz="0" w:space="0" w:color="auto"/>
                <w:right w:val="none" w:sz="0" w:space="0" w:color="auto"/>
              </w:divBdr>
              <w:divsChild>
                <w:div w:id="13428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71984">
      <w:bodyDiv w:val="1"/>
      <w:marLeft w:val="0"/>
      <w:marRight w:val="0"/>
      <w:marTop w:val="0"/>
      <w:marBottom w:val="0"/>
      <w:divBdr>
        <w:top w:val="none" w:sz="0" w:space="0" w:color="auto"/>
        <w:left w:val="none" w:sz="0" w:space="0" w:color="auto"/>
        <w:bottom w:val="none" w:sz="0" w:space="0" w:color="auto"/>
        <w:right w:val="none" w:sz="0" w:space="0" w:color="auto"/>
      </w:divBdr>
      <w:divsChild>
        <w:div w:id="1253515261">
          <w:marLeft w:val="0"/>
          <w:marRight w:val="0"/>
          <w:marTop w:val="0"/>
          <w:marBottom w:val="0"/>
          <w:divBdr>
            <w:top w:val="none" w:sz="0" w:space="0" w:color="auto"/>
            <w:left w:val="none" w:sz="0" w:space="0" w:color="auto"/>
            <w:bottom w:val="none" w:sz="0" w:space="0" w:color="auto"/>
            <w:right w:val="none" w:sz="0" w:space="0" w:color="auto"/>
          </w:divBdr>
          <w:divsChild>
            <w:div w:id="159927617">
              <w:marLeft w:val="0"/>
              <w:marRight w:val="0"/>
              <w:marTop w:val="0"/>
              <w:marBottom w:val="0"/>
              <w:divBdr>
                <w:top w:val="none" w:sz="0" w:space="0" w:color="auto"/>
                <w:left w:val="none" w:sz="0" w:space="0" w:color="auto"/>
                <w:bottom w:val="none" w:sz="0" w:space="0" w:color="auto"/>
                <w:right w:val="none" w:sz="0" w:space="0" w:color="auto"/>
              </w:divBdr>
              <w:divsChild>
                <w:div w:id="2793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926207">
      <w:bodyDiv w:val="1"/>
      <w:marLeft w:val="0"/>
      <w:marRight w:val="0"/>
      <w:marTop w:val="0"/>
      <w:marBottom w:val="0"/>
      <w:divBdr>
        <w:top w:val="none" w:sz="0" w:space="0" w:color="auto"/>
        <w:left w:val="none" w:sz="0" w:space="0" w:color="auto"/>
        <w:bottom w:val="none" w:sz="0" w:space="0" w:color="auto"/>
        <w:right w:val="none" w:sz="0" w:space="0" w:color="auto"/>
      </w:divBdr>
      <w:divsChild>
        <w:div w:id="1700549189">
          <w:marLeft w:val="0"/>
          <w:marRight w:val="0"/>
          <w:marTop w:val="0"/>
          <w:marBottom w:val="0"/>
          <w:divBdr>
            <w:top w:val="none" w:sz="0" w:space="0" w:color="auto"/>
            <w:left w:val="none" w:sz="0" w:space="0" w:color="auto"/>
            <w:bottom w:val="none" w:sz="0" w:space="0" w:color="auto"/>
            <w:right w:val="none" w:sz="0" w:space="0" w:color="auto"/>
          </w:divBdr>
          <w:divsChild>
            <w:div w:id="1757900960">
              <w:marLeft w:val="0"/>
              <w:marRight w:val="0"/>
              <w:marTop w:val="0"/>
              <w:marBottom w:val="0"/>
              <w:divBdr>
                <w:top w:val="none" w:sz="0" w:space="0" w:color="auto"/>
                <w:left w:val="none" w:sz="0" w:space="0" w:color="auto"/>
                <w:bottom w:val="none" w:sz="0" w:space="0" w:color="auto"/>
                <w:right w:val="none" w:sz="0" w:space="0" w:color="auto"/>
              </w:divBdr>
              <w:divsChild>
                <w:div w:id="18048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7066">
      <w:bodyDiv w:val="1"/>
      <w:marLeft w:val="0"/>
      <w:marRight w:val="0"/>
      <w:marTop w:val="0"/>
      <w:marBottom w:val="0"/>
      <w:divBdr>
        <w:top w:val="none" w:sz="0" w:space="0" w:color="auto"/>
        <w:left w:val="none" w:sz="0" w:space="0" w:color="auto"/>
        <w:bottom w:val="none" w:sz="0" w:space="0" w:color="auto"/>
        <w:right w:val="none" w:sz="0" w:space="0" w:color="auto"/>
      </w:divBdr>
      <w:divsChild>
        <w:div w:id="681863090">
          <w:marLeft w:val="0"/>
          <w:marRight w:val="0"/>
          <w:marTop w:val="0"/>
          <w:marBottom w:val="0"/>
          <w:divBdr>
            <w:top w:val="none" w:sz="0" w:space="0" w:color="auto"/>
            <w:left w:val="none" w:sz="0" w:space="0" w:color="auto"/>
            <w:bottom w:val="none" w:sz="0" w:space="0" w:color="auto"/>
            <w:right w:val="none" w:sz="0" w:space="0" w:color="auto"/>
          </w:divBdr>
          <w:divsChild>
            <w:div w:id="1675910548">
              <w:marLeft w:val="0"/>
              <w:marRight w:val="0"/>
              <w:marTop w:val="0"/>
              <w:marBottom w:val="0"/>
              <w:divBdr>
                <w:top w:val="none" w:sz="0" w:space="0" w:color="auto"/>
                <w:left w:val="none" w:sz="0" w:space="0" w:color="auto"/>
                <w:bottom w:val="none" w:sz="0" w:space="0" w:color="auto"/>
                <w:right w:val="none" w:sz="0" w:space="0" w:color="auto"/>
              </w:divBdr>
              <w:divsChild>
                <w:div w:id="115179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28850">
      <w:bodyDiv w:val="1"/>
      <w:marLeft w:val="0"/>
      <w:marRight w:val="0"/>
      <w:marTop w:val="0"/>
      <w:marBottom w:val="0"/>
      <w:divBdr>
        <w:top w:val="none" w:sz="0" w:space="0" w:color="auto"/>
        <w:left w:val="none" w:sz="0" w:space="0" w:color="auto"/>
        <w:bottom w:val="none" w:sz="0" w:space="0" w:color="auto"/>
        <w:right w:val="none" w:sz="0" w:space="0" w:color="auto"/>
      </w:divBdr>
      <w:divsChild>
        <w:div w:id="1321349055">
          <w:marLeft w:val="0"/>
          <w:marRight w:val="0"/>
          <w:marTop w:val="0"/>
          <w:marBottom w:val="0"/>
          <w:divBdr>
            <w:top w:val="none" w:sz="0" w:space="0" w:color="auto"/>
            <w:left w:val="none" w:sz="0" w:space="0" w:color="auto"/>
            <w:bottom w:val="none" w:sz="0" w:space="0" w:color="auto"/>
            <w:right w:val="none" w:sz="0" w:space="0" w:color="auto"/>
          </w:divBdr>
          <w:divsChild>
            <w:div w:id="1330251511">
              <w:marLeft w:val="0"/>
              <w:marRight w:val="0"/>
              <w:marTop w:val="0"/>
              <w:marBottom w:val="0"/>
              <w:divBdr>
                <w:top w:val="none" w:sz="0" w:space="0" w:color="auto"/>
                <w:left w:val="none" w:sz="0" w:space="0" w:color="auto"/>
                <w:bottom w:val="none" w:sz="0" w:space="0" w:color="auto"/>
                <w:right w:val="none" w:sz="0" w:space="0" w:color="auto"/>
              </w:divBdr>
              <w:divsChild>
                <w:div w:id="132693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87210">
      <w:bodyDiv w:val="1"/>
      <w:marLeft w:val="0"/>
      <w:marRight w:val="0"/>
      <w:marTop w:val="0"/>
      <w:marBottom w:val="0"/>
      <w:divBdr>
        <w:top w:val="none" w:sz="0" w:space="0" w:color="auto"/>
        <w:left w:val="none" w:sz="0" w:space="0" w:color="auto"/>
        <w:bottom w:val="none" w:sz="0" w:space="0" w:color="auto"/>
        <w:right w:val="none" w:sz="0" w:space="0" w:color="auto"/>
      </w:divBdr>
      <w:divsChild>
        <w:div w:id="343047986">
          <w:marLeft w:val="0"/>
          <w:marRight w:val="0"/>
          <w:marTop w:val="0"/>
          <w:marBottom w:val="0"/>
          <w:divBdr>
            <w:top w:val="none" w:sz="0" w:space="0" w:color="auto"/>
            <w:left w:val="none" w:sz="0" w:space="0" w:color="auto"/>
            <w:bottom w:val="none" w:sz="0" w:space="0" w:color="auto"/>
            <w:right w:val="none" w:sz="0" w:space="0" w:color="auto"/>
          </w:divBdr>
          <w:divsChild>
            <w:div w:id="2051612121">
              <w:marLeft w:val="0"/>
              <w:marRight w:val="0"/>
              <w:marTop w:val="0"/>
              <w:marBottom w:val="0"/>
              <w:divBdr>
                <w:top w:val="none" w:sz="0" w:space="0" w:color="auto"/>
                <w:left w:val="none" w:sz="0" w:space="0" w:color="auto"/>
                <w:bottom w:val="none" w:sz="0" w:space="0" w:color="auto"/>
                <w:right w:val="none" w:sz="0" w:space="0" w:color="auto"/>
              </w:divBdr>
              <w:divsChild>
                <w:div w:id="11369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351099">
      <w:bodyDiv w:val="1"/>
      <w:marLeft w:val="0"/>
      <w:marRight w:val="0"/>
      <w:marTop w:val="0"/>
      <w:marBottom w:val="0"/>
      <w:divBdr>
        <w:top w:val="none" w:sz="0" w:space="0" w:color="auto"/>
        <w:left w:val="none" w:sz="0" w:space="0" w:color="auto"/>
        <w:bottom w:val="none" w:sz="0" w:space="0" w:color="auto"/>
        <w:right w:val="none" w:sz="0" w:space="0" w:color="auto"/>
      </w:divBdr>
      <w:divsChild>
        <w:div w:id="1989095496">
          <w:marLeft w:val="0"/>
          <w:marRight w:val="0"/>
          <w:marTop w:val="0"/>
          <w:marBottom w:val="0"/>
          <w:divBdr>
            <w:top w:val="none" w:sz="0" w:space="0" w:color="auto"/>
            <w:left w:val="none" w:sz="0" w:space="0" w:color="auto"/>
            <w:bottom w:val="none" w:sz="0" w:space="0" w:color="auto"/>
            <w:right w:val="none" w:sz="0" w:space="0" w:color="auto"/>
          </w:divBdr>
          <w:divsChild>
            <w:div w:id="1044447969">
              <w:marLeft w:val="0"/>
              <w:marRight w:val="0"/>
              <w:marTop w:val="0"/>
              <w:marBottom w:val="0"/>
              <w:divBdr>
                <w:top w:val="none" w:sz="0" w:space="0" w:color="auto"/>
                <w:left w:val="none" w:sz="0" w:space="0" w:color="auto"/>
                <w:bottom w:val="none" w:sz="0" w:space="0" w:color="auto"/>
                <w:right w:val="none" w:sz="0" w:space="0" w:color="auto"/>
              </w:divBdr>
              <w:divsChild>
                <w:div w:id="7336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50582">
      <w:bodyDiv w:val="1"/>
      <w:marLeft w:val="0"/>
      <w:marRight w:val="0"/>
      <w:marTop w:val="0"/>
      <w:marBottom w:val="0"/>
      <w:divBdr>
        <w:top w:val="none" w:sz="0" w:space="0" w:color="auto"/>
        <w:left w:val="none" w:sz="0" w:space="0" w:color="auto"/>
        <w:bottom w:val="none" w:sz="0" w:space="0" w:color="auto"/>
        <w:right w:val="none" w:sz="0" w:space="0" w:color="auto"/>
      </w:divBdr>
      <w:divsChild>
        <w:div w:id="1860780012">
          <w:marLeft w:val="0"/>
          <w:marRight w:val="0"/>
          <w:marTop w:val="0"/>
          <w:marBottom w:val="0"/>
          <w:divBdr>
            <w:top w:val="none" w:sz="0" w:space="0" w:color="auto"/>
            <w:left w:val="none" w:sz="0" w:space="0" w:color="auto"/>
            <w:bottom w:val="none" w:sz="0" w:space="0" w:color="auto"/>
            <w:right w:val="none" w:sz="0" w:space="0" w:color="auto"/>
          </w:divBdr>
          <w:divsChild>
            <w:div w:id="63068206">
              <w:marLeft w:val="0"/>
              <w:marRight w:val="0"/>
              <w:marTop w:val="0"/>
              <w:marBottom w:val="0"/>
              <w:divBdr>
                <w:top w:val="none" w:sz="0" w:space="0" w:color="auto"/>
                <w:left w:val="none" w:sz="0" w:space="0" w:color="auto"/>
                <w:bottom w:val="none" w:sz="0" w:space="0" w:color="auto"/>
                <w:right w:val="none" w:sz="0" w:space="0" w:color="auto"/>
              </w:divBdr>
              <w:divsChild>
                <w:div w:id="8018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51889">
      <w:bodyDiv w:val="1"/>
      <w:marLeft w:val="0"/>
      <w:marRight w:val="0"/>
      <w:marTop w:val="0"/>
      <w:marBottom w:val="0"/>
      <w:divBdr>
        <w:top w:val="none" w:sz="0" w:space="0" w:color="auto"/>
        <w:left w:val="none" w:sz="0" w:space="0" w:color="auto"/>
        <w:bottom w:val="none" w:sz="0" w:space="0" w:color="auto"/>
        <w:right w:val="none" w:sz="0" w:space="0" w:color="auto"/>
      </w:divBdr>
      <w:divsChild>
        <w:div w:id="698703587">
          <w:marLeft w:val="0"/>
          <w:marRight w:val="0"/>
          <w:marTop w:val="0"/>
          <w:marBottom w:val="0"/>
          <w:divBdr>
            <w:top w:val="none" w:sz="0" w:space="0" w:color="auto"/>
            <w:left w:val="none" w:sz="0" w:space="0" w:color="auto"/>
            <w:bottom w:val="none" w:sz="0" w:space="0" w:color="auto"/>
            <w:right w:val="none" w:sz="0" w:space="0" w:color="auto"/>
          </w:divBdr>
          <w:divsChild>
            <w:div w:id="969944645">
              <w:marLeft w:val="0"/>
              <w:marRight w:val="0"/>
              <w:marTop w:val="0"/>
              <w:marBottom w:val="0"/>
              <w:divBdr>
                <w:top w:val="none" w:sz="0" w:space="0" w:color="auto"/>
                <w:left w:val="none" w:sz="0" w:space="0" w:color="auto"/>
                <w:bottom w:val="none" w:sz="0" w:space="0" w:color="auto"/>
                <w:right w:val="none" w:sz="0" w:space="0" w:color="auto"/>
              </w:divBdr>
              <w:divsChild>
                <w:div w:id="205615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369676">
      <w:bodyDiv w:val="1"/>
      <w:marLeft w:val="0"/>
      <w:marRight w:val="0"/>
      <w:marTop w:val="0"/>
      <w:marBottom w:val="0"/>
      <w:divBdr>
        <w:top w:val="none" w:sz="0" w:space="0" w:color="auto"/>
        <w:left w:val="none" w:sz="0" w:space="0" w:color="auto"/>
        <w:bottom w:val="none" w:sz="0" w:space="0" w:color="auto"/>
        <w:right w:val="none" w:sz="0" w:space="0" w:color="auto"/>
      </w:divBdr>
      <w:divsChild>
        <w:div w:id="72901488">
          <w:marLeft w:val="0"/>
          <w:marRight w:val="0"/>
          <w:marTop w:val="0"/>
          <w:marBottom w:val="0"/>
          <w:divBdr>
            <w:top w:val="none" w:sz="0" w:space="0" w:color="auto"/>
            <w:left w:val="none" w:sz="0" w:space="0" w:color="auto"/>
            <w:bottom w:val="none" w:sz="0" w:space="0" w:color="auto"/>
            <w:right w:val="none" w:sz="0" w:space="0" w:color="auto"/>
          </w:divBdr>
          <w:divsChild>
            <w:div w:id="936255120">
              <w:marLeft w:val="0"/>
              <w:marRight w:val="0"/>
              <w:marTop w:val="0"/>
              <w:marBottom w:val="0"/>
              <w:divBdr>
                <w:top w:val="none" w:sz="0" w:space="0" w:color="auto"/>
                <w:left w:val="none" w:sz="0" w:space="0" w:color="auto"/>
                <w:bottom w:val="none" w:sz="0" w:space="0" w:color="auto"/>
                <w:right w:val="none" w:sz="0" w:space="0" w:color="auto"/>
              </w:divBdr>
              <w:divsChild>
                <w:div w:id="8454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06344">
      <w:bodyDiv w:val="1"/>
      <w:marLeft w:val="0"/>
      <w:marRight w:val="0"/>
      <w:marTop w:val="0"/>
      <w:marBottom w:val="0"/>
      <w:divBdr>
        <w:top w:val="none" w:sz="0" w:space="0" w:color="auto"/>
        <w:left w:val="none" w:sz="0" w:space="0" w:color="auto"/>
        <w:bottom w:val="none" w:sz="0" w:space="0" w:color="auto"/>
        <w:right w:val="none" w:sz="0" w:space="0" w:color="auto"/>
      </w:divBdr>
      <w:divsChild>
        <w:div w:id="431826242">
          <w:marLeft w:val="0"/>
          <w:marRight w:val="0"/>
          <w:marTop w:val="0"/>
          <w:marBottom w:val="0"/>
          <w:divBdr>
            <w:top w:val="none" w:sz="0" w:space="0" w:color="auto"/>
            <w:left w:val="none" w:sz="0" w:space="0" w:color="auto"/>
            <w:bottom w:val="none" w:sz="0" w:space="0" w:color="auto"/>
            <w:right w:val="none" w:sz="0" w:space="0" w:color="auto"/>
          </w:divBdr>
          <w:divsChild>
            <w:div w:id="554857230">
              <w:marLeft w:val="0"/>
              <w:marRight w:val="0"/>
              <w:marTop w:val="0"/>
              <w:marBottom w:val="0"/>
              <w:divBdr>
                <w:top w:val="none" w:sz="0" w:space="0" w:color="auto"/>
                <w:left w:val="none" w:sz="0" w:space="0" w:color="auto"/>
                <w:bottom w:val="none" w:sz="0" w:space="0" w:color="auto"/>
                <w:right w:val="none" w:sz="0" w:space="0" w:color="auto"/>
              </w:divBdr>
              <w:divsChild>
                <w:div w:id="6976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38752">
      <w:bodyDiv w:val="1"/>
      <w:marLeft w:val="0"/>
      <w:marRight w:val="0"/>
      <w:marTop w:val="0"/>
      <w:marBottom w:val="0"/>
      <w:divBdr>
        <w:top w:val="none" w:sz="0" w:space="0" w:color="auto"/>
        <w:left w:val="none" w:sz="0" w:space="0" w:color="auto"/>
        <w:bottom w:val="none" w:sz="0" w:space="0" w:color="auto"/>
        <w:right w:val="none" w:sz="0" w:space="0" w:color="auto"/>
      </w:divBdr>
      <w:divsChild>
        <w:div w:id="542250859">
          <w:marLeft w:val="0"/>
          <w:marRight w:val="0"/>
          <w:marTop w:val="0"/>
          <w:marBottom w:val="0"/>
          <w:divBdr>
            <w:top w:val="none" w:sz="0" w:space="0" w:color="auto"/>
            <w:left w:val="none" w:sz="0" w:space="0" w:color="auto"/>
            <w:bottom w:val="none" w:sz="0" w:space="0" w:color="auto"/>
            <w:right w:val="none" w:sz="0" w:space="0" w:color="auto"/>
          </w:divBdr>
          <w:divsChild>
            <w:div w:id="293409587">
              <w:marLeft w:val="0"/>
              <w:marRight w:val="0"/>
              <w:marTop w:val="0"/>
              <w:marBottom w:val="0"/>
              <w:divBdr>
                <w:top w:val="none" w:sz="0" w:space="0" w:color="auto"/>
                <w:left w:val="none" w:sz="0" w:space="0" w:color="auto"/>
                <w:bottom w:val="none" w:sz="0" w:space="0" w:color="auto"/>
                <w:right w:val="none" w:sz="0" w:space="0" w:color="auto"/>
              </w:divBdr>
              <w:divsChild>
                <w:div w:id="20964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eporting.unhcr.org/sites/default/files/UNHCR-use-of-unearmarked-funding-in-2015-A5-June2016%20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ecd.org/dac/aid-architecture/Multilateral%20Report%20N%201_201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73884/Multilateral-Development-Review-Dec2016.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unicef.org/publicpartnerships/66662_6685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234EEF-0F4C-4F9D-AE11-9F10928B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6812</Words>
  <Characters>38832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Poole</dc:creator>
  <cp:lastModifiedBy>Paulette JONES</cp:lastModifiedBy>
  <cp:revision>2</cp:revision>
  <dcterms:created xsi:type="dcterms:W3CDTF">2018-02-12T06:19:00Z</dcterms:created>
  <dcterms:modified xsi:type="dcterms:W3CDTF">2018-02-12T06:19:00Z</dcterms:modified>
</cp:coreProperties>
</file>