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EFA02" w14:textId="015A582E" w:rsidR="00CF717A" w:rsidRDefault="000E54F7" w:rsidP="0022378E">
      <w:pPr>
        <w:spacing w:after="0"/>
        <w:jc w:val="both"/>
        <w:rPr>
          <w:rFonts w:ascii="Arial Narrow" w:hAnsi="Arial Narrow" w:cs="Calibri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Arial Narrow" w:hAnsi="Arial Narrow" w:cs="Calibri"/>
          <w:b/>
          <w:sz w:val="28"/>
          <w:szCs w:val="28"/>
          <w:lang w:val="en-GB"/>
        </w:rPr>
        <w:t>Reduced earmarking –</w:t>
      </w:r>
      <w:r w:rsidR="004D47E9">
        <w:rPr>
          <w:rFonts w:ascii="Arial Narrow" w:hAnsi="Arial Narrow" w:cs="Calibri"/>
          <w:b/>
          <w:sz w:val="28"/>
          <w:szCs w:val="28"/>
          <w:lang w:val="en-GB"/>
        </w:rPr>
        <w:t xml:space="preserve"> m</w:t>
      </w:r>
      <w:r w:rsidR="004D47E9" w:rsidRPr="004D47E9">
        <w:rPr>
          <w:rFonts w:ascii="Arial Narrow" w:hAnsi="Arial Narrow" w:cs="Calibri"/>
          <w:b/>
          <w:sz w:val="28"/>
          <w:szCs w:val="28"/>
          <w:lang w:val="en-GB"/>
        </w:rPr>
        <w:t xml:space="preserve">ake the case how </w:t>
      </w:r>
      <w:r w:rsidR="00D21D90">
        <w:rPr>
          <w:rFonts w:ascii="Arial Narrow" w:hAnsi="Arial Narrow" w:cs="Calibri"/>
          <w:b/>
          <w:sz w:val="28"/>
          <w:szCs w:val="28"/>
          <w:lang w:val="en-GB"/>
        </w:rPr>
        <w:t>un</w:t>
      </w:r>
      <w:r w:rsidR="009A47BB">
        <w:rPr>
          <w:rFonts w:ascii="Arial Narrow" w:hAnsi="Arial Narrow" w:cs="Calibri"/>
          <w:b/>
          <w:sz w:val="28"/>
          <w:szCs w:val="28"/>
          <w:lang w:val="en-GB"/>
        </w:rPr>
        <w:t>-</w:t>
      </w:r>
      <w:r w:rsidR="004D47E9" w:rsidRPr="004D47E9">
        <w:rPr>
          <w:rFonts w:ascii="Arial Narrow" w:hAnsi="Arial Narrow" w:cs="Calibri"/>
          <w:b/>
          <w:sz w:val="28"/>
          <w:szCs w:val="28"/>
          <w:lang w:val="en-GB"/>
        </w:rPr>
        <w:t xml:space="preserve">earmarked is saving more lives </w:t>
      </w:r>
      <w:r w:rsidR="004D47E9">
        <w:rPr>
          <w:rFonts w:ascii="Arial Narrow" w:hAnsi="Arial Narrow" w:cs="Calibri"/>
          <w:b/>
          <w:sz w:val="28"/>
          <w:szCs w:val="28"/>
          <w:lang w:val="en-GB"/>
        </w:rPr>
        <w:t xml:space="preserve">while </w:t>
      </w:r>
      <w:r>
        <w:rPr>
          <w:rFonts w:ascii="Arial Narrow" w:hAnsi="Arial Narrow" w:cs="Calibri"/>
          <w:b/>
          <w:sz w:val="28"/>
          <w:szCs w:val="28"/>
          <w:lang w:val="en-GB"/>
        </w:rPr>
        <w:t xml:space="preserve">unpacking flexibility along the </w:t>
      </w:r>
      <w:r w:rsidR="00372AFD">
        <w:rPr>
          <w:rFonts w:ascii="Arial Narrow" w:hAnsi="Arial Narrow" w:cs="Calibri"/>
          <w:b/>
          <w:sz w:val="28"/>
          <w:szCs w:val="28"/>
          <w:lang w:val="en-GB"/>
        </w:rPr>
        <w:t>“</w:t>
      </w:r>
      <w:r>
        <w:rPr>
          <w:rFonts w:ascii="Arial Narrow" w:hAnsi="Arial Narrow" w:cs="Calibri"/>
          <w:b/>
          <w:sz w:val="28"/>
          <w:szCs w:val="28"/>
          <w:lang w:val="en-GB"/>
        </w:rPr>
        <w:t>transaction chain</w:t>
      </w:r>
      <w:r w:rsidR="00372AFD">
        <w:rPr>
          <w:rFonts w:ascii="Arial Narrow" w:hAnsi="Arial Narrow" w:cs="Calibri"/>
          <w:b/>
          <w:sz w:val="28"/>
          <w:szCs w:val="28"/>
          <w:lang w:val="en-GB"/>
        </w:rPr>
        <w:t>”</w:t>
      </w:r>
    </w:p>
    <w:p w14:paraId="6E0FE0B8" w14:textId="77777777" w:rsidR="0022378E" w:rsidRPr="00B9591C" w:rsidRDefault="0022378E" w:rsidP="0022378E">
      <w:pPr>
        <w:spacing w:after="0"/>
        <w:jc w:val="both"/>
        <w:rPr>
          <w:rFonts w:ascii="Arial Narrow" w:hAnsi="Arial Narrow" w:cs="Calibri"/>
          <w:b/>
          <w:sz w:val="24"/>
          <w:szCs w:val="24"/>
          <w:lang w:val="en-GB"/>
        </w:rPr>
      </w:pPr>
    </w:p>
    <w:p w14:paraId="722CDA78" w14:textId="441D779E" w:rsidR="007D7A8D" w:rsidRPr="00B9591C" w:rsidRDefault="007D7A8D" w:rsidP="0022378E">
      <w:pPr>
        <w:spacing w:after="0"/>
        <w:jc w:val="both"/>
        <w:rPr>
          <w:rFonts w:ascii="Arial Narrow" w:hAnsi="Arial Narrow" w:cs="Calibri"/>
          <w:sz w:val="24"/>
          <w:szCs w:val="24"/>
          <w:lang w:val="en-US"/>
        </w:rPr>
      </w:pPr>
      <w:r w:rsidRPr="00B9591C">
        <w:rPr>
          <w:rFonts w:ascii="Arial Narrow" w:hAnsi="Arial Narrow" w:cs="Calibri"/>
          <w:sz w:val="24"/>
          <w:szCs w:val="24"/>
          <w:lang w:val="en-US"/>
        </w:rPr>
        <w:t xml:space="preserve">Flexible financing and less earmarking is key </w:t>
      </w:r>
      <w:r w:rsidR="00F534A5">
        <w:rPr>
          <w:rFonts w:ascii="Arial Narrow" w:hAnsi="Arial Narrow" w:cs="Calibri"/>
          <w:sz w:val="24"/>
          <w:szCs w:val="24"/>
          <w:lang w:val="en-US"/>
        </w:rPr>
        <w:t>to</w:t>
      </w:r>
      <w:r w:rsidRPr="00B9591C">
        <w:rPr>
          <w:rFonts w:ascii="Arial Narrow" w:hAnsi="Arial Narrow" w:cs="Calibri"/>
          <w:sz w:val="24"/>
          <w:szCs w:val="24"/>
          <w:lang w:val="en-US"/>
        </w:rPr>
        <w:t xml:space="preserve"> saving lives and alleviat</w:t>
      </w:r>
      <w:r w:rsidR="00F534A5">
        <w:rPr>
          <w:rFonts w:ascii="Arial Narrow" w:hAnsi="Arial Narrow" w:cs="Calibri"/>
          <w:sz w:val="24"/>
          <w:szCs w:val="24"/>
          <w:lang w:val="en-US"/>
        </w:rPr>
        <w:t>ing</w:t>
      </w:r>
      <w:r w:rsidRPr="00B9591C">
        <w:rPr>
          <w:rFonts w:ascii="Arial Narrow" w:hAnsi="Arial Narrow" w:cs="Calibri"/>
          <w:sz w:val="24"/>
          <w:szCs w:val="24"/>
          <w:lang w:val="en-US"/>
        </w:rPr>
        <w:t xml:space="preserve"> suffering</w:t>
      </w:r>
      <w:r w:rsidR="00F534A5">
        <w:rPr>
          <w:rFonts w:ascii="Arial Narrow" w:hAnsi="Arial Narrow" w:cs="Calibri"/>
          <w:sz w:val="24"/>
          <w:szCs w:val="24"/>
          <w:lang w:val="en-US"/>
        </w:rPr>
        <w:t>,</w:t>
      </w:r>
      <w:r w:rsidRPr="00B9591C">
        <w:rPr>
          <w:rFonts w:ascii="Arial Narrow" w:hAnsi="Arial Narrow" w:cs="Calibri"/>
          <w:sz w:val="24"/>
          <w:szCs w:val="24"/>
          <w:lang w:val="en-US"/>
        </w:rPr>
        <w:t xml:space="preserve"> as emphasized in the Good Humanitarian Donorship</w:t>
      </w:r>
      <w:r w:rsidR="001E0808">
        <w:rPr>
          <w:rFonts w:ascii="Arial Narrow" w:hAnsi="Arial Narrow" w:cs="Calibri"/>
          <w:sz w:val="24"/>
          <w:szCs w:val="24"/>
          <w:lang w:val="en-US"/>
        </w:rPr>
        <w:t xml:space="preserve"> (GHD)</w:t>
      </w:r>
      <w:r w:rsidRPr="00B9591C">
        <w:rPr>
          <w:rFonts w:ascii="Arial Narrow" w:hAnsi="Arial Narrow" w:cs="Calibri"/>
          <w:sz w:val="24"/>
          <w:szCs w:val="24"/>
          <w:lang w:val="en-US"/>
        </w:rPr>
        <w:t xml:space="preserve"> Principles (2003) and in the Grand Bargain – A shared commitment to </w:t>
      </w:r>
      <w:r w:rsidR="00F534A5">
        <w:rPr>
          <w:rFonts w:ascii="Arial Narrow" w:hAnsi="Arial Narrow" w:cs="Calibri"/>
          <w:sz w:val="24"/>
          <w:szCs w:val="24"/>
          <w:lang w:val="en-US"/>
        </w:rPr>
        <w:t>b</w:t>
      </w:r>
      <w:r w:rsidRPr="00B9591C">
        <w:rPr>
          <w:rFonts w:ascii="Arial Narrow" w:hAnsi="Arial Narrow" w:cs="Calibri"/>
          <w:sz w:val="24"/>
          <w:szCs w:val="24"/>
          <w:lang w:val="en-US"/>
        </w:rPr>
        <w:t xml:space="preserve">etter </w:t>
      </w:r>
      <w:r w:rsidR="00F534A5">
        <w:rPr>
          <w:rFonts w:ascii="Arial Narrow" w:hAnsi="Arial Narrow" w:cs="Calibri"/>
          <w:sz w:val="24"/>
          <w:szCs w:val="24"/>
          <w:lang w:val="en-US"/>
        </w:rPr>
        <w:t>s</w:t>
      </w:r>
      <w:r w:rsidRPr="00B9591C">
        <w:rPr>
          <w:rFonts w:ascii="Arial Narrow" w:hAnsi="Arial Narrow" w:cs="Calibri"/>
          <w:sz w:val="24"/>
          <w:szCs w:val="24"/>
          <w:lang w:val="en-US"/>
        </w:rPr>
        <w:t>erve people in need (201</w:t>
      </w:r>
      <w:r w:rsidR="00FD6997">
        <w:rPr>
          <w:rFonts w:ascii="Arial Narrow" w:hAnsi="Arial Narrow" w:cs="Calibri"/>
          <w:sz w:val="24"/>
          <w:szCs w:val="24"/>
          <w:lang w:val="en-US"/>
        </w:rPr>
        <w:t>6</w:t>
      </w:r>
      <w:r w:rsidRPr="00B9591C">
        <w:rPr>
          <w:rFonts w:ascii="Arial Narrow" w:hAnsi="Arial Narrow" w:cs="Calibri"/>
          <w:sz w:val="24"/>
          <w:szCs w:val="24"/>
          <w:lang w:val="en-US"/>
        </w:rPr>
        <w:t>).</w:t>
      </w:r>
      <w:r w:rsidR="00B9591C">
        <w:rPr>
          <w:rStyle w:val="FootnoteReference"/>
          <w:rFonts w:ascii="Arial Narrow" w:hAnsi="Arial Narrow" w:cs="Calibri"/>
          <w:sz w:val="24"/>
          <w:szCs w:val="24"/>
          <w:lang w:val="en-US"/>
        </w:rPr>
        <w:footnoteReference w:id="1"/>
      </w:r>
      <w:r w:rsidRPr="00B9591C">
        <w:rPr>
          <w:rFonts w:ascii="Arial Narrow" w:hAnsi="Arial Narrow" w:cs="Calibri"/>
          <w:sz w:val="24"/>
          <w:szCs w:val="24"/>
          <w:lang w:val="en-US"/>
        </w:rPr>
        <w:t xml:space="preserve"> Despite this insight, the trend is rather towards increased levels of earmarking.</w:t>
      </w:r>
      <w:r w:rsidR="001E0808">
        <w:rPr>
          <w:rStyle w:val="FootnoteReference"/>
          <w:rFonts w:ascii="Arial Narrow" w:hAnsi="Arial Narrow" w:cs="Calibri"/>
          <w:sz w:val="24"/>
          <w:szCs w:val="24"/>
          <w:lang w:val="en-US"/>
        </w:rPr>
        <w:footnoteReference w:id="2"/>
      </w:r>
      <w:r w:rsidR="001E0808">
        <w:rPr>
          <w:rFonts w:ascii="Arial Narrow" w:hAnsi="Arial Narrow" w:cs="Calibri"/>
          <w:sz w:val="24"/>
          <w:szCs w:val="24"/>
          <w:lang w:val="en-US"/>
        </w:rPr>
        <w:t xml:space="preserve"> </w:t>
      </w:r>
      <w:r w:rsidRPr="00B9591C">
        <w:rPr>
          <w:rFonts w:ascii="Arial Narrow" w:hAnsi="Arial Narrow" w:cs="Calibri"/>
          <w:sz w:val="24"/>
          <w:szCs w:val="24"/>
          <w:lang w:val="en-US"/>
        </w:rPr>
        <w:t xml:space="preserve">This trend relates to a number of, often inter-linked factors: control and accountability to donor countries’ tax payers, donor visibility, transparency and trust. </w:t>
      </w:r>
    </w:p>
    <w:p w14:paraId="3DC60F87" w14:textId="3ED7829E" w:rsidR="0022378E" w:rsidRDefault="007D7A8D" w:rsidP="0022378E">
      <w:pPr>
        <w:spacing w:after="0"/>
        <w:jc w:val="both"/>
        <w:rPr>
          <w:rFonts w:ascii="Arial Narrow" w:hAnsi="Arial Narrow" w:cs="Calibri"/>
          <w:sz w:val="24"/>
          <w:szCs w:val="24"/>
          <w:lang w:val="en-US"/>
        </w:rPr>
      </w:pPr>
      <w:r w:rsidRPr="00B9591C">
        <w:rPr>
          <w:rFonts w:ascii="Arial Narrow" w:hAnsi="Arial Narrow" w:cs="Calibri"/>
          <w:sz w:val="24"/>
          <w:szCs w:val="24"/>
          <w:lang w:val="en-US"/>
        </w:rPr>
        <w:t>Sweden and ICRC, as co-conveners of the Grand Bargain work s</w:t>
      </w:r>
      <w:r w:rsidR="00C07AF9" w:rsidRPr="00B9591C">
        <w:rPr>
          <w:rFonts w:ascii="Arial Narrow" w:hAnsi="Arial Narrow" w:cs="Calibri"/>
          <w:sz w:val="24"/>
          <w:szCs w:val="24"/>
          <w:lang w:val="en-US"/>
        </w:rPr>
        <w:t xml:space="preserve">tream </w:t>
      </w:r>
      <w:r w:rsidR="0022378E">
        <w:rPr>
          <w:rFonts w:ascii="Arial Narrow" w:hAnsi="Arial Narrow" w:cs="Calibri"/>
          <w:sz w:val="24"/>
          <w:szCs w:val="24"/>
          <w:lang w:val="en-US"/>
        </w:rPr>
        <w:t xml:space="preserve">number 8 “To reduce the earmarking of donor contributions” </w:t>
      </w:r>
      <w:r w:rsidR="00C07AF9" w:rsidRPr="00B9591C">
        <w:rPr>
          <w:rFonts w:ascii="Arial Narrow" w:hAnsi="Arial Narrow" w:cs="Calibri"/>
          <w:sz w:val="24"/>
          <w:szCs w:val="24"/>
          <w:lang w:val="en-US"/>
        </w:rPr>
        <w:t>ha</w:t>
      </w:r>
      <w:r w:rsidR="0022378E">
        <w:rPr>
          <w:rFonts w:ascii="Arial Narrow" w:hAnsi="Arial Narrow" w:cs="Calibri"/>
          <w:sz w:val="24"/>
          <w:szCs w:val="24"/>
          <w:lang w:val="en-US"/>
        </w:rPr>
        <w:t>ve</w:t>
      </w:r>
      <w:r w:rsidR="00C07AF9" w:rsidRPr="00B9591C">
        <w:rPr>
          <w:rFonts w:ascii="Arial Narrow" w:hAnsi="Arial Narrow" w:cs="Calibri"/>
          <w:sz w:val="24"/>
          <w:szCs w:val="24"/>
          <w:lang w:val="en-US"/>
        </w:rPr>
        <w:t xml:space="preserve"> </w:t>
      </w:r>
      <w:r w:rsidR="0022378E">
        <w:rPr>
          <w:rFonts w:ascii="Arial Narrow" w:hAnsi="Arial Narrow" w:cs="Calibri"/>
          <w:sz w:val="24"/>
          <w:szCs w:val="24"/>
          <w:lang w:val="en-US"/>
        </w:rPr>
        <w:t xml:space="preserve">in this first year of the Grand Bargain </w:t>
      </w:r>
      <w:r w:rsidR="00B9591C">
        <w:rPr>
          <w:rFonts w:ascii="Arial Narrow" w:hAnsi="Arial Narrow" w:cs="Calibri"/>
          <w:sz w:val="24"/>
          <w:szCs w:val="24"/>
          <w:lang w:val="en-US"/>
        </w:rPr>
        <w:t>sought to</w:t>
      </w:r>
      <w:r w:rsidR="0022378E">
        <w:rPr>
          <w:rFonts w:ascii="Arial Narrow" w:hAnsi="Arial Narrow" w:cs="Calibri"/>
          <w:sz w:val="24"/>
          <w:szCs w:val="24"/>
          <w:lang w:val="en-US"/>
        </w:rPr>
        <w:t xml:space="preserve">: </w:t>
      </w:r>
      <w:r w:rsidR="00C07AF9" w:rsidRPr="00B9591C">
        <w:rPr>
          <w:rFonts w:ascii="Arial Narrow" w:hAnsi="Arial Narrow" w:cs="Calibri"/>
          <w:sz w:val="24"/>
          <w:szCs w:val="24"/>
          <w:lang w:val="en-US"/>
        </w:rPr>
        <w:t xml:space="preserve"> </w:t>
      </w:r>
    </w:p>
    <w:p w14:paraId="724E711A" w14:textId="77777777" w:rsidR="0022378E" w:rsidRDefault="0022378E" w:rsidP="0022378E">
      <w:pPr>
        <w:spacing w:after="0"/>
        <w:jc w:val="both"/>
        <w:rPr>
          <w:rFonts w:ascii="Arial Narrow" w:hAnsi="Arial Narrow" w:cs="Calibri"/>
          <w:sz w:val="24"/>
          <w:szCs w:val="24"/>
          <w:lang w:val="en-US"/>
        </w:rPr>
      </w:pPr>
    </w:p>
    <w:p w14:paraId="4655E217" w14:textId="508ED59F" w:rsidR="0022378E" w:rsidRDefault="00B9591C" w:rsidP="0022378E">
      <w:pPr>
        <w:spacing w:after="0"/>
        <w:jc w:val="both"/>
        <w:rPr>
          <w:rFonts w:ascii="Arial Narrow" w:hAnsi="Arial Narrow" w:cs="Calibri"/>
          <w:sz w:val="24"/>
          <w:szCs w:val="24"/>
          <w:lang w:val="en-US"/>
        </w:rPr>
      </w:pPr>
      <w:r w:rsidRPr="0022378E">
        <w:rPr>
          <w:rFonts w:ascii="Arial Narrow" w:hAnsi="Arial Narrow" w:cs="Calibri"/>
          <w:b/>
          <w:sz w:val="24"/>
          <w:szCs w:val="24"/>
          <w:lang w:val="en-US"/>
        </w:rPr>
        <w:t>1</w:t>
      </w:r>
      <w:r w:rsidR="0022378E">
        <w:rPr>
          <w:rFonts w:ascii="Arial Narrow" w:hAnsi="Arial Narrow" w:cs="Calibri"/>
          <w:sz w:val="24"/>
          <w:szCs w:val="24"/>
          <w:lang w:val="en-US"/>
        </w:rPr>
        <w:t xml:space="preserve">. </w:t>
      </w:r>
      <w:r w:rsidR="0022378E" w:rsidRPr="00B9591C">
        <w:rPr>
          <w:rFonts w:ascii="Arial Narrow" w:hAnsi="Arial Narrow" w:cs="Calibri"/>
          <w:sz w:val="24"/>
          <w:szCs w:val="24"/>
          <w:lang w:val="en-US"/>
        </w:rPr>
        <w:t>Deepen</w:t>
      </w:r>
      <w:r w:rsidR="007D7A8D" w:rsidRPr="00B9591C">
        <w:rPr>
          <w:rFonts w:ascii="Arial Narrow" w:hAnsi="Arial Narrow" w:cs="Calibri"/>
          <w:sz w:val="24"/>
          <w:szCs w:val="24"/>
          <w:lang w:val="en-US"/>
        </w:rPr>
        <w:t xml:space="preserve"> </w:t>
      </w:r>
      <w:r w:rsidR="00D77F8C">
        <w:rPr>
          <w:rFonts w:ascii="Arial Narrow" w:hAnsi="Arial Narrow" w:cs="Calibri"/>
          <w:sz w:val="24"/>
          <w:szCs w:val="24"/>
          <w:lang w:val="en-US"/>
        </w:rPr>
        <w:t xml:space="preserve">the </w:t>
      </w:r>
      <w:r>
        <w:rPr>
          <w:rFonts w:ascii="Arial Narrow" w:hAnsi="Arial Narrow" w:cs="Calibri"/>
          <w:sz w:val="24"/>
          <w:szCs w:val="24"/>
          <w:lang w:val="en-US"/>
        </w:rPr>
        <w:t xml:space="preserve">understanding for </w:t>
      </w:r>
      <w:r w:rsidR="00D77F8C">
        <w:rPr>
          <w:rFonts w:ascii="Arial Narrow" w:hAnsi="Arial Narrow" w:cs="Calibri"/>
          <w:sz w:val="24"/>
          <w:szCs w:val="24"/>
          <w:lang w:val="en-US"/>
        </w:rPr>
        <w:t xml:space="preserve">the </w:t>
      </w:r>
      <w:r w:rsidR="007D7A8D" w:rsidRPr="00B9591C">
        <w:rPr>
          <w:rFonts w:ascii="Arial Narrow" w:hAnsi="Arial Narrow" w:cs="Calibri"/>
          <w:sz w:val="24"/>
          <w:szCs w:val="24"/>
          <w:lang w:val="en-US"/>
        </w:rPr>
        <w:t>rationa</w:t>
      </w:r>
      <w:r w:rsidR="00C07AF9" w:rsidRPr="00B9591C">
        <w:rPr>
          <w:rFonts w:ascii="Arial Narrow" w:hAnsi="Arial Narrow" w:cs="Calibri"/>
          <w:sz w:val="24"/>
          <w:szCs w:val="24"/>
          <w:lang w:val="en-US"/>
        </w:rPr>
        <w:t>le on “both sides of the fence” and</w:t>
      </w:r>
      <w:r w:rsidR="007D7A8D" w:rsidRPr="00B9591C">
        <w:rPr>
          <w:rFonts w:ascii="Arial Narrow" w:hAnsi="Arial Narrow" w:cs="Calibri"/>
          <w:sz w:val="24"/>
          <w:szCs w:val="24"/>
          <w:lang w:val="en-US"/>
        </w:rPr>
        <w:t xml:space="preserve"> </w:t>
      </w:r>
    </w:p>
    <w:p w14:paraId="67CF58B5" w14:textId="12A60A42" w:rsidR="0022378E" w:rsidRDefault="007D7A8D" w:rsidP="0022378E">
      <w:pPr>
        <w:spacing w:after="0"/>
        <w:jc w:val="both"/>
        <w:rPr>
          <w:rFonts w:ascii="Arial Narrow" w:hAnsi="Arial Narrow" w:cs="Calibri"/>
          <w:sz w:val="24"/>
          <w:szCs w:val="24"/>
          <w:lang w:val="en-US"/>
        </w:rPr>
      </w:pPr>
      <w:r w:rsidRPr="0022378E">
        <w:rPr>
          <w:rFonts w:ascii="Arial Narrow" w:hAnsi="Arial Narrow" w:cs="Calibri"/>
          <w:b/>
          <w:sz w:val="24"/>
          <w:szCs w:val="24"/>
          <w:lang w:val="en-US"/>
        </w:rPr>
        <w:t>2</w:t>
      </w:r>
      <w:r w:rsidR="0022378E">
        <w:rPr>
          <w:rFonts w:ascii="Arial Narrow" w:hAnsi="Arial Narrow" w:cs="Calibri"/>
          <w:sz w:val="24"/>
          <w:szCs w:val="24"/>
          <w:lang w:val="en-US"/>
        </w:rPr>
        <w:t>. I</w:t>
      </w:r>
      <w:r w:rsidRPr="00B9591C">
        <w:rPr>
          <w:rFonts w:ascii="Arial Narrow" w:hAnsi="Arial Narrow" w:cs="Calibri"/>
          <w:sz w:val="24"/>
          <w:szCs w:val="24"/>
          <w:lang w:val="en-US"/>
        </w:rPr>
        <w:t xml:space="preserve">dentify concrete policy options on how to progress towards less earmarking and more flexible funding. </w:t>
      </w:r>
    </w:p>
    <w:p w14:paraId="040AEA6C" w14:textId="77777777" w:rsidR="007F59FD" w:rsidRDefault="007F59FD" w:rsidP="0022378E">
      <w:pPr>
        <w:spacing w:after="0"/>
        <w:jc w:val="both"/>
        <w:rPr>
          <w:rFonts w:ascii="Arial Narrow" w:hAnsi="Arial Narrow" w:cs="Calibri"/>
          <w:b/>
          <w:sz w:val="24"/>
          <w:szCs w:val="24"/>
          <w:lang w:val="en-US"/>
        </w:rPr>
      </w:pPr>
    </w:p>
    <w:p w14:paraId="782B2583" w14:textId="0FD6F424" w:rsidR="00281785" w:rsidRPr="00D30CC5" w:rsidRDefault="007D7A8D" w:rsidP="0022378E">
      <w:pPr>
        <w:spacing w:after="0"/>
        <w:jc w:val="both"/>
        <w:rPr>
          <w:rFonts w:ascii="Arial Narrow" w:hAnsi="Arial Narrow" w:cs="Calibri"/>
          <w:sz w:val="24"/>
          <w:szCs w:val="24"/>
          <w:lang w:val="en-US"/>
        </w:rPr>
      </w:pPr>
      <w:r w:rsidRPr="00B9591C">
        <w:rPr>
          <w:rFonts w:ascii="Arial Narrow" w:hAnsi="Arial Narrow" w:cs="Calibri"/>
          <w:sz w:val="24"/>
          <w:szCs w:val="24"/>
          <w:lang w:val="en-US"/>
        </w:rPr>
        <w:t xml:space="preserve">The point of departure </w:t>
      </w:r>
      <w:r w:rsidR="003770D5">
        <w:rPr>
          <w:rFonts w:ascii="Arial Narrow" w:hAnsi="Arial Narrow" w:cs="Calibri"/>
          <w:sz w:val="24"/>
          <w:szCs w:val="24"/>
          <w:lang w:val="en-US"/>
        </w:rPr>
        <w:t xml:space="preserve">is based on </w:t>
      </w:r>
      <w:r w:rsidRPr="00B9591C">
        <w:rPr>
          <w:rFonts w:ascii="Arial Narrow" w:hAnsi="Arial Narrow" w:cs="Calibri"/>
          <w:sz w:val="24"/>
          <w:szCs w:val="24"/>
          <w:lang w:val="en-US"/>
        </w:rPr>
        <w:t>views, practices and policy considerations from both donors and agencies based on a fresh</w:t>
      </w:r>
      <w:r w:rsidR="006B270D">
        <w:rPr>
          <w:rFonts w:ascii="Arial Narrow" w:hAnsi="Arial Narrow" w:cs="Calibri"/>
          <w:sz w:val="24"/>
          <w:szCs w:val="24"/>
          <w:lang w:val="en-US"/>
        </w:rPr>
        <w:t xml:space="preserve"> survey carried out </w:t>
      </w:r>
      <w:r w:rsidR="0022378E">
        <w:rPr>
          <w:rFonts w:ascii="Arial Narrow" w:hAnsi="Arial Narrow" w:cs="Calibri"/>
          <w:sz w:val="24"/>
          <w:szCs w:val="24"/>
          <w:lang w:val="en-US"/>
        </w:rPr>
        <w:t xml:space="preserve">in the </w:t>
      </w:r>
      <w:r w:rsidR="006B270D">
        <w:rPr>
          <w:rFonts w:ascii="Arial Narrow" w:hAnsi="Arial Narrow" w:cs="Calibri"/>
          <w:sz w:val="24"/>
          <w:szCs w:val="24"/>
          <w:lang w:val="en-US"/>
        </w:rPr>
        <w:t>spring 2017</w:t>
      </w:r>
      <w:r w:rsidR="001E0808">
        <w:rPr>
          <w:rFonts w:ascii="Arial Narrow" w:hAnsi="Arial Narrow" w:cs="Calibri"/>
          <w:sz w:val="24"/>
          <w:szCs w:val="24"/>
          <w:lang w:val="en-US"/>
        </w:rPr>
        <w:t xml:space="preserve">, compiled and aggregated in </w:t>
      </w:r>
      <w:r w:rsidR="001E0808" w:rsidRPr="001E0808">
        <w:rPr>
          <w:rFonts w:ascii="Arial Narrow" w:hAnsi="Arial Narrow" w:cs="Calibri"/>
          <w:sz w:val="24"/>
          <w:szCs w:val="24"/>
          <w:lang w:val="en-US"/>
        </w:rPr>
        <w:t>a draft policy option</w:t>
      </w:r>
      <w:r w:rsidR="00D77F8C">
        <w:rPr>
          <w:rFonts w:ascii="Arial Narrow" w:hAnsi="Arial Narrow" w:cs="Calibri"/>
          <w:sz w:val="24"/>
          <w:szCs w:val="24"/>
          <w:lang w:val="en-US"/>
        </w:rPr>
        <w:t>s</w:t>
      </w:r>
      <w:r w:rsidR="001E0808" w:rsidRPr="001E0808">
        <w:rPr>
          <w:rFonts w:ascii="Arial Narrow" w:hAnsi="Arial Narrow" w:cs="Calibri"/>
          <w:sz w:val="24"/>
          <w:szCs w:val="24"/>
          <w:lang w:val="en-US"/>
        </w:rPr>
        <w:t xml:space="preserve"> paper</w:t>
      </w:r>
      <w:r w:rsidR="00F534A5">
        <w:rPr>
          <w:rFonts w:ascii="Arial Narrow" w:hAnsi="Arial Narrow" w:cs="Calibri"/>
          <w:sz w:val="24"/>
          <w:szCs w:val="24"/>
          <w:lang w:val="en-US"/>
        </w:rPr>
        <w:t xml:space="preserve"> (see annexe)</w:t>
      </w:r>
      <w:r w:rsidR="003770D5">
        <w:rPr>
          <w:rFonts w:ascii="Arial Narrow" w:hAnsi="Arial Narrow" w:cs="Calibri"/>
          <w:sz w:val="24"/>
          <w:szCs w:val="24"/>
          <w:lang w:val="en-US"/>
        </w:rPr>
        <w:t xml:space="preserve">. </w:t>
      </w:r>
      <w:r w:rsidR="001E0808">
        <w:rPr>
          <w:rFonts w:ascii="Arial Narrow" w:hAnsi="Arial Narrow" w:cs="Calibri"/>
          <w:sz w:val="24"/>
          <w:szCs w:val="24"/>
          <w:lang w:val="en-GB"/>
        </w:rPr>
        <w:t xml:space="preserve">One general caveat </w:t>
      </w:r>
      <w:r w:rsidR="00F534A5">
        <w:rPr>
          <w:rFonts w:ascii="Arial Narrow" w:hAnsi="Arial Narrow" w:cs="Calibri"/>
          <w:sz w:val="24"/>
          <w:szCs w:val="24"/>
          <w:lang w:val="en-GB"/>
        </w:rPr>
        <w:t>is</w:t>
      </w:r>
      <w:r w:rsidR="001E0808">
        <w:rPr>
          <w:rFonts w:ascii="Arial Narrow" w:hAnsi="Arial Narrow" w:cs="Calibri"/>
          <w:sz w:val="24"/>
          <w:szCs w:val="24"/>
          <w:lang w:val="en-GB"/>
        </w:rPr>
        <w:t>the fact that</w:t>
      </w:r>
      <w:r w:rsidRPr="001E0808">
        <w:rPr>
          <w:rFonts w:ascii="Arial Narrow" w:hAnsi="Arial Narrow" w:cs="Calibri"/>
          <w:sz w:val="24"/>
          <w:szCs w:val="24"/>
          <w:lang w:val="en-GB"/>
        </w:rPr>
        <w:t xml:space="preserve"> agency participation</w:t>
      </w:r>
      <w:r w:rsidR="001E0808">
        <w:rPr>
          <w:rFonts w:ascii="Arial Narrow" w:hAnsi="Arial Narrow" w:cs="Calibri"/>
          <w:sz w:val="24"/>
          <w:szCs w:val="24"/>
          <w:lang w:val="en-GB"/>
        </w:rPr>
        <w:t xml:space="preserve"> has been limited,</w:t>
      </w:r>
      <w:r w:rsidR="0022378E">
        <w:rPr>
          <w:rFonts w:ascii="Arial Narrow" w:hAnsi="Arial Narrow" w:cs="Calibri"/>
          <w:sz w:val="24"/>
          <w:szCs w:val="24"/>
          <w:lang w:val="en-GB"/>
        </w:rPr>
        <w:t xml:space="preserve"> particularly on the side of INGOs. This can be construed as an illustration that the issue is perceived as a technical/financial matter, or that INGOs do not feel they have a real possibility of influencing the matter. It is also important to mention that, in any case, the level at which a donor’s contributions are earmar</w:t>
      </w:r>
      <w:r w:rsidR="009A47BB">
        <w:rPr>
          <w:rFonts w:ascii="Arial Narrow" w:hAnsi="Arial Narrow" w:cs="Calibri"/>
          <w:sz w:val="24"/>
          <w:szCs w:val="24"/>
          <w:lang w:val="en-GB"/>
        </w:rPr>
        <w:t xml:space="preserve">ked will depend greatly on </w:t>
      </w:r>
      <w:r w:rsidR="0022378E">
        <w:rPr>
          <w:rFonts w:ascii="Arial Narrow" w:hAnsi="Arial Narrow" w:cs="Calibri"/>
          <w:sz w:val="24"/>
          <w:szCs w:val="24"/>
          <w:lang w:val="en-GB"/>
        </w:rPr>
        <w:t xml:space="preserve">changing- political will. </w:t>
      </w:r>
      <w:r w:rsidR="009A47BB">
        <w:rPr>
          <w:rFonts w:ascii="Arial Narrow" w:hAnsi="Arial Narrow" w:cs="Calibri"/>
          <w:sz w:val="24"/>
          <w:szCs w:val="24"/>
          <w:lang w:val="en-GB"/>
        </w:rPr>
        <w:t>The policy paper was discussed at a workshop 29</w:t>
      </w:r>
      <w:r w:rsidR="009A47BB" w:rsidRPr="009A47BB">
        <w:rPr>
          <w:rFonts w:ascii="Arial Narrow" w:hAnsi="Arial Narrow" w:cs="Calibri"/>
          <w:sz w:val="24"/>
          <w:szCs w:val="24"/>
          <w:vertAlign w:val="superscript"/>
          <w:lang w:val="en-GB"/>
        </w:rPr>
        <w:t>th</w:t>
      </w:r>
      <w:r w:rsidR="009A47BB">
        <w:rPr>
          <w:rFonts w:ascii="Arial Narrow" w:hAnsi="Arial Narrow" w:cs="Calibri"/>
          <w:sz w:val="24"/>
          <w:szCs w:val="24"/>
          <w:lang w:val="en-GB"/>
        </w:rPr>
        <w:t xml:space="preserve"> of May, hosted by ICRC and Sweden. Representatives from bilateral donors, UN agencies and INGOs partici</w:t>
      </w:r>
      <w:r w:rsidR="0086630B">
        <w:rPr>
          <w:rFonts w:ascii="Arial Narrow" w:hAnsi="Arial Narrow" w:cs="Calibri"/>
          <w:sz w:val="24"/>
          <w:szCs w:val="24"/>
          <w:lang w:val="en-GB"/>
        </w:rPr>
        <w:t>pated</w:t>
      </w:r>
      <w:r w:rsidR="00E05B45">
        <w:rPr>
          <w:rFonts w:ascii="Arial Narrow" w:hAnsi="Arial Narrow" w:cs="Calibri"/>
          <w:sz w:val="24"/>
          <w:szCs w:val="24"/>
          <w:lang w:val="en-GB"/>
        </w:rPr>
        <w:t xml:space="preserve">; </w:t>
      </w:r>
      <w:r w:rsidR="00FD6997" w:rsidRPr="009A47BB">
        <w:rPr>
          <w:rFonts w:ascii="Arial Narrow" w:hAnsi="Arial Narrow" w:cs="Calibri"/>
          <w:sz w:val="24"/>
          <w:szCs w:val="24"/>
          <w:lang w:val="en-US"/>
        </w:rPr>
        <w:t>S</w:t>
      </w:r>
      <w:r w:rsidR="00FD6997" w:rsidRPr="009A47BB">
        <w:rPr>
          <w:rFonts w:ascii="Arial Narrow" w:hAnsi="Arial Narrow" w:cs="Calibri"/>
          <w:sz w:val="24"/>
          <w:szCs w:val="24"/>
          <w:lang w:val="en-GB"/>
        </w:rPr>
        <w:t>ynergies between GHD and Grand Bargain were possible as Sweden co-leads work streams on reduced ear-marking in both spheres.</w:t>
      </w:r>
      <w:r w:rsidR="00281785" w:rsidRPr="003B0549">
        <w:rPr>
          <w:rFonts w:ascii="Arial Narrow" w:hAnsi="Arial Narrow" w:cs="Calibri"/>
          <w:sz w:val="24"/>
          <w:szCs w:val="24"/>
          <w:lang w:val="en-GB"/>
        </w:rPr>
        <w:t xml:space="preserve">Three main aspects were highlighted in order to advance this issue forward. </w:t>
      </w:r>
    </w:p>
    <w:p w14:paraId="2A4B163E" w14:textId="77777777" w:rsidR="00281785" w:rsidRPr="00D30CC5" w:rsidRDefault="00281785" w:rsidP="0022378E">
      <w:pPr>
        <w:spacing w:after="0"/>
        <w:jc w:val="both"/>
        <w:rPr>
          <w:rFonts w:ascii="Arial Narrow" w:hAnsi="Arial Narrow" w:cs="Calibri"/>
          <w:b/>
          <w:sz w:val="28"/>
          <w:szCs w:val="28"/>
          <w:lang w:val="en-US"/>
        </w:rPr>
      </w:pPr>
    </w:p>
    <w:p w14:paraId="1DA1018C" w14:textId="744BF518" w:rsidR="009B3DEC" w:rsidRPr="007F59FD" w:rsidRDefault="00980D18" w:rsidP="007F59FD">
      <w:pPr>
        <w:pStyle w:val="ListParagraph"/>
        <w:numPr>
          <w:ilvl w:val="0"/>
          <w:numId w:val="46"/>
        </w:numPr>
        <w:spacing w:after="0"/>
        <w:jc w:val="both"/>
        <w:rPr>
          <w:rFonts w:ascii="Arial Narrow" w:hAnsi="Arial Narrow" w:cs="Calibri"/>
          <w:b/>
          <w:sz w:val="28"/>
          <w:szCs w:val="28"/>
          <w:lang w:val="en-GB"/>
        </w:rPr>
      </w:pPr>
      <w:r>
        <w:rPr>
          <w:rFonts w:ascii="Arial Narrow" w:hAnsi="Arial Narrow" w:cs="Calibri"/>
          <w:b/>
          <w:sz w:val="28"/>
          <w:szCs w:val="28"/>
          <w:lang w:val="en-GB"/>
        </w:rPr>
        <w:t xml:space="preserve">There </w:t>
      </w:r>
      <w:r w:rsidR="007F59FD">
        <w:rPr>
          <w:rFonts w:ascii="Arial Narrow" w:hAnsi="Arial Narrow" w:cs="Calibri"/>
          <w:b/>
          <w:sz w:val="28"/>
          <w:szCs w:val="28"/>
          <w:lang w:val="en-GB"/>
        </w:rPr>
        <w:t>i</w:t>
      </w:r>
      <w:r>
        <w:rPr>
          <w:rFonts w:ascii="Arial Narrow" w:hAnsi="Arial Narrow" w:cs="Calibri"/>
          <w:b/>
          <w:sz w:val="28"/>
          <w:szCs w:val="28"/>
          <w:lang w:val="en-GB"/>
        </w:rPr>
        <w:t>s a need to m</w:t>
      </w:r>
      <w:r w:rsidR="009E13B3" w:rsidRPr="007F59FD">
        <w:rPr>
          <w:rFonts w:ascii="Arial Narrow" w:hAnsi="Arial Narrow" w:cs="Calibri"/>
          <w:b/>
          <w:sz w:val="28"/>
          <w:szCs w:val="28"/>
          <w:lang w:val="en-GB"/>
        </w:rPr>
        <w:t>ake the case</w:t>
      </w:r>
      <w:r>
        <w:rPr>
          <w:rFonts w:ascii="Arial Narrow" w:hAnsi="Arial Narrow" w:cs="Calibri"/>
          <w:b/>
          <w:sz w:val="28"/>
          <w:szCs w:val="28"/>
          <w:lang w:val="en-GB"/>
        </w:rPr>
        <w:t xml:space="preserve"> for</w:t>
      </w:r>
      <w:r w:rsidR="009E13B3" w:rsidRPr="007F59FD">
        <w:rPr>
          <w:rFonts w:ascii="Arial Narrow" w:hAnsi="Arial Narrow" w:cs="Calibri"/>
          <w:b/>
          <w:sz w:val="28"/>
          <w:szCs w:val="28"/>
          <w:lang w:val="en-GB"/>
        </w:rPr>
        <w:t xml:space="preserve"> how </w:t>
      </w:r>
      <w:r w:rsidR="00D21D90">
        <w:rPr>
          <w:rFonts w:ascii="Arial Narrow" w:hAnsi="Arial Narrow" w:cs="Calibri"/>
          <w:b/>
          <w:sz w:val="28"/>
          <w:szCs w:val="28"/>
          <w:lang w:val="en-GB"/>
        </w:rPr>
        <w:t>un</w:t>
      </w:r>
      <w:r w:rsidR="007F59FD">
        <w:rPr>
          <w:rFonts w:ascii="Arial Narrow" w:hAnsi="Arial Narrow" w:cs="Calibri"/>
          <w:b/>
          <w:sz w:val="28"/>
          <w:szCs w:val="28"/>
          <w:lang w:val="en-GB"/>
        </w:rPr>
        <w:t>-e</w:t>
      </w:r>
      <w:r w:rsidR="009E13B3" w:rsidRPr="007F59FD">
        <w:rPr>
          <w:rFonts w:ascii="Arial Narrow" w:hAnsi="Arial Narrow" w:cs="Calibri"/>
          <w:b/>
          <w:sz w:val="28"/>
          <w:szCs w:val="28"/>
          <w:lang w:val="en-GB"/>
        </w:rPr>
        <w:t>armarked</w:t>
      </w:r>
      <w:r>
        <w:rPr>
          <w:rFonts w:ascii="Arial Narrow" w:hAnsi="Arial Narrow" w:cs="Calibri"/>
          <w:b/>
          <w:sz w:val="28"/>
          <w:szCs w:val="28"/>
          <w:lang w:val="en-GB"/>
        </w:rPr>
        <w:t xml:space="preserve"> funding</w:t>
      </w:r>
      <w:r w:rsidR="009E13B3" w:rsidRPr="007F59FD">
        <w:rPr>
          <w:rFonts w:ascii="Arial Narrow" w:hAnsi="Arial Narrow" w:cs="Calibri"/>
          <w:b/>
          <w:sz w:val="28"/>
          <w:szCs w:val="28"/>
          <w:lang w:val="en-GB"/>
        </w:rPr>
        <w:t xml:space="preserve"> is saving more live</w:t>
      </w:r>
      <w:r w:rsidR="009B3DEC" w:rsidRPr="007F59FD">
        <w:rPr>
          <w:rFonts w:ascii="Arial Narrow" w:hAnsi="Arial Narrow" w:cs="Calibri"/>
          <w:b/>
          <w:sz w:val="28"/>
          <w:szCs w:val="28"/>
          <w:lang w:val="en-GB"/>
        </w:rPr>
        <w:t>s.</w:t>
      </w:r>
    </w:p>
    <w:p w14:paraId="5C11D825" w14:textId="77777777" w:rsidR="0086630B" w:rsidRDefault="0086630B" w:rsidP="007F59FD">
      <w:pPr>
        <w:spacing w:after="0"/>
        <w:ind w:left="360"/>
        <w:jc w:val="both"/>
        <w:rPr>
          <w:rFonts w:ascii="Arial Narrow" w:hAnsi="Arial Narrow" w:cs="Calibri"/>
          <w:sz w:val="24"/>
          <w:szCs w:val="24"/>
          <w:lang w:val="en-GB"/>
        </w:rPr>
      </w:pPr>
    </w:p>
    <w:p w14:paraId="071CD287" w14:textId="77777777" w:rsidR="00D30CC5" w:rsidRDefault="00D30CC5" w:rsidP="00D30CC5">
      <w:pPr>
        <w:pStyle w:val="ListParagraph"/>
        <w:numPr>
          <w:ilvl w:val="0"/>
          <w:numId w:val="49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 w:rsidRPr="00D30CC5">
        <w:rPr>
          <w:rFonts w:ascii="Arial Narrow" w:hAnsi="Arial Narrow" w:cs="Calibri"/>
          <w:sz w:val="24"/>
          <w:szCs w:val="24"/>
          <w:lang w:val="en-GB"/>
        </w:rPr>
        <w:t>Burden-sharing of the Grand Bargain’s 30% target is necessary to avoid that principled and flexible donors are left to cover the less ‘</w:t>
      </w:r>
      <w:r w:rsidRPr="00FD6997">
        <w:rPr>
          <w:rFonts w:ascii="Arial Narrow" w:hAnsi="Arial Narrow" w:cs="Calibri"/>
          <w:sz w:val="24"/>
          <w:szCs w:val="24"/>
          <w:lang w:val="en-GB"/>
        </w:rPr>
        <w:t>attractive’ costs and/or “subsidizing” the agenda of</w:t>
      </w:r>
      <w:r>
        <w:rPr>
          <w:rFonts w:ascii="Arial Narrow" w:hAnsi="Arial Narrow" w:cs="Calibri"/>
          <w:sz w:val="24"/>
          <w:szCs w:val="24"/>
          <w:lang w:val="en-GB"/>
        </w:rPr>
        <w:t xml:space="preserve"> those donors that provide </w:t>
      </w:r>
      <w:r w:rsidRPr="00FD6997">
        <w:rPr>
          <w:rFonts w:ascii="Arial Narrow" w:hAnsi="Arial Narrow" w:cs="Calibri"/>
          <w:sz w:val="24"/>
          <w:szCs w:val="24"/>
          <w:lang w:val="en-GB"/>
        </w:rPr>
        <w:t>earmarked funding.</w:t>
      </w:r>
    </w:p>
    <w:p w14:paraId="31DE31ED" w14:textId="1A48351A" w:rsidR="00FD6997" w:rsidRDefault="009B3DEC" w:rsidP="00FD6997">
      <w:pPr>
        <w:pStyle w:val="ListParagraph"/>
        <w:numPr>
          <w:ilvl w:val="0"/>
          <w:numId w:val="49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 w:rsidRPr="003B0549">
        <w:rPr>
          <w:rFonts w:ascii="Arial Narrow" w:hAnsi="Arial Narrow" w:cs="Calibri"/>
          <w:sz w:val="24"/>
          <w:szCs w:val="24"/>
          <w:lang w:val="en-GB"/>
        </w:rPr>
        <w:t>An open dialogue on donor need</w:t>
      </w:r>
      <w:r w:rsidR="00766417">
        <w:rPr>
          <w:rFonts w:ascii="Arial Narrow" w:hAnsi="Arial Narrow" w:cs="Calibri"/>
          <w:sz w:val="24"/>
          <w:szCs w:val="24"/>
          <w:lang w:val="en-GB"/>
        </w:rPr>
        <w:t>s</w:t>
      </w:r>
      <w:r w:rsidRPr="003B0549">
        <w:rPr>
          <w:rFonts w:ascii="Arial Narrow" w:hAnsi="Arial Narrow" w:cs="Calibri"/>
          <w:sz w:val="24"/>
          <w:szCs w:val="24"/>
          <w:lang w:val="en-GB"/>
        </w:rPr>
        <w:t xml:space="preserve"> and be</w:t>
      </w:r>
      <w:r w:rsidR="00026822">
        <w:rPr>
          <w:rFonts w:ascii="Arial Narrow" w:hAnsi="Arial Narrow" w:cs="Calibri"/>
          <w:sz w:val="24"/>
          <w:szCs w:val="24"/>
          <w:lang w:val="en-GB"/>
        </w:rPr>
        <w:t>st</w:t>
      </w:r>
      <w:r w:rsidRPr="003B0549">
        <w:rPr>
          <w:rFonts w:ascii="Arial Narrow" w:hAnsi="Arial Narrow" w:cs="Calibri"/>
          <w:sz w:val="24"/>
          <w:szCs w:val="24"/>
          <w:lang w:val="en-GB"/>
        </w:rPr>
        <w:t xml:space="preserve"> practice on reporting, providing additional visibility are</w:t>
      </w:r>
      <w:r w:rsidR="00F534A5">
        <w:rPr>
          <w:rFonts w:ascii="Arial Narrow" w:hAnsi="Arial Narrow" w:cs="Calibri"/>
          <w:sz w:val="24"/>
          <w:szCs w:val="24"/>
          <w:lang w:val="en-GB"/>
        </w:rPr>
        <w:t xml:space="preserve"> essential in order </w:t>
      </w:r>
      <w:r w:rsidRPr="003B0549">
        <w:rPr>
          <w:rFonts w:ascii="Arial Narrow" w:hAnsi="Arial Narrow" w:cs="Calibri"/>
          <w:sz w:val="24"/>
          <w:szCs w:val="24"/>
          <w:lang w:val="en-GB"/>
        </w:rPr>
        <w:t xml:space="preserve">to advance what remains ultimately a political decision. </w:t>
      </w:r>
      <w:r w:rsidR="001F794A" w:rsidRPr="003B0549">
        <w:rPr>
          <w:rFonts w:ascii="Arial Narrow" w:hAnsi="Arial Narrow" w:cs="Calibri"/>
          <w:sz w:val="24"/>
          <w:szCs w:val="24"/>
          <w:lang w:val="en-GB"/>
        </w:rPr>
        <w:t>W</w:t>
      </w:r>
      <w:r w:rsidRPr="003B0549">
        <w:rPr>
          <w:rFonts w:ascii="Arial Narrow" w:hAnsi="Arial Narrow" w:cs="Calibri"/>
          <w:sz w:val="24"/>
          <w:szCs w:val="24"/>
          <w:lang w:val="en-GB"/>
        </w:rPr>
        <w:t xml:space="preserve">e need to move to the “next level” and better show-case the risks and benefits of non-earmarked contributions. </w:t>
      </w:r>
    </w:p>
    <w:p w14:paraId="272CE743" w14:textId="5F29D7AC" w:rsidR="00D30CC5" w:rsidRDefault="00D30CC5" w:rsidP="00D30CC5">
      <w:pPr>
        <w:pStyle w:val="ListParagraph"/>
        <w:numPr>
          <w:ilvl w:val="0"/>
          <w:numId w:val="49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 w:rsidRPr="00FD6997">
        <w:rPr>
          <w:rFonts w:ascii="Arial Narrow" w:hAnsi="Arial Narrow" w:cs="Calibri"/>
          <w:sz w:val="24"/>
          <w:szCs w:val="24"/>
          <w:lang w:val="en-GB"/>
        </w:rPr>
        <w:t xml:space="preserve">There needs to be better </w:t>
      </w:r>
      <w:r w:rsidRPr="00D30CC5">
        <w:rPr>
          <w:rFonts w:ascii="Arial Narrow" w:hAnsi="Arial Narrow" w:cs="Calibri"/>
          <w:sz w:val="24"/>
          <w:szCs w:val="24"/>
          <w:lang w:val="en-GB"/>
        </w:rPr>
        <w:t>evidence of how un-earmarked funding is more cost-effective to</w:t>
      </w:r>
      <w:r>
        <w:rPr>
          <w:rFonts w:ascii="Arial Narrow" w:hAnsi="Arial Narrow" w:cs="Calibri"/>
          <w:sz w:val="24"/>
          <w:szCs w:val="24"/>
          <w:lang w:val="en-GB"/>
        </w:rPr>
        <w:t xml:space="preserve"> gather political will for less earmarking</w:t>
      </w:r>
      <w:r w:rsidRPr="00FD6997">
        <w:rPr>
          <w:rFonts w:ascii="Arial Narrow" w:hAnsi="Arial Narrow" w:cs="Calibri"/>
          <w:sz w:val="24"/>
          <w:szCs w:val="24"/>
          <w:lang w:val="en-GB"/>
        </w:rPr>
        <w:t xml:space="preserve">. </w:t>
      </w:r>
    </w:p>
    <w:p w14:paraId="00B0B4CF" w14:textId="6343C849" w:rsidR="00D30CC5" w:rsidRDefault="00766417" w:rsidP="00D30CC5">
      <w:pPr>
        <w:pStyle w:val="ListParagraph"/>
        <w:numPr>
          <w:ilvl w:val="0"/>
          <w:numId w:val="49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>A c</w:t>
      </w:r>
      <w:r w:rsidR="00D30CC5" w:rsidRPr="00FD6997">
        <w:rPr>
          <w:rFonts w:ascii="Arial Narrow" w:hAnsi="Arial Narrow" w:cs="Calibri"/>
          <w:sz w:val="24"/>
          <w:szCs w:val="24"/>
          <w:lang w:val="en-GB"/>
        </w:rPr>
        <w:t>lear</w:t>
      </w:r>
      <w:r w:rsidR="00D30CC5">
        <w:rPr>
          <w:rFonts w:ascii="Arial Narrow" w:hAnsi="Arial Narrow" w:cs="Calibri"/>
          <w:sz w:val="24"/>
          <w:szCs w:val="24"/>
          <w:lang w:val="en-GB"/>
        </w:rPr>
        <w:t xml:space="preserve"> and</w:t>
      </w:r>
      <w:r w:rsidR="00D30CC5" w:rsidRPr="00FD6997">
        <w:rPr>
          <w:rFonts w:ascii="Arial Narrow" w:hAnsi="Arial Narrow" w:cs="Calibri"/>
          <w:sz w:val="24"/>
          <w:szCs w:val="24"/>
          <w:lang w:val="en-GB"/>
        </w:rPr>
        <w:t xml:space="preserve"> transparent allocation process contribute</w:t>
      </w:r>
      <w:r w:rsidR="00D30CC5">
        <w:rPr>
          <w:rFonts w:ascii="Arial Narrow" w:hAnsi="Arial Narrow" w:cs="Calibri"/>
          <w:sz w:val="24"/>
          <w:szCs w:val="24"/>
          <w:lang w:val="en-GB"/>
        </w:rPr>
        <w:t>s to trust</w:t>
      </w:r>
      <w:r w:rsidR="00D30CC5" w:rsidRPr="00FD6997">
        <w:rPr>
          <w:rFonts w:ascii="Arial Narrow" w:hAnsi="Arial Narrow" w:cs="Calibri"/>
          <w:sz w:val="24"/>
          <w:szCs w:val="24"/>
          <w:lang w:val="en-GB"/>
        </w:rPr>
        <w:t xml:space="preserve">. </w:t>
      </w:r>
    </w:p>
    <w:p w14:paraId="0B56AB3D" w14:textId="3A677A74" w:rsidR="00FD6997" w:rsidRPr="00D30CC5" w:rsidRDefault="009E13B3" w:rsidP="00D30CC5">
      <w:pPr>
        <w:pStyle w:val="ListParagraph"/>
        <w:numPr>
          <w:ilvl w:val="0"/>
          <w:numId w:val="49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 w:rsidRPr="00D30CC5">
        <w:rPr>
          <w:rFonts w:ascii="Arial Narrow" w:hAnsi="Arial Narrow" w:cs="Calibri"/>
          <w:sz w:val="24"/>
          <w:szCs w:val="24"/>
          <w:lang w:val="en-GB"/>
        </w:rPr>
        <w:lastRenderedPageBreak/>
        <w:t xml:space="preserve">Reporting on results &amp; visibility </w:t>
      </w:r>
      <w:r w:rsidR="00281785" w:rsidRPr="00D30CC5">
        <w:rPr>
          <w:rFonts w:ascii="Arial Narrow" w:hAnsi="Arial Narrow" w:cs="Calibri"/>
          <w:sz w:val="24"/>
          <w:szCs w:val="24"/>
          <w:lang w:val="en-GB"/>
        </w:rPr>
        <w:t xml:space="preserve">is </w:t>
      </w:r>
      <w:r w:rsidRPr="00D30CC5">
        <w:rPr>
          <w:rFonts w:ascii="Arial Narrow" w:hAnsi="Arial Narrow" w:cs="Calibri"/>
          <w:sz w:val="24"/>
          <w:szCs w:val="24"/>
          <w:lang w:val="en-GB"/>
        </w:rPr>
        <w:t xml:space="preserve">not enough </w:t>
      </w:r>
      <w:r w:rsidR="00281785" w:rsidRPr="00D30CC5">
        <w:rPr>
          <w:rFonts w:ascii="Arial Narrow" w:hAnsi="Arial Narrow" w:cs="Calibri"/>
          <w:sz w:val="24"/>
          <w:szCs w:val="24"/>
          <w:lang w:val="en-GB"/>
        </w:rPr>
        <w:t>to</w:t>
      </w:r>
      <w:r w:rsidRPr="00D30CC5">
        <w:rPr>
          <w:rFonts w:ascii="Arial Narrow" w:hAnsi="Arial Narrow" w:cs="Calibri"/>
          <w:sz w:val="24"/>
          <w:szCs w:val="24"/>
          <w:lang w:val="en-GB"/>
        </w:rPr>
        <w:t xml:space="preserve"> build </w:t>
      </w:r>
      <w:r w:rsidR="00281785" w:rsidRPr="00D30CC5">
        <w:rPr>
          <w:rFonts w:ascii="Arial Narrow" w:hAnsi="Arial Narrow" w:cs="Calibri"/>
          <w:sz w:val="24"/>
          <w:szCs w:val="24"/>
          <w:lang w:val="en-GB"/>
        </w:rPr>
        <w:t xml:space="preserve">the necessary </w:t>
      </w:r>
      <w:r w:rsidRPr="00D30CC5">
        <w:rPr>
          <w:rFonts w:ascii="Arial Narrow" w:hAnsi="Arial Narrow" w:cs="Calibri"/>
          <w:sz w:val="24"/>
          <w:szCs w:val="24"/>
          <w:lang w:val="en-GB"/>
        </w:rPr>
        <w:t xml:space="preserve">trust </w:t>
      </w:r>
      <w:r w:rsidR="00281785" w:rsidRPr="00D30CC5">
        <w:rPr>
          <w:rFonts w:ascii="Arial Narrow" w:hAnsi="Arial Narrow" w:cs="Calibri"/>
          <w:sz w:val="24"/>
          <w:szCs w:val="24"/>
          <w:lang w:val="en-GB"/>
        </w:rPr>
        <w:t>from donors and</w:t>
      </w:r>
      <w:r w:rsidRPr="00D30CC5">
        <w:rPr>
          <w:rFonts w:ascii="Arial Narrow" w:hAnsi="Arial Narrow" w:cs="Calibri"/>
          <w:sz w:val="24"/>
          <w:szCs w:val="24"/>
          <w:lang w:val="en-GB"/>
        </w:rPr>
        <w:t xml:space="preserve"> address </w:t>
      </w:r>
      <w:r w:rsidR="00281785" w:rsidRPr="00D30CC5">
        <w:rPr>
          <w:rFonts w:ascii="Arial Narrow" w:hAnsi="Arial Narrow" w:cs="Calibri"/>
          <w:sz w:val="24"/>
          <w:szCs w:val="24"/>
          <w:lang w:val="en-GB"/>
        </w:rPr>
        <w:t xml:space="preserve">their </w:t>
      </w:r>
      <w:r w:rsidRPr="00D30CC5">
        <w:rPr>
          <w:rFonts w:ascii="Arial Narrow" w:hAnsi="Arial Narrow" w:cs="Calibri"/>
          <w:sz w:val="24"/>
          <w:szCs w:val="24"/>
          <w:lang w:val="en-GB"/>
        </w:rPr>
        <w:t>needs and requirements</w:t>
      </w:r>
      <w:r w:rsidR="00281785" w:rsidRPr="00D30CC5">
        <w:rPr>
          <w:rFonts w:ascii="Arial Narrow" w:hAnsi="Arial Narrow" w:cs="Calibri"/>
          <w:sz w:val="24"/>
          <w:szCs w:val="24"/>
          <w:lang w:val="en-GB"/>
        </w:rPr>
        <w:t xml:space="preserve">, namely towards their constituencies. </w:t>
      </w:r>
      <w:r w:rsidR="00766417">
        <w:rPr>
          <w:rFonts w:ascii="Arial Narrow" w:hAnsi="Arial Narrow" w:cs="Calibri"/>
          <w:sz w:val="24"/>
          <w:szCs w:val="24"/>
          <w:lang w:val="en-GB"/>
        </w:rPr>
        <w:t>E</w:t>
      </w:r>
      <w:r w:rsidR="003B0549" w:rsidRPr="00D30CC5">
        <w:rPr>
          <w:rFonts w:ascii="Arial Narrow" w:hAnsi="Arial Narrow" w:cs="Calibri"/>
          <w:sz w:val="24"/>
          <w:szCs w:val="24"/>
          <w:lang w:val="en-GB"/>
        </w:rPr>
        <w:t xml:space="preserve">stablishing clearer link between un-earmarked contributions and humanitarian results would help build confidence. </w:t>
      </w:r>
    </w:p>
    <w:p w14:paraId="02232482" w14:textId="2ED17721" w:rsidR="00D30CC5" w:rsidRDefault="00D30CC5" w:rsidP="00D30CC5">
      <w:pPr>
        <w:pStyle w:val="ListParagraph"/>
        <w:numPr>
          <w:ilvl w:val="0"/>
          <w:numId w:val="49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 w:rsidRPr="00D30CC5">
        <w:rPr>
          <w:rFonts w:ascii="Arial Narrow" w:hAnsi="Arial Narrow" w:cs="Calibri"/>
          <w:sz w:val="24"/>
          <w:szCs w:val="24"/>
          <w:lang w:val="en-GB"/>
        </w:rPr>
        <w:t>Increasing data collection on un-earmarked contributions – using Financial Tracking System (FTS)</w:t>
      </w:r>
      <w:r w:rsidR="00766417">
        <w:rPr>
          <w:rFonts w:ascii="Arial Narrow" w:hAnsi="Arial Narrow" w:cs="Calibri"/>
          <w:sz w:val="24"/>
          <w:szCs w:val="24"/>
          <w:lang w:val="en-GB"/>
        </w:rPr>
        <w:t xml:space="preserve"> and/or</w:t>
      </w:r>
      <w:r w:rsidRPr="00D30CC5">
        <w:rPr>
          <w:rFonts w:ascii="Arial Narrow" w:hAnsi="Arial Narrow" w:cs="Calibri"/>
          <w:sz w:val="24"/>
          <w:szCs w:val="24"/>
          <w:lang w:val="en-GB"/>
        </w:rPr>
        <w:t xml:space="preserve"> the annual GHA report- would facilitate</w:t>
      </w:r>
      <w:r w:rsidR="00766417">
        <w:rPr>
          <w:rFonts w:ascii="Arial Narrow" w:hAnsi="Arial Narrow" w:cs="Calibri"/>
          <w:sz w:val="24"/>
          <w:szCs w:val="24"/>
          <w:lang w:val="en-GB"/>
        </w:rPr>
        <w:t xml:space="preserve"> a</w:t>
      </w:r>
      <w:r w:rsidRPr="00D30CC5">
        <w:rPr>
          <w:rFonts w:ascii="Arial Narrow" w:hAnsi="Arial Narrow" w:cs="Calibri"/>
          <w:sz w:val="24"/>
          <w:szCs w:val="24"/>
          <w:lang w:val="en-GB"/>
        </w:rPr>
        <w:t xml:space="preserve"> more evidence-based approach. </w:t>
      </w:r>
    </w:p>
    <w:p w14:paraId="0CD37001" w14:textId="41BCEF87" w:rsidR="002922D5" w:rsidRDefault="00A81531" w:rsidP="002922D5">
      <w:pPr>
        <w:pStyle w:val="ListParagraph"/>
        <w:numPr>
          <w:ilvl w:val="0"/>
          <w:numId w:val="49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 xml:space="preserve">Above all, donors noted that to increase </w:t>
      </w:r>
      <w:r w:rsidR="002922D5">
        <w:rPr>
          <w:rFonts w:ascii="Arial Narrow" w:hAnsi="Arial Narrow" w:cs="Calibri"/>
          <w:sz w:val="24"/>
          <w:szCs w:val="24"/>
          <w:lang w:val="en-GB"/>
        </w:rPr>
        <w:t>un</w:t>
      </w:r>
      <w:r w:rsidR="00CB7741">
        <w:rPr>
          <w:rFonts w:ascii="Arial Narrow" w:hAnsi="Arial Narrow" w:cs="Calibri"/>
          <w:sz w:val="24"/>
          <w:szCs w:val="24"/>
          <w:lang w:val="en-GB"/>
        </w:rPr>
        <w:t>-</w:t>
      </w:r>
      <w:r w:rsidR="002922D5">
        <w:rPr>
          <w:rFonts w:ascii="Arial Narrow" w:hAnsi="Arial Narrow" w:cs="Calibri"/>
          <w:sz w:val="24"/>
          <w:szCs w:val="24"/>
          <w:lang w:val="en-GB"/>
        </w:rPr>
        <w:t>earmarked contributions it was important for them to have trust in:</w:t>
      </w:r>
    </w:p>
    <w:p w14:paraId="779BBDD9" w14:textId="401F89C0" w:rsidR="00A81531" w:rsidRDefault="00A81531" w:rsidP="00CB7741">
      <w:pPr>
        <w:pStyle w:val="ListParagraph"/>
        <w:numPr>
          <w:ilvl w:val="1"/>
          <w:numId w:val="49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 xml:space="preserve">the needs assessments that are leading to the development of humanitarian programmes and budgets. </w:t>
      </w:r>
    </w:p>
    <w:p w14:paraId="4A624663" w14:textId="7408A394" w:rsidR="002922D5" w:rsidRPr="00D30CC5" w:rsidRDefault="002922D5" w:rsidP="00CB7741">
      <w:pPr>
        <w:pStyle w:val="ListParagraph"/>
        <w:numPr>
          <w:ilvl w:val="1"/>
          <w:numId w:val="49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 xml:space="preserve">the </w:t>
      </w:r>
      <w:r w:rsidR="00430505">
        <w:rPr>
          <w:rFonts w:ascii="Arial Narrow" w:hAnsi="Arial Narrow" w:cs="Calibri"/>
          <w:sz w:val="24"/>
          <w:szCs w:val="24"/>
          <w:lang w:val="en-GB"/>
        </w:rPr>
        <w:t xml:space="preserve">agencies’ </w:t>
      </w:r>
      <w:r>
        <w:rPr>
          <w:rFonts w:ascii="Arial Narrow" w:hAnsi="Arial Narrow" w:cs="Calibri"/>
          <w:sz w:val="24"/>
          <w:szCs w:val="24"/>
          <w:lang w:val="en-GB"/>
        </w:rPr>
        <w:t xml:space="preserve">management response capacity when dealing with </w:t>
      </w:r>
      <w:r w:rsidR="00430505">
        <w:rPr>
          <w:rFonts w:ascii="Arial Narrow" w:hAnsi="Arial Narrow" w:cs="Calibri"/>
          <w:sz w:val="24"/>
          <w:szCs w:val="24"/>
          <w:lang w:val="en-GB"/>
        </w:rPr>
        <w:t>fraud</w:t>
      </w:r>
      <w:r>
        <w:rPr>
          <w:rFonts w:ascii="Arial Narrow" w:hAnsi="Arial Narrow" w:cs="Calibri"/>
          <w:sz w:val="24"/>
          <w:szCs w:val="24"/>
          <w:lang w:val="en-GB"/>
        </w:rPr>
        <w:t xml:space="preserve"> and risk issues.</w:t>
      </w:r>
    </w:p>
    <w:p w14:paraId="1B44DF97" w14:textId="77777777" w:rsidR="009B3DEC" w:rsidRPr="00EF1B60" w:rsidRDefault="009B3DEC" w:rsidP="0022378E">
      <w:pPr>
        <w:spacing w:after="0"/>
        <w:jc w:val="both"/>
        <w:rPr>
          <w:rFonts w:ascii="Arial Narrow" w:hAnsi="Arial Narrow" w:cs="Calibri"/>
          <w:sz w:val="28"/>
          <w:szCs w:val="28"/>
          <w:lang w:val="en-GB"/>
        </w:rPr>
      </w:pPr>
    </w:p>
    <w:p w14:paraId="1729EFE6" w14:textId="022A7F07" w:rsidR="009E13B3" w:rsidRPr="00EF1B60" w:rsidRDefault="009B3DEC" w:rsidP="00EF1B60">
      <w:pPr>
        <w:pStyle w:val="ListParagraph"/>
        <w:numPr>
          <w:ilvl w:val="0"/>
          <w:numId w:val="46"/>
        </w:numPr>
        <w:spacing w:after="0"/>
        <w:jc w:val="both"/>
        <w:rPr>
          <w:rFonts w:ascii="Arial Narrow" w:hAnsi="Arial Narrow" w:cs="Calibri"/>
          <w:b/>
          <w:sz w:val="28"/>
          <w:szCs w:val="28"/>
          <w:lang w:val="en-GB"/>
        </w:rPr>
      </w:pPr>
      <w:r w:rsidRPr="00EF1B60">
        <w:rPr>
          <w:rFonts w:ascii="Arial Narrow" w:hAnsi="Arial Narrow" w:cs="Calibri"/>
          <w:b/>
          <w:sz w:val="28"/>
          <w:szCs w:val="28"/>
          <w:lang w:val="en-GB"/>
        </w:rPr>
        <w:t xml:space="preserve">Flexibility should be unpacked along the </w:t>
      </w:r>
      <w:r w:rsidR="009E13B3" w:rsidRPr="00EF1B60">
        <w:rPr>
          <w:rFonts w:ascii="Arial Narrow" w:hAnsi="Arial Narrow" w:cs="Calibri"/>
          <w:b/>
          <w:sz w:val="28"/>
          <w:szCs w:val="28"/>
          <w:lang w:val="en-GB"/>
        </w:rPr>
        <w:t>transaction chain</w:t>
      </w:r>
      <w:r w:rsidR="00E35728" w:rsidRPr="00EF1B60">
        <w:rPr>
          <w:rFonts w:ascii="Arial Narrow" w:hAnsi="Arial Narrow" w:cs="Calibri"/>
          <w:b/>
          <w:sz w:val="28"/>
          <w:szCs w:val="28"/>
          <w:lang w:val="en-GB"/>
        </w:rPr>
        <w:t>.</w:t>
      </w:r>
    </w:p>
    <w:p w14:paraId="718E7BA6" w14:textId="77777777" w:rsidR="00EF1B60" w:rsidRPr="00EF1B60" w:rsidRDefault="00EF1B60" w:rsidP="00EF1B60">
      <w:pPr>
        <w:pStyle w:val="ListParagraph"/>
        <w:spacing w:after="0"/>
        <w:ind w:left="360"/>
        <w:jc w:val="both"/>
        <w:rPr>
          <w:rFonts w:ascii="Arial Narrow" w:hAnsi="Arial Narrow" w:cs="Calibri"/>
          <w:b/>
          <w:sz w:val="28"/>
          <w:szCs w:val="28"/>
          <w:lang w:val="en-GB"/>
        </w:rPr>
      </w:pPr>
    </w:p>
    <w:p w14:paraId="721D68A3" w14:textId="2DA7A621" w:rsidR="00E35728" w:rsidRDefault="00E35728" w:rsidP="0022378E">
      <w:pPr>
        <w:pStyle w:val="ListParagraph"/>
        <w:numPr>
          <w:ilvl w:val="0"/>
          <w:numId w:val="40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 xml:space="preserve">It is important to recognise that </w:t>
      </w:r>
      <w:r w:rsidR="00766417">
        <w:rPr>
          <w:rFonts w:ascii="Arial Narrow" w:hAnsi="Arial Narrow" w:cs="Calibri"/>
          <w:sz w:val="24"/>
          <w:szCs w:val="24"/>
          <w:lang w:val="en-GB"/>
        </w:rPr>
        <w:t xml:space="preserve">the </w:t>
      </w:r>
      <w:r>
        <w:rPr>
          <w:rFonts w:ascii="Arial Narrow" w:hAnsi="Arial Narrow" w:cs="Calibri"/>
          <w:sz w:val="24"/>
          <w:szCs w:val="24"/>
          <w:lang w:val="en-GB"/>
        </w:rPr>
        <w:t xml:space="preserve">“donor” is a transferrable identity; a recipient of aid can, in turn, become a donor to another partner. </w:t>
      </w:r>
      <w:r w:rsidR="00FE0E27">
        <w:rPr>
          <w:rFonts w:ascii="Arial Narrow" w:hAnsi="Arial Narrow" w:cs="Calibri"/>
          <w:sz w:val="24"/>
          <w:szCs w:val="24"/>
          <w:lang w:val="en-GB"/>
        </w:rPr>
        <w:t>Therefore</w:t>
      </w:r>
      <w:r>
        <w:rPr>
          <w:rFonts w:ascii="Arial Narrow" w:hAnsi="Arial Narrow" w:cs="Calibri"/>
          <w:sz w:val="24"/>
          <w:szCs w:val="24"/>
          <w:lang w:val="en-GB"/>
        </w:rPr>
        <w:t xml:space="preserve">, the issue of flexible funding needs to be taken beyond a bilateral relation between donor states and international/multilateral agencies. </w:t>
      </w:r>
    </w:p>
    <w:p w14:paraId="692D24CC" w14:textId="1EC44274" w:rsidR="00E35728" w:rsidRDefault="00FE0E27" w:rsidP="00FE0E27">
      <w:pPr>
        <w:pStyle w:val="ListParagraph"/>
        <w:numPr>
          <w:ilvl w:val="0"/>
          <w:numId w:val="40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 xml:space="preserve">In addition to the focus on increasing </w:t>
      </w:r>
      <w:r w:rsidR="00026822">
        <w:rPr>
          <w:rFonts w:ascii="Arial Narrow" w:hAnsi="Arial Narrow" w:cs="Calibri"/>
          <w:sz w:val="24"/>
          <w:szCs w:val="24"/>
          <w:lang w:val="en-GB"/>
        </w:rPr>
        <w:t>un</w:t>
      </w:r>
      <w:r>
        <w:rPr>
          <w:rFonts w:ascii="Arial Narrow" w:hAnsi="Arial Narrow" w:cs="Calibri"/>
          <w:sz w:val="24"/>
          <w:szCs w:val="24"/>
          <w:lang w:val="en-GB"/>
        </w:rPr>
        <w:t xml:space="preserve">-earmarked, it is also necessary to measure progress on reducing </w:t>
      </w:r>
      <w:r w:rsidR="00E35728" w:rsidRPr="004D47E9">
        <w:rPr>
          <w:rFonts w:ascii="Arial Narrow" w:hAnsi="Arial Narrow" w:cs="Calibri"/>
          <w:sz w:val="24"/>
          <w:szCs w:val="24"/>
          <w:lang w:val="en-GB"/>
        </w:rPr>
        <w:t>tightly earmarked.</w:t>
      </w:r>
      <w:r w:rsidR="005228DA" w:rsidRPr="005228DA">
        <w:rPr>
          <w:rStyle w:val="FootnoteReference"/>
          <w:rFonts w:ascii="Arial Narrow" w:hAnsi="Arial Narrow" w:cs="Calibri"/>
          <w:sz w:val="24"/>
          <w:szCs w:val="24"/>
          <w:lang w:val="en-GB"/>
        </w:rPr>
        <w:t xml:space="preserve"> </w:t>
      </w:r>
      <w:r w:rsidR="005228DA">
        <w:rPr>
          <w:rStyle w:val="FootnoteReference"/>
          <w:rFonts w:ascii="Arial Narrow" w:hAnsi="Arial Narrow" w:cs="Calibri"/>
          <w:sz w:val="24"/>
          <w:szCs w:val="24"/>
          <w:lang w:val="en-GB"/>
        </w:rPr>
        <w:footnoteReference w:id="3"/>
      </w:r>
    </w:p>
    <w:p w14:paraId="7E923D9B" w14:textId="77777777" w:rsidR="00D30CC5" w:rsidRDefault="00D30CC5" w:rsidP="00D30CC5">
      <w:pPr>
        <w:pStyle w:val="ListParagraph"/>
        <w:numPr>
          <w:ilvl w:val="0"/>
          <w:numId w:val="40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 xml:space="preserve">The </w:t>
      </w:r>
      <w:r w:rsidRPr="00B9591C">
        <w:rPr>
          <w:rFonts w:ascii="Arial Narrow" w:hAnsi="Arial Narrow" w:cs="Calibri"/>
          <w:sz w:val="24"/>
          <w:szCs w:val="24"/>
          <w:lang w:val="en-GB"/>
        </w:rPr>
        <w:t>30 % target</w:t>
      </w:r>
      <w:r>
        <w:rPr>
          <w:rFonts w:ascii="Arial Narrow" w:hAnsi="Arial Narrow" w:cs="Calibri"/>
          <w:sz w:val="24"/>
          <w:szCs w:val="24"/>
          <w:lang w:val="en-GB"/>
        </w:rPr>
        <w:t xml:space="preserve"> needs to be clarified and could possibly benefit  from m</w:t>
      </w:r>
      <w:r w:rsidRPr="00B9591C">
        <w:rPr>
          <w:rFonts w:ascii="Arial Narrow" w:hAnsi="Arial Narrow" w:cs="Calibri"/>
          <w:sz w:val="24"/>
          <w:szCs w:val="24"/>
          <w:lang w:val="en-GB"/>
        </w:rPr>
        <w:t>inimum rules/guidelines for cascading flexibility</w:t>
      </w:r>
    </w:p>
    <w:p w14:paraId="03E989D8" w14:textId="6B30947A" w:rsidR="00E35728" w:rsidRDefault="00D21D90" w:rsidP="0022378E">
      <w:pPr>
        <w:pStyle w:val="ListParagraph"/>
        <w:numPr>
          <w:ilvl w:val="0"/>
          <w:numId w:val="40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 xml:space="preserve">While understanding the rationale for fixing one target (30%), this needs to be nuanced </w:t>
      </w:r>
      <w:r w:rsidR="00E35728">
        <w:rPr>
          <w:rFonts w:ascii="Arial Narrow" w:hAnsi="Arial Narrow" w:cs="Calibri"/>
          <w:sz w:val="24"/>
          <w:szCs w:val="24"/>
          <w:lang w:val="en-GB"/>
        </w:rPr>
        <w:t>depending on the mandate</w:t>
      </w:r>
      <w:r w:rsidR="00026822">
        <w:rPr>
          <w:rFonts w:ascii="Arial Narrow" w:hAnsi="Arial Narrow" w:cs="Calibri"/>
          <w:sz w:val="24"/>
          <w:szCs w:val="24"/>
          <w:lang w:val="en-GB"/>
        </w:rPr>
        <w:t xml:space="preserve"> and</w:t>
      </w:r>
      <w:r w:rsidR="00CB7741">
        <w:rPr>
          <w:rFonts w:ascii="Arial Narrow" w:hAnsi="Arial Narrow" w:cs="Calibri"/>
          <w:sz w:val="24"/>
          <w:szCs w:val="24"/>
          <w:lang w:val="en-GB"/>
        </w:rPr>
        <w:t xml:space="preserve"> </w:t>
      </w:r>
      <w:r w:rsidR="00E35728">
        <w:rPr>
          <w:rFonts w:ascii="Arial Narrow" w:hAnsi="Arial Narrow" w:cs="Calibri"/>
          <w:sz w:val="24"/>
          <w:szCs w:val="24"/>
          <w:lang w:val="en-GB"/>
        </w:rPr>
        <w:t xml:space="preserve">footprint of the recipient organisation. </w:t>
      </w:r>
    </w:p>
    <w:p w14:paraId="2603F5F8" w14:textId="571975EE" w:rsidR="00454ECC" w:rsidRPr="0086630B" w:rsidRDefault="00454ECC" w:rsidP="0086630B">
      <w:pPr>
        <w:pStyle w:val="ListParagraph"/>
        <w:spacing w:after="0"/>
        <w:ind w:left="360"/>
        <w:jc w:val="both"/>
        <w:rPr>
          <w:rFonts w:ascii="Arial Narrow" w:hAnsi="Arial Narrow" w:cs="Calibri"/>
          <w:sz w:val="24"/>
          <w:szCs w:val="24"/>
          <w:lang w:val="en-GB"/>
        </w:rPr>
      </w:pPr>
    </w:p>
    <w:p w14:paraId="00FFFF51" w14:textId="56301A69" w:rsidR="0050644B" w:rsidRPr="009E13B3" w:rsidRDefault="0086630B" w:rsidP="007F59FD">
      <w:pPr>
        <w:spacing w:after="0"/>
        <w:jc w:val="both"/>
        <w:rPr>
          <w:rFonts w:ascii="Arial Narrow" w:hAnsi="Arial Narrow" w:cs="Calibri"/>
          <w:b/>
          <w:sz w:val="28"/>
          <w:szCs w:val="28"/>
          <w:lang w:val="en-GB"/>
        </w:rPr>
      </w:pPr>
      <w:r>
        <w:rPr>
          <w:rFonts w:ascii="Arial Narrow" w:hAnsi="Arial Narrow" w:cs="Calibri"/>
          <w:b/>
          <w:sz w:val="28"/>
          <w:szCs w:val="28"/>
          <w:lang w:val="en-GB"/>
        </w:rPr>
        <w:t>3</w:t>
      </w:r>
      <w:r w:rsidR="00454ECC">
        <w:rPr>
          <w:rFonts w:ascii="Arial Narrow" w:hAnsi="Arial Narrow" w:cs="Calibri"/>
          <w:b/>
          <w:sz w:val="28"/>
          <w:szCs w:val="28"/>
          <w:lang w:val="en-GB"/>
        </w:rPr>
        <w:t xml:space="preserve">. </w:t>
      </w:r>
      <w:r>
        <w:rPr>
          <w:rFonts w:ascii="Arial Narrow" w:hAnsi="Arial Narrow" w:cs="Calibri"/>
          <w:b/>
          <w:sz w:val="28"/>
          <w:szCs w:val="28"/>
          <w:lang w:val="en-GB"/>
        </w:rPr>
        <w:t>D</w:t>
      </w:r>
      <w:r w:rsidR="009E13B3" w:rsidRPr="009E13B3">
        <w:rPr>
          <w:rFonts w:ascii="Arial Narrow" w:hAnsi="Arial Narrow" w:cs="Calibri"/>
          <w:b/>
          <w:sz w:val="28"/>
          <w:szCs w:val="28"/>
          <w:lang w:val="en-GB"/>
        </w:rPr>
        <w:t>eepen understanding of l</w:t>
      </w:r>
      <w:r w:rsidR="000C0108" w:rsidRPr="009E13B3">
        <w:rPr>
          <w:rFonts w:ascii="Arial Narrow" w:hAnsi="Arial Narrow" w:cs="Calibri"/>
          <w:b/>
          <w:sz w:val="28"/>
          <w:szCs w:val="28"/>
          <w:lang w:val="en-GB"/>
        </w:rPr>
        <w:t>inks with other work stream</w:t>
      </w:r>
      <w:r w:rsidR="0050644B" w:rsidRPr="009E13B3">
        <w:rPr>
          <w:rFonts w:ascii="Arial Narrow" w:hAnsi="Arial Narrow" w:cs="Calibri"/>
          <w:b/>
          <w:sz w:val="28"/>
          <w:szCs w:val="28"/>
          <w:lang w:val="en-GB"/>
        </w:rPr>
        <w:t xml:space="preserve"> </w:t>
      </w:r>
      <w:r w:rsidR="00940741" w:rsidRPr="009E13B3">
        <w:rPr>
          <w:rFonts w:ascii="Arial Narrow" w:hAnsi="Arial Narrow" w:cs="Calibri"/>
          <w:b/>
          <w:sz w:val="28"/>
          <w:szCs w:val="28"/>
          <w:lang w:val="en-GB"/>
        </w:rPr>
        <w:t>accele</w:t>
      </w:r>
      <w:r w:rsidR="006F6F53" w:rsidRPr="009E13B3">
        <w:rPr>
          <w:rFonts w:ascii="Arial Narrow" w:hAnsi="Arial Narrow" w:cs="Calibri"/>
          <w:b/>
          <w:sz w:val="28"/>
          <w:szCs w:val="28"/>
          <w:lang w:val="en-GB"/>
        </w:rPr>
        <w:t>rators or tensions</w:t>
      </w:r>
      <w:r w:rsidR="009E13B3">
        <w:rPr>
          <w:rFonts w:ascii="Arial Narrow" w:hAnsi="Arial Narrow" w:cs="Calibri"/>
          <w:b/>
          <w:sz w:val="28"/>
          <w:szCs w:val="28"/>
          <w:lang w:val="en-GB"/>
        </w:rPr>
        <w:t xml:space="preserve"> and processes beyond</w:t>
      </w:r>
      <w:r w:rsidR="00026822">
        <w:rPr>
          <w:rFonts w:ascii="Arial Narrow" w:hAnsi="Arial Narrow" w:cs="Calibri"/>
          <w:b/>
          <w:sz w:val="28"/>
          <w:szCs w:val="28"/>
          <w:lang w:val="en-GB"/>
        </w:rPr>
        <w:t xml:space="preserve"> the</w:t>
      </w:r>
      <w:r w:rsidR="009E13B3">
        <w:rPr>
          <w:rFonts w:ascii="Arial Narrow" w:hAnsi="Arial Narrow" w:cs="Calibri"/>
          <w:b/>
          <w:sz w:val="28"/>
          <w:szCs w:val="28"/>
          <w:lang w:val="en-GB"/>
        </w:rPr>
        <w:t xml:space="preserve"> Grand Bargain</w:t>
      </w:r>
      <w:r w:rsidR="006F6F53" w:rsidRPr="009E13B3">
        <w:rPr>
          <w:rFonts w:ascii="Arial Narrow" w:hAnsi="Arial Narrow" w:cs="Calibri"/>
          <w:b/>
          <w:sz w:val="28"/>
          <w:szCs w:val="28"/>
          <w:lang w:val="en-GB"/>
        </w:rPr>
        <w:t>?</w:t>
      </w:r>
    </w:p>
    <w:p w14:paraId="77F28031" w14:textId="77777777" w:rsidR="000C0108" w:rsidRDefault="000C0108" w:rsidP="007F59FD">
      <w:p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</w:p>
    <w:p w14:paraId="6AF59E47" w14:textId="77777777" w:rsidR="00D30CC5" w:rsidRDefault="000C0108" w:rsidP="00D30CC5">
      <w:pPr>
        <w:pStyle w:val="ListParagraph"/>
        <w:numPr>
          <w:ilvl w:val="0"/>
          <w:numId w:val="40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 w:rsidRPr="00D30CC5">
        <w:rPr>
          <w:rFonts w:ascii="Arial Narrow" w:hAnsi="Arial Narrow" w:cs="Calibri"/>
          <w:sz w:val="24"/>
          <w:szCs w:val="24"/>
          <w:lang w:val="en-GB"/>
        </w:rPr>
        <w:t xml:space="preserve">All work streams in </w:t>
      </w:r>
      <w:r w:rsidR="007C2293" w:rsidRPr="00D30CC5">
        <w:rPr>
          <w:rFonts w:ascii="Arial Narrow" w:hAnsi="Arial Narrow" w:cs="Calibri"/>
          <w:sz w:val="24"/>
          <w:szCs w:val="24"/>
          <w:lang w:val="en-GB"/>
        </w:rPr>
        <w:t xml:space="preserve">the </w:t>
      </w:r>
      <w:r w:rsidRPr="00D30CC5">
        <w:rPr>
          <w:rFonts w:ascii="Arial Narrow" w:hAnsi="Arial Narrow" w:cs="Calibri"/>
          <w:sz w:val="24"/>
          <w:szCs w:val="24"/>
          <w:lang w:val="en-GB"/>
        </w:rPr>
        <w:t>G</w:t>
      </w:r>
      <w:r w:rsidR="007C2293" w:rsidRPr="00D30CC5">
        <w:rPr>
          <w:rFonts w:ascii="Arial Narrow" w:hAnsi="Arial Narrow" w:cs="Calibri"/>
          <w:sz w:val="24"/>
          <w:szCs w:val="24"/>
          <w:lang w:val="en-GB"/>
        </w:rPr>
        <w:t xml:space="preserve">rand </w:t>
      </w:r>
      <w:r w:rsidRPr="00D30CC5">
        <w:rPr>
          <w:rFonts w:ascii="Arial Narrow" w:hAnsi="Arial Narrow" w:cs="Calibri"/>
          <w:sz w:val="24"/>
          <w:szCs w:val="24"/>
          <w:lang w:val="en-GB"/>
        </w:rPr>
        <w:t>B</w:t>
      </w:r>
      <w:r w:rsidR="007C2293" w:rsidRPr="00D30CC5">
        <w:rPr>
          <w:rFonts w:ascii="Arial Narrow" w:hAnsi="Arial Narrow" w:cs="Calibri"/>
          <w:sz w:val="24"/>
          <w:szCs w:val="24"/>
          <w:lang w:val="en-GB"/>
        </w:rPr>
        <w:t>argain</w:t>
      </w:r>
      <w:r w:rsidRPr="00D30CC5">
        <w:rPr>
          <w:rFonts w:ascii="Arial Narrow" w:hAnsi="Arial Narrow" w:cs="Calibri"/>
          <w:sz w:val="24"/>
          <w:szCs w:val="24"/>
          <w:lang w:val="en-GB"/>
        </w:rPr>
        <w:t xml:space="preserve"> are inter-linked and </w:t>
      </w:r>
      <w:r w:rsidR="007C2293" w:rsidRPr="00D30CC5">
        <w:rPr>
          <w:rFonts w:ascii="Arial Narrow" w:hAnsi="Arial Narrow" w:cs="Calibri"/>
          <w:sz w:val="24"/>
          <w:szCs w:val="24"/>
          <w:lang w:val="en-GB"/>
        </w:rPr>
        <w:t xml:space="preserve">have the potential to </w:t>
      </w:r>
      <w:r w:rsidRPr="00D30CC5">
        <w:rPr>
          <w:rFonts w:ascii="Arial Narrow" w:hAnsi="Arial Narrow" w:cs="Calibri"/>
          <w:sz w:val="24"/>
          <w:szCs w:val="24"/>
          <w:lang w:val="en-GB"/>
        </w:rPr>
        <w:t>accelerate</w:t>
      </w:r>
      <w:r w:rsidR="00D30CC5" w:rsidRPr="00D30CC5">
        <w:rPr>
          <w:rFonts w:ascii="Arial Narrow" w:hAnsi="Arial Narrow" w:cs="Calibri"/>
          <w:sz w:val="24"/>
          <w:szCs w:val="24"/>
          <w:lang w:val="en-GB"/>
        </w:rPr>
        <w:t xml:space="preserve"> -</w:t>
      </w:r>
      <w:r w:rsidRPr="00D30CC5">
        <w:rPr>
          <w:rFonts w:ascii="Arial Narrow" w:hAnsi="Arial Narrow" w:cs="Calibri"/>
          <w:sz w:val="24"/>
          <w:szCs w:val="24"/>
          <w:lang w:val="en-GB"/>
        </w:rPr>
        <w:t xml:space="preserve"> or block</w:t>
      </w:r>
      <w:r w:rsidR="00D30CC5" w:rsidRPr="00D30CC5">
        <w:rPr>
          <w:rFonts w:ascii="Arial Narrow" w:hAnsi="Arial Narrow" w:cs="Calibri"/>
          <w:sz w:val="24"/>
          <w:szCs w:val="24"/>
          <w:lang w:val="en-GB"/>
        </w:rPr>
        <w:t xml:space="preserve"> -</w:t>
      </w:r>
      <w:r w:rsidRPr="00D30CC5">
        <w:rPr>
          <w:rFonts w:ascii="Arial Narrow" w:hAnsi="Arial Narrow" w:cs="Calibri"/>
          <w:sz w:val="24"/>
          <w:szCs w:val="24"/>
          <w:lang w:val="en-GB"/>
        </w:rPr>
        <w:t xml:space="preserve"> progress. </w:t>
      </w:r>
    </w:p>
    <w:p w14:paraId="2D2CD9BB" w14:textId="10E98F71" w:rsidR="00415E84" w:rsidRDefault="007C2293" w:rsidP="002922D5">
      <w:pPr>
        <w:pStyle w:val="ListParagraph"/>
        <w:numPr>
          <w:ilvl w:val="0"/>
          <w:numId w:val="40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 w:rsidRPr="00D30CC5">
        <w:rPr>
          <w:rFonts w:ascii="Arial Narrow" w:hAnsi="Arial Narrow" w:cs="Calibri"/>
          <w:sz w:val="24"/>
          <w:szCs w:val="24"/>
          <w:lang w:val="en-GB"/>
        </w:rPr>
        <w:t xml:space="preserve">The enablers for the </w:t>
      </w:r>
      <w:r w:rsidR="000C0108" w:rsidRPr="00D30CC5">
        <w:rPr>
          <w:rFonts w:ascii="Arial Narrow" w:hAnsi="Arial Narrow" w:cs="Calibri"/>
          <w:sz w:val="24"/>
          <w:szCs w:val="24"/>
          <w:lang w:val="en-GB"/>
        </w:rPr>
        <w:t xml:space="preserve">reduced earmarking </w:t>
      </w:r>
      <w:r w:rsidRPr="00D30CC5">
        <w:rPr>
          <w:rFonts w:ascii="Arial Narrow" w:hAnsi="Arial Narrow" w:cs="Calibri"/>
          <w:sz w:val="24"/>
          <w:szCs w:val="24"/>
          <w:lang w:val="en-GB"/>
        </w:rPr>
        <w:t>work</w:t>
      </w:r>
      <w:r w:rsidR="00D30CC5">
        <w:rPr>
          <w:rFonts w:ascii="Arial Narrow" w:hAnsi="Arial Narrow" w:cs="Calibri"/>
          <w:sz w:val="24"/>
          <w:szCs w:val="24"/>
          <w:lang w:val="en-GB"/>
        </w:rPr>
        <w:t xml:space="preserve"> </w:t>
      </w:r>
      <w:r w:rsidRPr="00D30CC5">
        <w:rPr>
          <w:rFonts w:ascii="Arial Narrow" w:hAnsi="Arial Narrow" w:cs="Calibri"/>
          <w:sz w:val="24"/>
          <w:szCs w:val="24"/>
          <w:lang w:val="en-GB"/>
        </w:rPr>
        <w:t>stream are</w:t>
      </w:r>
      <w:r w:rsidR="00D30CC5">
        <w:rPr>
          <w:rFonts w:ascii="Arial Narrow" w:hAnsi="Arial Narrow" w:cs="Calibri"/>
          <w:sz w:val="24"/>
          <w:szCs w:val="24"/>
          <w:lang w:val="en-GB"/>
        </w:rPr>
        <w:t xml:space="preserve"> primarily</w:t>
      </w:r>
      <w:r w:rsidR="000C0108" w:rsidRPr="00EF1B60">
        <w:rPr>
          <w:rFonts w:ascii="Arial Narrow" w:hAnsi="Arial Narrow" w:cs="Calibri"/>
          <w:sz w:val="24"/>
          <w:szCs w:val="24"/>
          <w:lang w:val="en-GB"/>
        </w:rPr>
        <w:t xml:space="preserve"> </w:t>
      </w:r>
      <w:r w:rsidR="00EF1B60">
        <w:rPr>
          <w:rFonts w:ascii="Arial Narrow" w:hAnsi="Arial Narrow" w:cs="Calibri"/>
          <w:sz w:val="24"/>
          <w:szCs w:val="24"/>
          <w:lang w:val="en-GB"/>
        </w:rPr>
        <w:t>“</w:t>
      </w:r>
      <w:r w:rsidR="00EF1B60" w:rsidRPr="00EF1B60">
        <w:rPr>
          <w:rFonts w:ascii="Arial Narrow" w:hAnsi="Arial Narrow" w:cs="Calibri"/>
          <w:sz w:val="24"/>
          <w:szCs w:val="24"/>
          <w:lang w:val="en-GB"/>
        </w:rPr>
        <w:t xml:space="preserve">Harmonize and simplify </w:t>
      </w:r>
      <w:r w:rsidR="000C0108" w:rsidRPr="00EF1B60">
        <w:rPr>
          <w:rFonts w:ascii="Arial Narrow" w:hAnsi="Arial Narrow" w:cs="Calibri"/>
          <w:sz w:val="24"/>
          <w:szCs w:val="24"/>
          <w:lang w:val="en-GB"/>
        </w:rPr>
        <w:t>reporting</w:t>
      </w:r>
      <w:r w:rsidR="00EF1B60" w:rsidRPr="00EF1B60">
        <w:rPr>
          <w:rFonts w:ascii="Arial Narrow" w:hAnsi="Arial Narrow" w:cs="Calibri"/>
          <w:sz w:val="24"/>
          <w:szCs w:val="24"/>
          <w:lang w:val="en-GB"/>
        </w:rPr>
        <w:t xml:space="preserve"> requirements</w:t>
      </w:r>
      <w:r w:rsidR="00EF1B60">
        <w:rPr>
          <w:rFonts w:ascii="Arial Narrow" w:hAnsi="Arial Narrow" w:cs="Calibri"/>
          <w:sz w:val="24"/>
          <w:szCs w:val="24"/>
          <w:lang w:val="en-GB"/>
        </w:rPr>
        <w:t>”</w:t>
      </w:r>
      <w:r w:rsidR="000C0108" w:rsidRPr="00EF1B60">
        <w:rPr>
          <w:rFonts w:ascii="Arial Narrow" w:hAnsi="Arial Narrow" w:cs="Calibri"/>
          <w:sz w:val="24"/>
          <w:szCs w:val="24"/>
          <w:lang w:val="en-GB"/>
        </w:rPr>
        <w:t xml:space="preserve">, </w:t>
      </w:r>
      <w:r w:rsidR="00EF1B60">
        <w:rPr>
          <w:rFonts w:ascii="Arial Narrow" w:hAnsi="Arial Narrow" w:cs="Calibri"/>
          <w:sz w:val="24"/>
          <w:szCs w:val="24"/>
          <w:lang w:val="en-GB"/>
        </w:rPr>
        <w:t>“Greater T</w:t>
      </w:r>
      <w:r w:rsidR="000C0108" w:rsidRPr="00EF1B60">
        <w:rPr>
          <w:rFonts w:ascii="Arial Narrow" w:hAnsi="Arial Narrow" w:cs="Calibri"/>
          <w:sz w:val="24"/>
          <w:szCs w:val="24"/>
          <w:lang w:val="en-GB"/>
        </w:rPr>
        <w:t>ransparency</w:t>
      </w:r>
      <w:r w:rsidR="00EF1B60">
        <w:rPr>
          <w:rFonts w:ascii="Arial Narrow" w:hAnsi="Arial Narrow" w:cs="Calibri"/>
          <w:sz w:val="24"/>
          <w:szCs w:val="24"/>
          <w:lang w:val="en-GB"/>
        </w:rPr>
        <w:t>”</w:t>
      </w:r>
      <w:r w:rsidR="002922D5">
        <w:rPr>
          <w:rFonts w:ascii="Arial Narrow" w:hAnsi="Arial Narrow" w:cs="Calibri"/>
          <w:sz w:val="24"/>
          <w:szCs w:val="24"/>
          <w:lang w:val="en-GB"/>
        </w:rPr>
        <w:t xml:space="preserve">, </w:t>
      </w:r>
      <w:r w:rsidR="00CB7741">
        <w:rPr>
          <w:rFonts w:ascii="Arial Narrow" w:hAnsi="Arial Narrow" w:cs="Calibri"/>
          <w:sz w:val="24"/>
          <w:szCs w:val="24"/>
          <w:lang w:val="en-GB"/>
        </w:rPr>
        <w:t>“Needs Assess</w:t>
      </w:r>
      <w:r w:rsidR="002922D5">
        <w:rPr>
          <w:rFonts w:ascii="Arial Narrow" w:hAnsi="Arial Narrow" w:cs="Calibri"/>
          <w:sz w:val="24"/>
          <w:szCs w:val="24"/>
          <w:lang w:val="en-GB"/>
        </w:rPr>
        <w:t>ments”</w:t>
      </w:r>
      <w:r w:rsidR="000C0108" w:rsidRPr="00EF1B60">
        <w:rPr>
          <w:rFonts w:ascii="Arial Narrow" w:hAnsi="Arial Narrow" w:cs="Calibri"/>
          <w:sz w:val="24"/>
          <w:szCs w:val="24"/>
          <w:lang w:val="en-GB"/>
        </w:rPr>
        <w:t xml:space="preserve"> and </w:t>
      </w:r>
      <w:r w:rsidR="00EF1B60">
        <w:rPr>
          <w:rFonts w:ascii="Arial Narrow" w:hAnsi="Arial Narrow" w:cs="Calibri"/>
          <w:sz w:val="24"/>
          <w:szCs w:val="24"/>
          <w:lang w:val="en-GB"/>
        </w:rPr>
        <w:t>“Reduce duplication &amp; management costs”</w:t>
      </w:r>
      <w:r w:rsidRPr="00EF1B60">
        <w:rPr>
          <w:rFonts w:ascii="Arial Narrow" w:hAnsi="Arial Narrow" w:cs="Calibri"/>
          <w:sz w:val="24"/>
          <w:szCs w:val="24"/>
          <w:lang w:val="en-GB"/>
        </w:rPr>
        <w:t xml:space="preserve"> </w:t>
      </w:r>
      <w:r w:rsidR="000C0108" w:rsidRPr="00EF1B60">
        <w:rPr>
          <w:rFonts w:ascii="Arial Narrow" w:hAnsi="Arial Narrow" w:cs="Calibri"/>
          <w:sz w:val="24"/>
          <w:szCs w:val="24"/>
          <w:lang w:val="en-GB"/>
        </w:rPr>
        <w:t xml:space="preserve"> whil</w:t>
      </w:r>
      <w:r w:rsidR="00F71329" w:rsidRPr="00EF1B60">
        <w:rPr>
          <w:rFonts w:ascii="Arial Narrow" w:hAnsi="Arial Narrow" w:cs="Calibri"/>
          <w:sz w:val="24"/>
          <w:szCs w:val="24"/>
          <w:lang w:val="en-GB"/>
        </w:rPr>
        <w:t>e</w:t>
      </w:r>
      <w:r w:rsidR="000C0108" w:rsidRPr="00EF1B60">
        <w:rPr>
          <w:rFonts w:ascii="Arial Narrow" w:hAnsi="Arial Narrow" w:cs="Calibri"/>
          <w:sz w:val="24"/>
          <w:szCs w:val="24"/>
          <w:lang w:val="en-GB"/>
        </w:rPr>
        <w:t xml:space="preserve"> </w:t>
      </w:r>
      <w:r w:rsidR="00EF1B60">
        <w:rPr>
          <w:rFonts w:ascii="Arial Narrow" w:hAnsi="Arial Narrow" w:cs="Calibri"/>
          <w:sz w:val="24"/>
          <w:szCs w:val="24"/>
          <w:lang w:val="en-GB"/>
        </w:rPr>
        <w:t>“</w:t>
      </w:r>
      <w:r w:rsidR="00026822">
        <w:rPr>
          <w:rFonts w:ascii="Arial Narrow" w:hAnsi="Arial Narrow" w:cs="Calibri"/>
          <w:sz w:val="24"/>
          <w:szCs w:val="24"/>
          <w:lang w:val="en-GB"/>
        </w:rPr>
        <w:t>L</w:t>
      </w:r>
      <w:r w:rsidR="000C0108" w:rsidRPr="00EF1B60">
        <w:rPr>
          <w:rFonts w:ascii="Arial Narrow" w:hAnsi="Arial Narrow" w:cs="Calibri"/>
          <w:sz w:val="24"/>
          <w:szCs w:val="24"/>
          <w:lang w:val="en-GB"/>
        </w:rPr>
        <w:t>ocalisation</w:t>
      </w:r>
      <w:r w:rsidR="00EF1B60">
        <w:rPr>
          <w:rFonts w:ascii="Arial Narrow" w:hAnsi="Arial Narrow" w:cs="Calibri"/>
          <w:sz w:val="24"/>
          <w:szCs w:val="24"/>
          <w:lang w:val="en-GB"/>
        </w:rPr>
        <w:t>”</w:t>
      </w:r>
      <w:r w:rsidR="000C0108" w:rsidRPr="00EF1B60">
        <w:rPr>
          <w:rFonts w:ascii="Arial Narrow" w:hAnsi="Arial Narrow" w:cs="Calibri"/>
          <w:sz w:val="24"/>
          <w:szCs w:val="24"/>
          <w:lang w:val="en-GB"/>
        </w:rPr>
        <w:t xml:space="preserve"> and </w:t>
      </w:r>
      <w:r w:rsidR="00EF1B60">
        <w:rPr>
          <w:rFonts w:ascii="Arial Narrow" w:hAnsi="Arial Narrow" w:cs="Calibri"/>
          <w:sz w:val="24"/>
          <w:szCs w:val="24"/>
          <w:lang w:val="en-GB"/>
        </w:rPr>
        <w:t>“</w:t>
      </w:r>
      <w:r w:rsidR="000C0108" w:rsidRPr="00EF1B60">
        <w:rPr>
          <w:rFonts w:ascii="Arial Narrow" w:hAnsi="Arial Narrow" w:cs="Calibri"/>
          <w:sz w:val="24"/>
          <w:szCs w:val="24"/>
          <w:lang w:val="en-GB"/>
        </w:rPr>
        <w:t xml:space="preserve">multi-year </w:t>
      </w:r>
      <w:r w:rsidR="00EF1B60" w:rsidRPr="00EF1B60">
        <w:rPr>
          <w:rFonts w:ascii="Arial Narrow" w:hAnsi="Arial Narrow" w:cs="Calibri"/>
          <w:sz w:val="24"/>
          <w:szCs w:val="24"/>
          <w:lang w:val="en-GB"/>
        </w:rPr>
        <w:t>planning and funding</w:t>
      </w:r>
      <w:r w:rsidR="00EF1B60">
        <w:rPr>
          <w:rFonts w:ascii="Arial Narrow" w:hAnsi="Arial Narrow" w:cs="Calibri"/>
          <w:sz w:val="24"/>
          <w:szCs w:val="24"/>
          <w:lang w:val="en-GB"/>
        </w:rPr>
        <w:t>”</w:t>
      </w:r>
      <w:r w:rsidR="00EF1B60" w:rsidRPr="00EF1B60">
        <w:rPr>
          <w:rFonts w:ascii="Arial Narrow" w:hAnsi="Arial Narrow" w:cs="Calibri"/>
          <w:sz w:val="24"/>
          <w:szCs w:val="24"/>
          <w:lang w:val="en-GB"/>
        </w:rPr>
        <w:t xml:space="preserve"> </w:t>
      </w:r>
      <w:r w:rsidR="000C0108" w:rsidRPr="00EF1B60">
        <w:rPr>
          <w:rFonts w:ascii="Arial Narrow" w:hAnsi="Arial Narrow" w:cs="Calibri"/>
          <w:sz w:val="24"/>
          <w:szCs w:val="24"/>
          <w:lang w:val="en-GB"/>
        </w:rPr>
        <w:t xml:space="preserve">may create tensions with </w:t>
      </w:r>
      <w:r w:rsidRPr="00EF1B60">
        <w:rPr>
          <w:rFonts w:ascii="Arial Narrow" w:hAnsi="Arial Narrow" w:cs="Calibri"/>
          <w:sz w:val="24"/>
          <w:szCs w:val="24"/>
          <w:lang w:val="en-GB"/>
        </w:rPr>
        <w:t xml:space="preserve">the </w:t>
      </w:r>
      <w:r w:rsidR="000C0108" w:rsidRPr="00EF1B60">
        <w:rPr>
          <w:rFonts w:ascii="Arial Narrow" w:hAnsi="Arial Narrow" w:cs="Calibri"/>
          <w:sz w:val="24"/>
          <w:szCs w:val="24"/>
          <w:lang w:val="en-GB"/>
        </w:rPr>
        <w:t xml:space="preserve"> ambition</w:t>
      </w:r>
      <w:r w:rsidRPr="00EF1B60">
        <w:rPr>
          <w:rFonts w:ascii="Arial Narrow" w:hAnsi="Arial Narrow" w:cs="Calibri"/>
          <w:sz w:val="24"/>
          <w:szCs w:val="24"/>
          <w:lang w:val="en-GB"/>
        </w:rPr>
        <w:t xml:space="preserve"> of </w:t>
      </w:r>
      <w:r w:rsidR="00EF1B60">
        <w:rPr>
          <w:rFonts w:ascii="Arial Narrow" w:hAnsi="Arial Narrow" w:cs="Calibri"/>
          <w:sz w:val="24"/>
          <w:szCs w:val="24"/>
          <w:lang w:val="en-GB"/>
        </w:rPr>
        <w:t>more flexible funding.</w:t>
      </w:r>
    </w:p>
    <w:p w14:paraId="75420D06" w14:textId="58C77B51" w:rsidR="00340867" w:rsidRPr="00340867" w:rsidRDefault="00340867" w:rsidP="00340867">
      <w:pPr>
        <w:pStyle w:val="ListParagraph"/>
        <w:numPr>
          <w:ilvl w:val="0"/>
          <w:numId w:val="40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 w:rsidRPr="00340867">
        <w:rPr>
          <w:rFonts w:ascii="Arial Narrow" w:hAnsi="Arial Narrow" w:cs="Calibri"/>
          <w:sz w:val="24"/>
          <w:szCs w:val="24"/>
          <w:lang w:val="en-GB"/>
        </w:rPr>
        <w:t>The discussions and advances brought about in the reduced earmarking work stream of the Grand Bargain can be leveraged through a strong link with the GHD</w:t>
      </w:r>
      <w:r>
        <w:rPr>
          <w:rFonts w:ascii="Arial Narrow" w:hAnsi="Arial Narrow" w:cs="Calibri"/>
          <w:sz w:val="24"/>
          <w:szCs w:val="24"/>
          <w:lang w:val="en-GB"/>
        </w:rPr>
        <w:t xml:space="preserve"> and IASC.</w:t>
      </w:r>
    </w:p>
    <w:p w14:paraId="2CA9989A" w14:textId="77777777" w:rsidR="000C0108" w:rsidRDefault="000C0108" w:rsidP="007F59FD">
      <w:pPr>
        <w:spacing w:after="0"/>
        <w:jc w:val="both"/>
        <w:rPr>
          <w:rFonts w:ascii="Arial Narrow" w:hAnsi="Arial Narrow" w:cs="Calibri"/>
          <w:b/>
          <w:sz w:val="24"/>
          <w:szCs w:val="24"/>
          <w:lang w:val="en-GB"/>
        </w:rPr>
      </w:pPr>
      <w:r w:rsidRPr="000C0108">
        <w:rPr>
          <w:rFonts w:ascii="Arial Narrow" w:hAnsi="Arial Narrow" w:cs="Calibri"/>
          <w:b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6A757BAC" wp14:editId="31F7DB24">
            <wp:extent cx="3155324" cy="2366489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5324" cy="236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04725" w14:textId="545C52B9" w:rsidR="0050644B" w:rsidRPr="005228DA" w:rsidRDefault="00CB7741" w:rsidP="007F59FD">
      <w:pPr>
        <w:spacing w:after="0"/>
        <w:jc w:val="both"/>
        <w:rPr>
          <w:rFonts w:ascii="Arial Narrow" w:hAnsi="Arial Narrow" w:cs="Calibri"/>
          <w:b/>
          <w:sz w:val="28"/>
          <w:szCs w:val="28"/>
          <w:lang w:val="en-GB"/>
        </w:rPr>
      </w:pPr>
      <w:r>
        <w:rPr>
          <w:rFonts w:ascii="Arial Narrow" w:hAnsi="Arial Narrow" w:cs="Calibri"/>
          <w:b/>
          <w:sz w:val="28"/>
          <w:szCs w:val="28"/>
          <w:lang w:val="en-GB"/>
        </w:rPr>
        <w:t>Conclusions and</w:t>
      </w:r>
      <w:r w:rsidR="00EA1E6E" w:rsidRPr="005228DA">
        <w:rPr>
          <w:rFonts w:ascii="Arial Narrow" w:hAnsi="Arial Narrow" w:cs="Calibri"/>
          <w:b/>
          <w:sz w:val="28"/>
          <w:szCs w:val="28"/>
          <w:lang w:val="en-GB"/>
        </w:rPr>
        <w:t xml:space="preserve"> </w:t>
      </w:r>
      <w:r>
        <w:rPr>
          <w:rFonts w:ascii="Arial Narrow" w:hAnsi="Arial Narrow" w:cs="Calibri"/>
          <w:b/>
          <w:sz w:val="28"/>
          <w:szCs w:val="28"/>
          <w:lang w:val="en-GB"/>
        </w:rPr>
        <w:t>n</w:t>
      </w:r>
      <w:r w:rsidR="00F96D86" w:rsidRPr="005228DA">
        <w:rPr>
          <w:rFonts w:ascii="Arial Narrow" w:hAnsi="Arial Narrow" w:cs="Calibri"/>
          <w:b/>
          <w:sz w:val="28"/>
          <w:szCs w:val="28"/>
          <w:lang w:val="en-GB"/>
        </w:rPr>
        <w:t>ext steps</w:t>
      </w:r>
    </w:p>
    <w:p w14:paraId="05495FF6" w14:textId="77777777" w:rsidR="00FD6997" w:rsidRDefault="00FD6997" w:rsidP="007F59FD">
      <w:p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</w:p>
    <w:p w14:paraId="0CCFA934" w14:textId="1AB398DF" w:rsidR="008B62DC" w:rsidRDefault="008B62DC" w:rsidP="007F59FD">
      <w:p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 xml:space="preserve">Among the key components of flexible funding are: </w:t>
      </w:r>
    </w:p>
    <w:p w14:paraId="3DB76C9B" w14:textId="77777777" w:rsidR="008B62DC" w:rsidRDefault="008B62DC" w:rsidP="007F59FD">
      <w:pPr>
        <w:pStyle w:val="ListParagraph"/>
        <w:numPr>
          <w:ilvl w:val="0"/>
          <w:numId w:val="48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>Political interest</w:t>
      </w:r>
    </w:p>
    <w:p w14:paraId="1F844470" w14:textId="77777777" w:rsidR="008B62DC" w:rsidRDefault="008B62DC" w:rsidP="007F59FD">
      <w:pPr>
        <w:pStyle w:val="ListParagraph"/>
        <w:numPr>
          <w:ilvl w:val="0"/>
          <w:numId w:val="48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 xml:space="preserve">Trust </w:t>
      </w:r>
    </w:p>
    <w:p w14:paraId="264B7AE9" w14:textId="3116BB94" w:rsidR="008B62DC" w:rsidRDefault="008B62DC" w:rsidP="007F59FD">
      <w:pPr>
        <w:pStyle w:val="ListParagraph"/>
        <w:numPr>
          <w:ilvl w:val="0"/>
          <w:numId w:val="48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 xml:space="preserve">Transparency of processes, systems, compliance, monitoring and reporting. </w:t>
      </w:r>
    </w:p>
    <w:p w14:paraId="43ED817C" w14:textId="77777777" w:rsidR="005228DA" w:rsidRDefault="005228DA" w:rsidP="005228DA">
      <w:pPr>
        <w:pStyle w:val="ListParagraph"/>
        <w:numPr>
          <w:ilvl w:val="0"/>
          <w:numId w:val="48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>Legislation and regulation</w:t>
      </w:r>
    </w:p>
    <w:p w14:paraId="30A55CCE" w14:textId="77777777" w:rsidR="007F59FD" w:rsidRPr="005228DA" w:rsidRDefault="007F59FD" w:rsidP="00CB7741">
      <w:pPr>
        <w:pStyle w:val="ListParagraph"/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</w:p>
    <w:p w14:paraId="2E0608AB" w14:textId="4EFA27DC" w:rsidR="004A18A5" w:rsidRDefault="008B62DC" w:rsidP="007F59FD">
      <w:p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 xml:space="preserve">It is important to distinguish between the need to </w:t>
      </w:r>
      <w:r w:rsidR="000E54F7" w:rsidRPr="007F59FD">
        <w:rPr>
          <w:rFonts w:ascii="Arial Narrow" w:hAnsi="Arial Narrow" w:cs="Calibri"/>
          <w:sz w:val="24"/>
          <w:szCs w:val="24"/>
          <w:lang w:val="en-GB"/>
        </w:rPr>
        <w:t xml:space="preserve">ensure reduced earmarking through better story telling on the effectiveness and efficiency </w:t>
      </w:r>
      <w:r>
        <w:rPr>
          <w:rFonts w:ascii="Arial Narrow" w:hAnsi="Arial Narrow" w:cs="Calibri"/>
          <w:sz w:val="24"/>
          <w:szCs w:val="24"/>
          <w:lang w:val="en-GB"/>
        </w:rPr>
        <w:t>of un</w:t>
      </w:r>
      <w:r w:rsidR="007F59FD">
        <w:rPr>
          <w:rFonts w:ascii="Arial Narrow" w:hAnsi="Arial Narrow" w:cs="Calibri"/>
          <w:sz w:val="24"/>
          <w:szCs w:val="24"/>
          <w:lang w:val="en-GB"/>
        </w:rPr>
        <w:t>-</w:t>
      </w:r>
      <w:r w:rsidR="000E54F7" w:rsidRPr="007F59FD">
        <w:rPr>
          <w:rFonts w:ascii="Arial Narrow" w:hAnsi="Arial Narrow" w:cs="Calibri"/>
          <w:sz w:val="24"/>
          <w:szCs w:val="24"/>
          <w:lang w:val="en-GB"/>
        </w:rPr>
        <w:t>earmark</w:t>
      </w:r>
      <w:r>
        <w:rPr>
          <w:rFonts w:ascii="Arial Narrow" w:hAnsi="Arial Narrow" w:cs="Calibri"/>
          <w:sz w:val="24"/>
          <w:szCs w:val="24"/>
          <w:lang w:val="en-GB"/>
        </w:rPr>
        <w:t>ed funds from government donors</w:t>
      </w:r>
      <w:r w:rsidR="00FD6997">
        <w:rPr>
          <w:rFonts w:ascii="Arial Narrow" w:hAnsi="Arial Narrow" w:cs="Calibri"/>
          <w:sz w:val="24"/>
          <w:szCs w:val="24"/>
          <w:lang w:val="en-GB"/>
        </w:rPr>
        <w:t xml:space="preserve"> </w:t>
      </w:r>
      <w:r>
        <w:rPr>
          <w:rFonts w:ascii="Arial Narrow" w:hAnsi="Arial Narrow" w:cs="Calibri"/>
          <w:sz w:val="24"/>
          <w:szCs w:val="24"/>
          <w:lang w:val="en-GB"/>
        </w:rPr>
        <w:t>and the way un</w:t>
      </w:r>
      <w:r w:rsidR="007F59FD">
        <w:rPr>
          <w:rFonts w:ascii="Arial Narrow" w:hAnsi="Arial Narrow" w:cs="Calibri"/>
          <w:sz w:val="24"/>
          <w:szCs w:val="24"/>
          <w:lang w:val="en-GB"/>
        </w:rPr>
        <w:t>-</w:t>
      </w:r>
      <w:r>
        <w:rPr>
          <w:rFonts w:ascii="Arial Narrow" w:hAnsi="Arial Narrow" w:cs="Calibri"/>
          <w:sz w:val="24"/>
          <w:szCs w:val="24"/>
          <w:lang w:val="en-GB"/>
        </w:rPr>
        <w:t>earm</w:t>
      </w:r>
      <w:r w:rsidR="007F59FD">
        <w:rPr>
          <w:rFonts w:ascii="Arial Narrow" w:hAnsi="Arial Narrow" w:cs="Calibri"/>
          <w:sz w:val="24"/>
          <w:szCs w:val="24"/>
          <w:lang w:val="en-GB"/>
        </w:rPr>
        <w:t>a</w:t>
      </w:r>
      <w:r>
        <w:rPr>
          <w:rFonts w:ascii="Arial Narrow" w:hAnsi="Arial Narrow" w:cs="Calibri"/>
          <w:sz w:val="24"/>
          <w:szCs w:val="24"/>
          <w:lang w:val="en-GB"/>
        </w:rPr>
        <w:t>rked funding is then cascaded down to the next levels, notably through p</w:t>
      </w:r>
      <w:r w:rsidR="00EA1E6E" w:rsidRPr="007F59FD">
        <w:rPr>
          <w:rFonts w:ascii="Arial Narrow" w:hAnsi="Arial Narrow" w:cs="Calibri"/>
          <w:sz w:val="24"/>
          <w:szCs w:val="24"/>
          <w:lang w:val="en-GB"/>
        </w:rPr>
        <w:t>ooled funds</w:t>
      </w:r>
      <w:r w:rsidR="004909AF" w:rsidRPr="007F59FD">
        <w:rPr>
          <w:rFonts w:ascii="Arial Narrow" w:hAnsi="Arial Narrow" w:cs="Calibri"/>
          <w:sz w:val="24"/>
          <w:szCs w:val="24"/>
          <w:lang w:val="en-GB"/>
        </w:rPr>
        <w:t xml:space="preserve"> at global and country level</w:t>
      </w:r>
      <w:r w:rsidR="00EA1E6E" w:rsidRPr="007F59FD">
        <w:rPr>
          <w:rFonts w:ascii="Arial Narrow" w:hAnsi="Arial Narrow" w:cs="Calibri"/>
          <w:sz w:val="24"/>
          <w:szCs w:val="24"/>
          <w:lang w:val="en-GB"/>
        </w:rPr>
        <w:t xml:space="preserve"> (CERF; CBPF; DREF)</w:t>
      </w:r>
      <w:r>
        <w:rPr>
          <w:rFonts w:ascii="Arial Narrow" w:hAnsi="Arial Narrow" w:cs="Calibri"/>
          <w:sz w:val="24"/>
          <w:szCs w:val="24"/>
          <w:lang w:val="en-GB"/>
        </w:rPr>
        <w:t>, which are considered</w:t>
      </w:r>
      <w:r w:rsidR="00EA1E6E" w:rsidRPr="007F59FD">
        <w:rPr>
          <w:rFonts w:ascii="Arial Narrow" w:hAnsi="Arial Narrow" w:cs="Calibri"/>
          <w:sz w:val="24"/>
          <w:szCs w:val="24"/>
          <w:lang w:val="en-GB"/>
        </w:rPr>
        <w:t xml:space="preserve"> </w:t>
      </w:r>
      <w:r w:rsidR="00346104" w:rsidRPr="007F59FD">
        <w:rPr>
          <w:rFonts w:ascii="Arial Narrow" w:hAnsi="Arial Narrow" w:cs="Calibri"/>
          <w:sz w:val="24"/>
          <w:szCs w:val="24"/>
          <w:lang w:val="en-GB"/>
        </w:rPr>
        <w:t xml:space="preserve">are major achievements </w:t>
      </w:r>
      <w:r w:rsidR="00212622" w:rsidRPr="007F59FD">
        <w:rPr>
          <w:rFonts w:ascii="Arial Narrow" w:hAnsi="Arial Narrow" w:cs="Calibri"/>
          <w:sz w:val="24"/>
          <w:szCs w:val="24"/>
          <w:lang w:val="en-GB"/>
        </w:rPr>
        <w:t xml:space="preserve">of the </w:t>
      </w:r>
      <w:r w:rsidR="00346104" w:rsidRPr="007F59FD">
        <w:rPr>
          <w:rFonts w:ascii="Arial Narrow" w:hAnsi="Arial Narrow" w:cs="Calibri"/>
          <w:sz w:val="24"/>
          <w:szCs w:val="24"/>
          <w:lang w:val="en-GB"/>
        </w:rPr>
        <w:t xml:space="preserve">last decade. </w:t>
      </w:r>
      <w:r>
        <w:rPr>
          <w:rFonts w:ascii="Arial Narrow" w:hAnsi="Arial Narrow" w:cs="Calibri"/>
          <w:sz w:val="24"/>
          <w:szCs w:val="24"/>
          <w:lang w:val="en-GB"/>
        </w:rPr>
        <w:t xml:space="preserve">There is also a need to </w:t>
      </w:r>
      <w:r w:rsidR="000E54F7">
        <w:rPr>
          <w:rFonts w:ascii="Arial Narrow" w:hAnsi="Arial Narrow" w:cs="Calibri"/>
          <w:sz w:val="24"/>
          <w:szCs w:val="24"/>
          <w:lang w:val="en-GB"/>
        </w:rPr>
        <w:t xml:space="preserve">look </w:t>
      </w:r>
      <w:r>
        <w:rPr>
          <w:rFonts w:ascii="Arial Narrow" w:hAnsi="Arial Narrow" w:cs="Calibri"/>
          <w:sz w:val="24"/>
          <w:szCs w:val="24"/>
          <w:lang w:val="en-GB"/>
        </w:rPr>
        <w:t>at</w:t>
      </w:r>
      <w:r w:rsidR="000E54F7">
        <w:rPr>
          <w:rFonts w:ascii="Arial Narrow" w:hAnsi="Arial Narrow" w:cs="Calibri"/>
          <w:sz w:val="24"/>
          <w:szCs w:val="24"/>
          <w:lang w:val="en-GB"/>
        </w:rPr>
        <w:t xml:space="preserve"> how </w:t>
      </w:r>
      <w:r w:rsidR="003770D5">
        <w:rPr>
          <w:rFonts w:ascii="Arial Narrow" w:hAnsi="Arial Narrow" w:cs="Calibri"/>
          <w:sz w:val="24"/>
          <w:szCs w:val="24"/>
          <w:lang w:val="en-GB"/>
        </w:rPr>
        <w:t xml:space="preserve">flexibility is transferred </w:t>
      </w:r>
      <w:r>
        <w:rPr>
          <w:rFonts w:ascii="Arial Narrow" w:hAnsi="Arial Narrow" w:cs="Calibri"/>
          <w:sz w:val="24"/>
          <w:szCs w:val="24"/>
          <w:lang w:val="en-GB"/>
        </w:rPr>
        <w:t xml:space="preserve">further down </w:t>
      </w:r>
      <w:r w:rsidR="003770D5">
        <w:rPr>
          <w:rFonts w:ascii="Arial Narrow" w:hAnsi="Arial Narrow" w:cs="Calibri"/>
          <w:sz w:val="24"/>
          <w:szCs w:val="24"/>
          <w:lang w:val="en-GB"/>
        </w:rPr>
        <w:t xml:space="preserve">the transaction chain. </w:t>
      </w:r>
    </w:p>
    <w:p w14:paraId="38875FCA" w14:textId="77777777" w:rsidR="00212622" w:rsidRDefault="00212622" w:rsidP="007F59FD">
      <w:p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</w:p>
    <w:p w14:paraId="3C728FCA" w14:textId="7A31C2F8" w:rsidR="00212622" w:rsidRDefault="00650538" w:rsidP="007F59FD">
      <w:p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>Objective</w:t>
      </w:r>
      <w:r w:rsidR="00212622">
        <w:rPr>
          <w:rFonts w:ascii="Arial Narrow" w:hAnsi="Arial Narrow" w:cs="Calibri"/>
          <w:sz w:val="24"/>
          <w:szCs w:val="24"/>
          <w:lang w:val="en-GB"/>
        </w:rPr>
        <w:t>s</w:t>
      </w:r>
      <w:r w:rsidR="008B62DC">
        <w:rPr>
          <w:rFonts w:ascii="Arial Narrow" w:hAnsi="Arial Narrow" w:cs="Calibri"/>
          <w:sz w:val="24"/>
          <w:szCs w:val="24"/>
          <w:lang w:val="en-GB"/>
        </w:rPr>
        <w:t xml:space="preserve"> of the work</w:t>
      </w:r>
      <w:r w:rsidR="007F59FD">
        <w:rPr>
          <w:rFonts w:ascii="Arial Narrow" w:hAnsi="Arial Narrow" w:cs="Calibri"/>
          <w:sz w:val="24"/>
          <w:szCs w:val="24"/>
          <w:lang w:val="en-GB"/>
        </w:rPr>
        <w:t xml:space="preserve"> </w:t>
      </w:r>
      <w:r w:rsidR="008B62DC">
        <w:rPr>
          <w:rFonts w:ascii="Arial Narrow" w:hAnsi="Arial Narrow" w:cs="Calibri"/>
          <w:sz w:val="24"/>
          <w:szCs w:val="24"/>
          <w:lang w:val="en-GB"/>
        </w:rPr>
        <w:t xml:space="preserve">stream </w:t>
      </w:r>
      <w:r w:rsidR="003770D5">
        <w:rPr>
          <w:rFonts w:ascii="Arial Narrow" w:hAnsi="Arial Narrow" w:cs="Calibri"/>
          <w:sz w:val="24"/>
          <w:szCs w:val="24"/>
          <w:lang w:val="en-GB"/>
        </w:rPr>
        <w:t>the coming year</w:t>
      </w:r>
      <w:r w:rsidR="00212622">
        <w:rPr>
          <w:rFonts w:ascii="Arial Narrow" w:hAnsi="Arial Narrow" w:cs="Calibri"/>
          <w:sz w:val="24"/>
          <w:szCs w:val="24"/>
          <w:lang w:val="en-GB"/>
        </w:rPr>
        <w:t xml:space="preserve">: </w:t>
      </w:r>
    </w:p>
    <w:p w14:paraId="1F55B4FF" w14:textId="6DD80E5E" w:rsidR="0086630B" w:rsidRDefault="00340867" w:rsidP="00340867">
      <w:pPr>
        <w:pStyle w:val="ListParagraph"/>
        <w:numPr>
          <w:ilvl w:val="0"/>
          <w:numId w:val="50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>Gather</w:t>
      </w:r>
      <w:r w:rsidR="0086630B">
        <w:rPr>
          <w:rFonts w:ascii="Arial Narrow" w:hAnsi="Arial Narrow" w:cs="Calibri"/>
          <w:sz w:val="24"/>
          <w:szCs w:val="24"/>
          <w:lang w:val="en-GB"/>
        </w:rPr>
        <w:t xml:space="preserve"> </w:t>
      </w:r>
      <w:r>
        <w:rPr>
          <w:rFonts w:ascii="Arial Narrow" w:hAnsi="Arial Narrow" w:cs="Calibri"/>
          <w:sz w:val="24"/>
          <w:szCs w:val="24"/>
          <w:lang w:val="en-GB"/>
        </w:rPr>
        <w:t xml:space="preserve">and disseminate </w:t>
      </w:r>
      <w:r w:rsidR="0086630B">
        <w:rPr>
          <w:rFonts w:ascii="Arial Narrow" w:hAnsi="Arial Narrow" w:cs="Calibri"/>
          <w:sz w:val="24"/>
          <w:szCs w:val="24"/>
          <w:lang w:val="en-GB"/>
        </w:rPr>
        <w:t>be</w:t>
      </w:r>
      <w:r w:rsidR="00026822">
        <w:rPr>
          <w:rFonts w:ascii="Arial Narrow" w:hAnsi="Arial Narrow" w:cs="Calibri"/>
          <w:sz w:val="24"/>
          <w:szCs w:val="24"/>
          <w:lang w:val="en-GB"/>
        </w:rPr>
        <w:t>st</w:t>
      </w:r>
      <w:r w:rsidR="0086630B">
        <w:rPr>
          <w:rFonts w:ascii="Arial Narrow" w:hAnsi="Arial Narrow" w:cs="Calibri"/>
          <w:sz w:val="24"/>
          <w:szCs w:val="24"/>
          <w:lang w:val="en-GB"/>
        </w:rPr>
        <w:t xml:space="preserve"> practice </w:t>
      </w:r>
      <w:r>
        <w:rPr>
          <w:rFonts w:ascii="Arial Narrow" w:hAnsi="Arial Narrow" w:cs="Calibri"/>
          <w:sz w:val="24"/>
          <w:szCs w:val="24"/>
          <w:lang w:val="en-GB"/>
        </w:rPr>
        <w:t xml:space="preserve">on results </w:t>
      </w:r>
      <w:r w:rsidR="0086630B" w:rsidRPr="0086630B">
        <w:rPr>
          <w:rFonts w:ascii="Arial Narrow" w:hAnsi="Arial Narrow" w:cs="Calibri"/>
          <w:sz w:val="24"/>
          <w:szCs w:val="24"/>
          <w:lang w:val="en-GB"/>
        </w:rPr>
        <w:t xml:space="preserve">reporting on </w:t>
      </w:r>
      <w:r>
        <w:rPr>
          <w:rFonts w:ascii="Arial Narrow" w:hAnsi="Arial Narrow" w:cs="Calibri"/>
          <w:sz w:val="24"/>
          <w:szCs w:val="24"/>
          <w:lang w:val="en-GB"/>
        </w:rPr>
        <w:t>flexible funding modalities (</w:t>
      </w:r>
      <w:r w:rsidR="0086630B" w:rsidRPr="0086630B">
        <w:rPr>
          <w:rFonts w:ascii="Arial Narrow" w:hAnsi="Arial Narrow" w:cs="Calibri"/>
          <w:sz w:val="24"/>
          <w:szCs w:val="24"/>
          <w:lang w:val="en-GB"/>
        </w:rPr>
        <w:t xml:space="preserve">core </w:t>
      </w:r>
      <w:r>
        <w:rPr>
          <w:rFonts w:ascii="Arial Narrow" w:hAnsi="Arial Narrow" w:cs="Calibri"/>
          <w:sz w:val="24"/>
          <w:szCs w:val="24"/>
          <w:lang w:val="en-GB"/>
        </w:rPr>
        <w:t>support / pooled funds)</w:t>
      </w:r>
    </w:p>
    <w:p w14:paraId="4D64F67D" w14:textId="53FD1777" w:rsidR="00026822" w:rsidRDefault="00026822" w:rsidP="00340867">
      <w:pPr>
        <w:pStyle w:val="ListParagraph"/>
        <w:numPr>
          <w:ilvl w:val="0"/>
          <w:numId w:val="50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>Gather and disseminate best practice among donors providing un-earmarked funding</w:t>
      </w:r>
    </w:p>
    <w:p w14:paraId="4A36CF56" w14:textId="16590D61" w:rsidR="0086630B" w:rsidRPr="00FD6997" w:rsidRDefault="008B62DC" w:rsidP="00340867">
      <w:pPr>
        <w:pStyle w:val="ListParagraph"/>
        <w:numPr>
          <w:ilvl w:val="0"/>
          <w:numId w:val="50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 w:rsidRPr="007F59FD">
        <w:rPr>
          <w:rFonts w:ascii="Arial Narrow" w:hAnsi="Arial Narrow" w:cs="Calibri"/>
          <w:sz w:val="24"/>
          <w:szCs w:val="24"/>
          <w:lang w:val="en-GB"/>
        </w:rPr>
        <w:t>Do</w:t>
      </w:r>
      <w:r w:rsidR="00FD6997">
        <w:rPr>
          <w:rFonts w:ascii="Arial Narrow" w:hAnsi="Arial Narrow" w:cs="Calibri"/>
          <w:sz w:val="24"/>
          <w:szCs w:val="24"/>
          <w:lang w:val="en-GB"/>
        </w:rPr>
        <w:t>cument and share best practices</w:t>
      </w:r>
      <w:r w:rsidRPr="007F59FD">
        <w:rPr>
          <w:rFonts w:ascii="Arial Narrow" w:hAnsi="Arial Narrow" w:cs="Calibri"/>
          <w:sz w:val="24"/>
          <w:szCs w:val="24"/>
          <w:lang w:val="en-GB"/>
        </w:rPr>
        <w:t xml:space="preserve"> </w:t>
      </w:r>
      <w:r w:rsidR="00FD6997">
        <w:rPr>
          <w:rFonts w:ascii="Arial Narrow" w:hAnsi="Arial Narrow" w:cs="Calibri"/>
          <w:sz w:val="24"/>
          <w:szCs w:val="24"/>
          <w:lang w:val="en-GB"/>
        </w:rPr>
        <w:t>on</w:t>
      </w:r>
      <w:r w:rsidR="007F59FD" w:rsidRPr="00FD6997">
        <w:rPr>
          <w:rFonts w:ascii="Arial Narrow" w:hAnsi="Arial Narrow" w:cs="Calibri"/>
          <w:sz w:val="24"/>
          <w:szCs w:val="24"/>
          <w:lang w:val="en-GB"/>
        </w:rPr>
        <w:t xml:space="preserve"> flexible funding</w:t>
      </w:r>
      <w:r w:rsidR="00FD6997">
        <w:rPr>
          <w:rFonts w:ascii="Arial Narrow" w:hAnsi="Arial Narrow" w:cs="Calibri"/>
          <w:sz w:val="24"/>
          <w:szCs w:val="24"/>
          <w:lang w:val="en-GB"/>
        </w:rPr>
        <w:t xml:space="preserve"> approaches </w:t>
      </w:r>
      <w:r w:rsidR="007F59FD" w:rsidRPr="00FD6997">
        <w:rPr>
          <w:rFonts w:ascii="Arial Narrow" w:hAnsi="Arial Narrow" w:cs="Calibri"/>
          <w:sz w:val="24"/>
          <w:szCs w:val="24"/>
          <w:lang w:val="en-GB"/>
        </w:rPr>
        <w:t>to INGO consortia</w:t>
      </w:r>
      <w:r w:rsidR="00FD6997">
        <w:rPr>
          <w:rFonts w:ascii="Arial Narrow" w:hAnsi="Arial Narrow" w:cs="Calibri"/>
          <w:sz w:val="24"/>
          <w:szCs w:val="24"/>
          <w:lang w:val="en-GB"/>
        </w:rPr>
        <w:t xml:space="preserve"> etc, e.g through</w:t>
      </w:r>
      <w:r w:rsidR="0086630B" w:rsidRPr="00FD6997">
        <w:rPr>
          <w:rFonts w:ascii="Arial Narrow" w:hAnsi="Arial Narrow" w:cs="Calibri"/>
          <w:sz w:val="24"/>
          <w:szCs w:val="24"/>
          <w:lang w:val="en-GB"/>
        </w:rPr>
        <w:t xml:space="preserve"> </w:t>
      </w:r>
      <w:r w:rsidR="00340867">
        <w:rPr>
          <w:rFonts w:ascii="Arial Narrow" w:hAnsi="Arial Narrow" w:cs="Calibri"/>
          <w:sz w:val="24"/>
          <w:szCs w:val="24"/>
          <w:lang w:val="en-GB"/>
        </w:rPr>
        <w:t xml:space="preserve">rules for reallocation and through </w:t>
      </w:r>
      <w:r w:rsidR="00F655AF">
        <w:rPr>
          <w:rFonts w:ascii="Arial Narrow" w:hAnsi="Arial Narrow" w:cs="Calibri"/>
          <w:sz w:val="24"/>
          <w:szCs w:val="24"/>
          <w:lang w:val="en-GB"/>
        </w:rPr>
        <w:t>Rapid R</w:t>
      </w:r>
      <w:r w:rsidR="0086630B" w:rsidRPr="00FD6997">
        <w:rPr>
          <w:rFonts w:ascii="Arial Narrow" w:hAnsi="Arial Narrow" w:cs="Calibri"/>
          <w:sz w:val="24"/>
          <w:szCs w:val="24"/>
          <w:lang w:val="en-GB"/>
        </w:rPr>
        <w:t>esponse Mechanisms.</w:t>
      </w:r>
    </w:p>
    <w:p w14:paraId="376782A1" w14:textId="339B6FD1" w:rsidR="0086630B" w:rsidRPr="0086630B" w:rsidRDefault="0086630B" w:rsidP="00340867">
      <w:pPr>
        <w:pStyle w:val="ListParagraph"/>
        <w:numPr>
          <w:ilvl w:val="0"/>
          <w:numId w:val="50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>Explore synergies with work streams</w:t>
      </w:r>
      <w:r w:rsidR="00FD6997">
        <w:rPr>
          <w:rFonts w:ascii="Arial Narrow" w:hAnsi="Arial Narrow" w:cs="Calibri"/>
          <w:sz w:val="24"/>
          <w:szCs w:val="24"/>
          <w:lang w:val="en-GB"/>
        </w:rPr>
        <w:t xml:space="preserve"> </w:t>
      </w:r>
      <w:r>
        <w:rPr>
          <w:rFonts w:ascii="Arial Narrow" w:hAnsi="Arial Narrow" w:cs="Calibri"/>
          <w:sz w:val="24"/>
          <w:szCs w:val="24"/>
          <w:lang w:val="en-GB"/>
        </w:rPr>
        <w:t xml:space="preserve">on </w:t>
      </w:r>
      <w:r w:rsidR="00340867">
        <w:rPr>
          <w:rFonts w:ascii="Arial Narrow" w:hAnsi="Arial Narrow" w:cs="Calibri"/>
          <w:sz w:val="24"/>
          <w:szCs w:val="24"/>
          <w:lang w:val="en-GB"/>
        </w:rPr>
        <w:t>“</w:t>
      </w:r>
      <w:r w:rsidR="00340867" w:rsidRPr="00EF1B60">
        <w:rPr>
          <w:rFonts w:ascii="Arial Narrow" w:hAnsi="Arial Narrow" w:cs="Calibri"/>
          <w:sz w:val="24"/>
          <w:szCs w:val="24"/>
          <w:lang w:val="en-GB"/>
        </w:rPr>
        <w:t>Harmonize and simplify reporting requirements</w:t>
      </w:r>
      <w:r w:rsidR="00340867">
        <w:rPr>
          <w:rFonts w:ascii="Arial Narrow" w:hAnsi="Arial Narrow" w:cs="Calibri"/>
          <w:sz w:val="24"/>
          <w:szCs w:val="24"/>
          <w:lang w:val="en-GB"/>
        </w:rPr>
        <w:t>”</w:t>
      </w:r>
      <w:r w:rsidR="00340867" w:rsidRPr="00EF1B60">
        <w:rPr>
          <w:rFonts w:ascii="Arial Narrow" w:hAnsi="Arial Narrow" w:cs="Calibri"/>
          <w:sz w:val="24"/>
          <w:szCs w:val="24"/>
          <w:lang w:val="en-GB"/>
        </w:rPr>
        <w:t xml:space="preserve">, </w:t>
      </w:r>
      <w:r w:rsidR="00340867">
        <w:rPr>
          <w:rFonts w:ascii="Arial Narrow" w:hAnsi="Arial Narrow" w:cs="Calibri"/>
          <w:sz w:val="24"/>
          <w:szCs w:val="24"/>
          <w:lang w:val="en-GB"/>
        </w:rPr>
        <w:t>“</w:t>
      </w:r>
      <w:r w:rsidR="000D0923">
        <w:rPr>
          <w:rFonts w:ascii="Arial Narrow" w:hAnsi="Arial Narrow" w:cs="Calibri"/>
          <w:sz w:val="24"/>
          <w:szCs w:val="24"/>
          <w:lang w:val="en-GB"/>
        </w:rPr>
        <w:t>L</w:t>
      </w:r>
      <w:r w:rsidR="00340867" w:rsidRPr="00EF1B60">
        <w:rPr>
          <w:rFonts w:ascii="Arial Narrow" w:hAnsi="Arial Narrow" w:cs="Calibri"/>
          <w:sz w:val="24"/>
          <w:szCs w:val="24"/>
          <w:lang w:val="en-GB"/>
        </w:rPr>
        <w:t>ocalisation</w:t>
      </w:r>
      <w:r w:rsidR="00340867">
        <w:rPr>
          <w:rFonts w:ascii="Arial Narrow" w:hAnsi="Arial Narrow" w:cs="Calibri"/>
          <w:sz w:val="24"/>
          <w:szCs w:val="24"/>
          <w:lang w:val="en-GB"/>
        </w:rPr>
        <w:t>”</w:t>
      </w:r>
      <w:r w:rsidR="00340867" w:rsidRPr="00EF1B60">
        <w:rPr>
          <w:rFonts w:ascii="Arial Narrow" w:hAnsi="Arial Narrow" w:cs="Calibri"/>
          <w:sz w:val="24"/>
          <w:szCs w:val="24"/>
          <w:lang w:val="en-GB"/>
        </w:rPr>
        <w:t xml:space="preserve"> and </w:t>
      </w:r>
      <w:r w:rsidR="00340867">
        <w:rPr>
          <w:rFonts w:ascii="Arial Narrow" w:hAnsi="Arial Narrow" w:cs="Calibri"/>
          <w:sz w:val="24"/>
          <w:szCs w:val="24"/>
          <w:lang w:val="en-GB"/>
        </w:rPr>
        <w:t>“</w:t>
      </w:r>
      <w:r w:rsidR="000D0923">
        <w:rPr>
          <w:rFonts w:ascii="Arial Narrow" w:hAnsi="Arial Narrow" w:cs="Calibri"/>
          <w:sz w:val="24"/>
          <w:szCs w:val="24"/>
          <w:lang w:val="en-GB"/>
        </w:rPr>
        <w:t>M</w:t>
      </w:r>
      <w:r w:rsidR="00340867" w:rsidRPr="00EF1B60">
        <w:rPr>
          <w:rFonts w:ascii="Arial Narrow" w:hAnsi="Arial Narrow" w:cs="Calibri"/>
          <w:sz w:val="24"/>
          <w:szCs w:val="24"/>
          <w:lang w:val="en-GB"/>
        </w:rPr>
        <w:t>ulti-year planning and funding</w:t>
      </w:r>
      <w:r w:rsidR="00340867">
        <w:rPr>
          <w:rFonts w:ascii="Arial Narrow" w:hAnsi="Arial Narrow" w:cs="Calibri"/>
          <w:sz w:val="24"/>
          <w:szCs w:val="24"/>
          <w:lang w:val="en-GB"/>
        </w:rPr>
        <w:t>”</w:t>
      </w:r>
      <w:r>
        <w:rPr>
          <w:rFonts w:ascii="Arial Narrow" w:hAnsi="Arial Narrow" w:cs="Calibri"/>
          <w:sz w:val="24"/>
          <w:szCs w:val="24"/>
          <w:lang w:val="en-GB"/>
        </w:rPr>
        <w:t xml:space="preserve">. </w:t>
      </w:r>
    </w:p>
    <w:p w14:paraId="273E483D" w14:textId="0E907457" w:rsidR="00F655AF" w:rsidRDefault="00F655AF" w:rsidP="00340867">
      <w:pPr>
        <w:pStyle w:val="ListParagraph"/>
        <w:numPr>
          <w:ilvl w:val="0"/>
          <w:numId w:val="50"/>
        </w:numPr>
        <w:spacing w:after="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 xml:space="preserve">Establish a communication / advocacy </w:t>
      </w:r>
      <w:r w:rsidR="00340867">
        <w:rPr>
          <w:rFonts w:ascii="Arial Narrow" w:hAnsi="Arial Narrow" w:cs="Calibri"/>
          <w:sz w:val="24"/>
          <w:szCs w:val="24"/>
          <w:lang w:val="en-GB"/>
        </w:rPr>
        <w:t xml:space="preserve">plan on how to </w:t>
      </w:r>
      <w:r w:rsidR="00340867" w:rsidRPr="00340867">
        <w:rPr>
          <w:rFonts w:ascii="Arial Narrow" w:hAnsi="Arial Narrow" w:cs="Calibri"/>
          <w:sz w:val="24"/>
          <w:szCs w:val="24"/>
          <w:lang w:val="en-GB"/>
        </w:rPr>
        <w:t xml:space="preserve">make the case how un-earmarked is saving more lives </w:t>
      </w:r>
      <w:r w:rsidR="00340867">
        <w:rPr>
          <w:rFonts w:ascii="Arial Narrow" w:hAnsi="Arial Narrow" w:cs="Calibri"/>
          <w:sz w:val="24"/>
          <w:szCs w:val="24"/>
          <w:lang w:val="en-GB"/>
        </w:rPr>
        <w:t xml:space="preserve">within and </w:t>
      </w:r>
      <w:r>
        <w:rPr>
          <w:rFonts w:ascii="Arial Narrow" w:hAnsi="Arial Narrow" w:cs="Calibri"/>
          <w:sz w:val="24"/>
          <w:szCs w:val="24"/>
          <w:lang w:val="en-GB"/>
        </w:rPr>
        <w:t>beyond the Gr</w:t>
      </w:r>
      <w:r w:rsidR="00340867">
        <w:rPr>
          <w:rFonts w:ascii="Arial Narrow" w:hAnsi="Arial Narrow" w:cs="Calibri"/>
          <w:sz w:val="24"/>
          <w:szCs w:val="24"/>
          <w:lang w:val="en-GB"/>
        </w:rPr>
        <w:t>and Bargain circle of donors</w:t>
      </w:r>
      <w:r>
        <w:rPr>
          <w:rFonts w:ascii="Arial Narrow" w:hAnsi="Arial Narrow" w:cs="Calibri"/>
          <w:sz w:val="24"/>
          <w:szCs w:val="24"/>
          <w:lang w:val="en-GB"/>
        </w:rPr>
        <w:t>.</w:t>
      </w:r>
    </w:p>
    <w:p w14:paraId="4DF04E15" w14:textId="77777777" w:rsidR="007F59FD" w:rsidRDefault="007F59FD" w:rsidP="0086630B">
      <w:pPr>
        <w:pStyle w:val="ListParagraph"/>
        <w:spacing w:after="0"/>
        <w:ind w:left="360"/>
        <w:jc w:val="both"/>
        <w:rPr>
          <w:rFonts w:ascii="Arial Narrow" w:hAnsi="Arial Narrow" w:cs="Calibri"/>
          <w:sz w:val="24"/>
          <w:szCs w:val="24"/>
          <w:lang w:val="en-GB"/>
        </w:rPr>
      </w:pPr>
    </w:p>
    <w:p w14:paraId="0E8F1002" w14:textId="02F1F3B3" w:rsidR="0050644B" w:rsidRPr="00B9591C" w:rsidRDefault="008B62DC" w:rsidP="0086630B">
      <w:pPr>
        <w:pStyle w:val="ListParagraph"/>
        <w:spacing w:after="0"/>
        <w:ind w:left="360"/>
        <w:jc w:val="both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 xml:space="preserve">  </w:t>
      </w:r>
    </w:p>
    <w:sectPr w:rsidR="0050644B" w:rsidRPr="00B9591C" w:rsidSect="009333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A0E4E" w14:textId="77777777" w:rsidR="00ED3A49" w:rsidRDefault="00ED3A49" w:rsidP="00A87A54">
      <w:pPr>
        <w:spacing w:after="0" w:line="240" w:lineRule="auto"/>
      </w:pPr>
      <w:r>
        <w:separator/>
      </w:r>
    </w:p>
  </w:endnote>
  <w:endnote w:type="continuationSeparator" w:id="0">
    <w:p w14:paraId="3B0F9C6B" w14:textId="77777777" w:rsidR="00ED3A49" w:rsidRDefault="00ED3A4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4F40" w14:textId="77777777" w:rsidR="00F71329" w:rsidRDefault="00F71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72434"/>
      <w:docPartObj>
        <w:docPartGallery w:val="Page Numbers (Bottom of Page)"/>
        <w:docPartUnique/>
      </w:docPartObj>
    </w:sdtPr>
    <w:sdtEndPr/>
    <w:sdtContent>
      <w:p w14:paraId="7800B964" w14:textId="60C17235" w:rsidR="00F71329" w:rsidRDefault="00F713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976">
          <w:rPr>
            <w:noProof/>
          </w:rPr>
          <w:t>2</w:t>
        </w:r>
        <w:r>
          <w:fldChar w:fldCharType="end"/>
        </w:r>
      </w:p>
    </w:sdtContent>
  </w:sdt>
  <w:p w14:paraId="4ED52624" w14:textId="77777777" w:rsidR="00F71329" w:rsidRDefault="00F71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BE6D9" w14:textId="77777777" w:rsidR="00F71329" w:rsidRDefault="00F71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28047" w14:textId="77777777" w:rsidR="00ED3A49" w:rsidRDefault="00ED3A49" w:rsidP="00A87A54">
      <w:pPr>
        <w:spacing w:after="0" w:line="240" w:lineRule="auto"/>
      </w:pPr>
      <w:r>
        <w:separator/>
      </w:r>
    </w:p>
  </w:footnote>
  <w:footnote w:type="continuationSeparator" w:id="0">
    <w:p w14:paraId="7817B6DC" w14:textId="77777777" w:rsidR="00ED3A49" w:rsidRDefault="00ED3A49" w:rsidP="00A87A54">
      <w:pPr>
        <w:spacing w:after="0" w:line="240" w:lineRule="auto"/>
      </w:pPr>
      <w:r>
        <w:continuationSeparator/>
      </w:r>
    </w:p>
  </w:footnote>
  <w:footnote w:id="1">
    <w:p w14:paraId="6818E69B" w14:textId="7B4BC05E" w:rsidR="00B9591C" w:rsidRDefault="00B959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309BD">
          <w:rPr>
            <w:rStyle w:val="Hyperlink"/>
          </w:rPr>
          <w:t>https://www.ghdinitiative.org/ghd/gns/home-page.html</w:t>
        </w:r>
      </w:hyperlink>
      <w:r>
        <w:t xml:space="preserve">; </w:t>
      </w:r>
      <w:hyperlink r:id="rId2" w:history="1">
        <w:r w:rsidRPr="00D309BD">
          <w:rPr>
            <w:rStyle w:val="Hyperlink"/>
          </w:rPr>
          <w:t>http://www.agendaforhumanity.org/initiatives/3861</w:t>
        </w:r>
      </w:hyperlink>
      <w:r>
        <w:t xml:space="preserve"> </w:t>
      </w:r>
    </w:p>
  </w:footnote>
  <w:footnote w:id="2">
    <w:p w14:paraId="1E53C19F" w14:textId="77777777" w:rsidR="001E0808" w:rsidRPr="007F59FD" w:rsidRDefault="001E080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7F59FD">
        <w:rPr>
          <w:lang w:val="en-GB"/>
        </w:rPr>
        <w:t xml:space="preserve"> Global humanitarian Assistance report 2016.</w:t>
      </w:r>
    </w:p>
  </w:footnote>
  <w:footnote w:id="3">
    <w:p w14:paraId="2F04BAE2" w14:textId="77777777" w:rsidR="005228DA" w:rsidRPr="007F59FD" w:rsidRDefault="005228DA" w:rsidP="005228D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F59FD">
        <w:rPr>
          <w:lang w:val="en-GB"/>
        </w:rPr>
        <w:t xml:space="preserve"> </w:t>
      </w:r>
      <w:r>
        <w:rPr>
          <w:lang w:val="en-US"/>
        </w:rPr>
        <w:t xml:space="preserve">Reference here to the table of earmarking definitons of the Grand Bargain report. Completely unearmarked was shown in green.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23D40" w14:textId="77777777" w:rsidR="00F71329" w:rsidRDefault="00F71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E758" w14:textId="77777777" w:rsidR="00F71329" w:rsidRDefault="00F71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D925" w14:textId="77777777" w:rsidR="00F71329" w:rsidRDefault="00F71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0AD0C9D"/>
    <w:multiLevelType w:val="hybridMultilevel"/>
    <w:tmpl w:val="D842EA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25C17"/>
    <w:multiLevelType w:val="hybridMultilevel"/>
    <w:tmpl w:val="7B8414F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503F4C"/>
    <w:multiLevelType w:val="multilevel"/>
    <w:tmpl w:val="1A20A4CA"/>
    <w:numStyleLink w:val="RKPunktlista"/>
  </w:abstractNum>
  <w:abstractNum w:abstractNumId="10" w15:restartNumberingAfterBreak="0">
    <w:nsid w:val="0ED533F4"/>
    <w:multiLevelType w:val="multilevel"/>
    <w:tmpl w:val="1B563932"/>
    <w:numStyleLink w:val="RKNumreradlista"/>
  </w:abstractNum>
  <w:abstractNum w:abstractNumId="11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5490"/>
    <w:multiLevelType w:val="multilevel"/>
    <w:tmpl w:val="1B563932"/>
    <w:numStyleLink w:val="RKNumreradlista"/>
  </w:abstractNum>
  <w:abstractNum w:abstractNumId="13" w15:restartNumberingAfterBreak="0">
    <w:nsid w:val="1F88532F"/>
    <w:multiLevelType w:val="multilevel"/>
    <w:tmpl w:val="1B563932"/>
    <w:numStyleLink w:val="RKNumreradlista"/>
  </w:abstractNum>
  <w:abstractNum w:abstractNumId="14" w15:restartNumberingAfterBreak="0">
    <w:nsid w:val="25D173EA"/>
    <w:multiLevelType w:val="hybridMultilevel"/>
    <w:tmpl w:val="F4D89D80"/>
    <w:lvl w:ilvl="0" w:tplc="F342B78A">
      <w:start w:val="30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D539E"/>
    <w:multiLevelType w:val="hybridMultilevel"/>
    <w:tmpl w:val="055CFCCE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5C4873"/>
    <w:multiLevelType w:val="hybridMultilevel"/>
    <w:tmpl w:val="71E024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5E42D2E"/>
    <w:multiLevelType w:val="hybridMultilevel"/>
    <w:tmpl w:val="9B50D26A"/>
    <w:lvl w:ilvl="0" w:tplc="F342B78A">
      <w:start w:val="3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1CA6821"/>
    <w:multiLevelType w:val="hybridMultilevel"/>
    <w:tmpl w:val="D5C43930"/>
    <w:lvl w:ilvl="0" w:tplc="6B76253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4092AF1"/>
    <w:multiLevelType w:val="hybridMultilevel"/>
    <w:tmpl w:val="A8BA821C"/>
    <w:lvl w:ilvl="0" w:tplc="F342B78A">
      <w:start w:val="3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72311"/>
    <w:multiLevelType w:val="hybridMultilevel"/>
    <w:tmpl w:val="01CC3BCA"/>
    <w:lvl w:ilvl="0" w:tplc="71A2D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843F9"/>
    <w:multiLevelType w:val="multilevel"/>
    <w:tmpl w:val="1A20A4CA"/>
    <w:numStyleLink w:val="RKPunktlista"/>
  </w:abstractNum>
  <w:abstractNum w:abstractNumId="36" w15:restartNumberingAfterBreak="0">
    <w:nsid w:val="5F743A4A"/>
    <w:multiLevelType w:val="hybridMultilevel"/>
    <w:tmpl w:val="E91C85DC"/>
    <w:lvl w:ilvl="0" w:tplc="F342B78A">
      <w:start w:val="30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AC437A"/>
    <w:multiLevelType w:val="multilevel"/>
    <w:tmpl w:val="E2FEA49E"/>
    <w:numStyleLink w:val="RKNumreraderubriker"/>
  </w:abstractNum>
  <w:abstractNum w:abstractNumId="38" w15:restartNumberingAfterBreak="0">
    <w:nsid w:val="61C507D2"/>
    <w:multiLevelType w:val="hybridMultilevel"/>
    <w:tmpl w:val="57469098"/>
    <w:lvl w:ilvl="0" w:tplc="6B76253C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D8301E"/>
    <w:multiLevelType w:val="hybridMultilevel"/>
    <w:tmpl w:val="4EC8D9C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80D1B"/>
    <w:multiLevelType w:val="multilevel"/>
    <w:tmpl w:val="1B563932"/>
    <w:numStyleLink w:val="RKNumreradlista"/>
  </w:abstractNum>
  <w:abstractNum w:abstractNumId="41" w15:restartNumberingAfterBreak="0">
    <w:nsid w:val="664239C2"/>
    <w:multiLevelType w:val="multilevel"/>
    <w:tmpl w:val="1A20A4CA"/>
    <w:numStyleLink w:val="RKPunktlista"/>
  </w:abstractNum>
  <w:abstractNum w:abstractNumId="42" w15:restartNumberingAfterBreak="0">
    <w:nsid w:val="6AA87A6A"/>
    <w:multiLevelType w:val="multilevel"/>
    <w:tmpl w:val="186C6512"/>
    <w:numStyleLink w:val="Strecklistan"/>
  </w:abstractNum>
  <w:abstractNum w:abstractNumId="43" w15:restartNumberingAfterBreak="0">
    <w:nsid w:val="6C170EE1"/>
    <w:multiLevelType w:val="hybridMultilevel"/>
    <w:tmpl w:val="21B6A7E6"/>
    <w:lvl w:ilvl="0" w:tplc="F342B78A">
      <w:start w:val="3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8C68B4"/>
    <w:multiLevelType w:val="multilevel"/>
    <w:tmpl w:val="1B563932"/>
    <w:numStyleLink w:val="RKNumreradlista"/>
  </w:abstractNum>
  <w:abstractNum w:abstractNumId="45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66A28"/>
    <w:multiLevelType w:val="multilevel"/>
    <w:tmpl w:val="1A20A4CA"/>
    <w:numStyleLink w:val="RKPunktlista"/>
  </w:abstractNum>
  <w:abstractNum w:abstractNumId="47" w15:restartNumberingAfterBreak="0">
    <w:nsid w:val="756A40FB"/>
    <w:multiLevelType w:val="hybridMultilevel"/>
    <w:tmpl w:val="22C681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22898"/>
    <w:multiLevelType w:val="multilevel"/>
    <w:tmpl w:val="186C6512"/>
    <w:numStyleLink w:val="Strecklistan"/>
  </w:abstractNum>
  <w:abstractNum w:abstractNumId="49" w15:restartNumberingAfterBreak="0">
    <w:nsid w:val="7ECB02BC"/>
    <w:multiLevelType w:val="hybridMultilevel"/>
    <w:tmpl w:val="5A9C658E"/>
    <w:lvl w:ilvl="0" w:tplc="3C22414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4"/>
  </w:num>
  <w:num w:numId="8">
    <w:abstractNumId w:val="21"/>
  </w:num>
  <w:num w:numId="9">
    <w:abstractNumId w:val="10"/>
  </w:num>
  <w:num w:numId="10">
    <w:abstractNumId w:val="17"/>
  </w:num>
  <w:num w:numId="11">
    <w:abstractNumId w:val="22"/>
  </w:num>
  <w:num w:numId="12">
    <w:abstractNumId w:val="45"/>
  </w:num>
  <w:num w:numId="13">
    <w:abstractNumId w:val="32"/>
  </w:num>
  <w:num w:numId="14">
    <w:abstractNumId w:val="11"/>
  </w:num>
  <w:num w:numId="15">
    <w:abstractNumId w:val="9"/>
  </w:num>
  <w:num w:numId="16">
    <w:abstractNumId w:val="41"/>
  </w:num>
  <w:num w:numId="17">
    <w:abstractNumId w:val="35"/>
  </w:num>
  <w:num w:numId="18">
    <w:abstractNumId w:val="7"/>
  </w:num>
  <w:num w:numId="19">
    <w:abstractNumId w:val="0"/>
  </w:num>
  <w:num w:numId="20">
    <w:abstractNumId w:val="2"/>
  </w:num>
  <w:num w:numId="21">
    <w:abstractNumId w:val="20"/>
  </w:num>
  <w:num w:numId="22">
    <w:abstractNumId w:val="12"/>
  </w:num>
  <w:num w:numId="23">
    <w:abstractNumId w:val="28"/>
  </w:num>
  <w:num w:numId="24">
    <w:abstractNumId w:val="29"/>
  </w:num>
  <w:num w:numId="25">
    <w:abstractNumId w:val="46"/>
  </w:num>
  <w:num w:numId="26">
    <w:abstractNumId w:val="25"/>
  </w:num>
  <w:num w:numId="27">
    <w:abstractNumId w:val="42"/>
  </w:num>
  <w:num w:numId="28">
    <w:abstractNumId w:val="18"/>
  </w:num>
  <w:num w:numId="29">
    <w:abstractNumId w:val="16"/>
  </w:num>
  <w:num w:numId="30">
    <w:abstractNumId w:val="44"/>
  </w:num>
  <w:num w:numId="31">
    <w:abstractNumId w:val="13"/>
  </w:num>
  <w:num w:numId="32">
    <w:abstractNumId w:val="30"/>
  </w:num>
  <w:num w:numId="33">
    <w:abstractNumId w:val="40"/>
  </w:num>
  <w:num w:numId="34">
    <w:abstractNumId w:val="48"/>
  </w:num>
  <w:num w:numId="35">
    <w:abstractNumId w:val="27"/>
  </w:num>
  <w:num w:numId="36">
    <w:abstractNumId w:val="23"/>
  </w:num>
  <w:num w:numId="37">
    <w:abstractNumId w:val="43"/>
  </w:num>
  <w:num w:numId="38">
    <w:abstractNumId w:val="33"/>
  </w:num>
  <w:num w:numId="39">
    <w:abstractNumId w:val="8"/>
  </w:num>
  <w:num w:numId="40">
    <w:abstractNumId w:val="36"/>
  </w:num>
  <w:num w:numId="41">
    <w:abstractNumId w:val="31"/>
  </w:num>
  <w:num w:numId="42">
    <w:abstractNumId w:val="38"/>
  </w:num>
  <w:num w:numId="43">
    <w:abstractNumId w:val="6"/>
  </w:num>
  <w:num w:numId="44">
    <w:abstractNumId w:val="19"/>
  </w:num>
  <w:num w:numId="45">
    <w:abstractNumId w:val="34"/>
  </w:num>
  <w:num w:numId="46">
    <w:abstractNumId w:val="15"/>
  </w:num>
  <w:num w:numId="47">
    <w:abstractNumId w:val="14"/>
  </w:num>
  <w:num w:numId="48">
    <w:abstractNumId w:val="47"/>
  </w:num>
  <w:num w:numId="49">
    <w:abstractNumId w:val="4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F1"/>
    <w:rsid w:val="00004D5C"/>
    <w:rsid w:val="00005F68"/>
    <w:rsid w:val="00012B00"/>
    <w:rsid w:val="00017386"/>
    <w:rsid w:val="00026711"/>
    <w:rsid w:val="00026822"/>
    <w:rsid w:val="00041EDC"/>
    <w:rsid w:val="00057FE0"/>
    <w:rsid w:val="000757FC"/>
    <w:rsid w:val="000862E0"/>
    <w:rsid w:val="00093408"/>
    <w:rsid w:val="0009435C"/>
    <w:rsid w:val="000C0108"/>
    <w:rsid w:val="000C61D1"/>
    <w:rsid w:val="000D0923"/>
    <w:rsid w:val="000E12D9"/>
    <w:rsid w:val="000E54F7"/>
    <w:rsid w:val="000F00B8"/>
    <w:rsid w:val="00111809"/>
    <w:rsid w:val="00114884"/>
    <w:rsid w:val="00121002"/>
    <w:rsid w:val="0012501F"/>
    <w:rsid w:val="001567E9"/>
    <w:rsid w:val="00170CE4"/>
    <w:rsid w:val="00173126"/>
    <w:rsid w:val="00192E34"/>
    <w:rsid w:val="001C5DC9"/>
    <w:rsid w:val="001C71A9"/>
    <w:rsid w:val="001E0808"/>
    <w:rsid w:val="001F0629"/>
    <w:rsid w:val="001F0736"/>
    <w:rsid w:val="001F3905"/>
    <w:rsid w:val="001F4302"/>
    <w:rsid w:val="001F794A"/>
    <w:rsid w:val="00204079"/>
    <w:rsid w:val="00211B4E"/>
    <w:rsid w:val="00212622"/>
    <w:rsid w:val="00213258"/>
    <w:rsid w:val="00222258"/>
    <w:rsid w:val="0022378E"/>
    <w:rsid w:val="00223AD6"/>
    <w:rsid w:val="00233D52"/>
    <w:rsid w:val="002561FB"/>
    <w:rsid w:val="00260D2D"/>
    <w:rsid w:val="00281106"/>
    <w:rsid w:val="00281785"/>
    <w:rsid w:val="00282D27"/>
    <w:rsid w:val="002922D5"/>
    <w:rsid w:val="00292420"/>
    <w:rsid w:val="002A26B7"/>
    <w:rsid w:val="002E4D3F"/>
    <w:rsid w:val="002E79AF"/>
    <w:rsid w:val="002F2DCF"/>
    <w:rsid w:val="002F66A6"/>
    <w:rsid w:val="003050DB"/>
    <w:rsid w:val="00307E0B"/>
    <w:rsid w:val="00310561"/>
    <w:rsid w:val="003128E2"/>
    <w:rsid w:val="00314336"/>
    <w:rsid w:val="00326C03"/>
    <w:rsid w:val="00340867"/>
    <w:rsid w:val="00340DE0"/>
    <w:rsid w:val="00342327"/>
    <w:rsid w:val="00346104"/>
    <w:rsid w:val="00347E11"/>
    <w:rsid w:val="00350C92"/>
    <w:rsid w:val="00370311"/>
    <w:rsid w:val="00372AFD"/>
    <w:rsid w:val="003770D5"/>
    <w:rsid w:val="0038587E"/>
    <w:rsid w:val="00392ED4"/>
    <w:rsid w:val="003A018B"/>
    <w:rsid w:val="003A5969"/>
    <w:rsid w:val="003A5C58"/>
    <w:rsid w:val="003B0549"/>
    <w:rsid w:val="003B5707"/>
    <w:rsid w:val="003C4BFD"/>
    <w:rsid w:val="003C7BE0"/>
    <w:rsid w:val="003D0DD3"/>
    <w:rsid w:val="003D17EF"/>
    <w:rsid w:val="003D3535"/>
    <w:rsid w:val="003E6020"/>
    <w:rsid w:val="0041223B"/>
    <w:rsid w:val="004149D6"/>
    <w:rsid w:val="00415E84"/>
    <w:rsid w:val="0042068E"/>
    <w:rsid w:val="00430505"/>
    <w:rsid w:val="00436E13"/>
    <w:rsid w:val="00454ECC"/>
    <w:rsid w:val="00455FC0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09AF"/>
    <w:rsid w:val="00491796"/>
    <w:rsid w:val="004A18A5"/>
    <w:rsid w:val="004B66DA"/>
    <w:rsid w:val="004C70EE"/>
    <w:rsid w:val="004D47E9"/>
    <w:rsid w:val="004E25CD"/>
    <w:rsid w:val="004F0448"/>
    <w:rsid w:val="004F6525"/>
    <w:rsid w:val="0050644B"/>
    <w:rsid w:val="0052127C"/>
    <w:rsid w:val="005228DA"/>
    <w:rsid w:val="00533841"/>
    <w:rsid w:val="00537ACF"/>
    <w:rsid w:val="00544738"/>
    <w:rsid w:val="005456E4"/>
    <w:rsid w:val="00547B89"/>
    <w:rsid w:val="00552B79"/>
    <w:rsid w:val="005606BC"/>
    <w:rsid w:val="00567799"/>
    <w:rsid w:val="00571A0B"/>
    <w:rsid w:val="005850D7"/>
    <w:rsid w:val="00596E2B"/>
    <w:rsid w:val="005A5193"/>
    <w:rsid w:val="005E24C0"/>
    <w:rsid w:val="005E2F29"/>
    <w:rsid w:val="005E4E79"/>
    <w:rsid w:val="006175D7"/>
    <w:rsid w:val="006208E5"/>
    <w:rsid w:val="00631F82"/>
    <w:rsid w:val="0064461C"/>
    <w:rsid w:val="00650538"/>
    <w:rsid w:val="00654B4D"/>
    <w:rsid w:val="00670A48"/>
    <w:rsid w:val="00672F6F"/>
    <w:rsid w:val="00673142"/>
    <w:rsid w:val="0069523C"/>
    <w:rsid w:val="006B270D"/>
    <w:rsid w:val="006B4A30"/>
    <w:rsid w:val="006B7569"/>
    <w:rsid w:val="006D1458"/>
    <w:rsid w:val="006D3188"/>
    <w:rsid w:val="006D59F9"/>
    <w:rsid w:val="006E08FC"/>
    <w:rsid w:val="006F2588"/>
    <w:rsid w:val="006F6F53"/>
    <w:rsid w:val="00710A6C"/>
    <w:rsid w:val="00712266"/>
    <w:rsid w:val="00732C27"/>
    <w:rsid w:val="00750C93"/>
    <w:rsid w:val="00757B3B"/>
    <w:rsid w:val="00766417"/>
    <w:rsid w:val="00773075"/>
    <w:rsid w:val="00782B3F"/>
    <w:rsid w:val="00792999"/>
    <w:rsid w:val="0079641B"/>
    <w:rsid w:val="007A629C"/>
    <w:rsid w:val="007C2293"/>
    <w:rsid w:val="007C44FF"/>
    <w:rsid w:val="007C7BDB"/>
    <w:rsid w:val="007D73AB"/>
    <w:rsid w:val="007D7A8D"/>
    <w:rsid w:val="007F516C"/>
    <w:rsid w:val="007F59FD"/>
    <w:rsid w:val="00804C1B"/>
    <w:rsid w:val="00816677"/>
    <w:rsid w:val="008178E6"/>
    <w:rsid w:val="008375D5"/>
    <w:rsid w:val="0086630B"/>
    <w:rsid w:val="00875DDD"/>
    <w:rsid w:val="00876551"/>
    <w:rsid w:val="00891929"/>
    <w:rsid w:val="00897A34"/>
    <w:rsid w:val="008A0A0D"/>
    <w:rsid w:val="008B62DC"/>
    <w:rsid w:val="008C562B"/>
    <w:rsid w:val="008D3090"/>
    <w:rsid w:val="008D4306"/>
    <w:rsid w:val="008D4508"/>
    <w:rsid w:val="008E77D6"/>
    <w:rsid w:val="0091054A"/>
    <w:rsid w:val="00921526"/>
    <w:rsid w:val="0093335A"/>
    <w:rsid w:val="00940741"/>
    <w:rsid w:val="0094502D"/>
    <w:rsid w:val="00947013"/>
    <w:rsid w:val="00957413"/>
    <w:rsid w:val="009773FA"/>
    <w:rsid w:val="00980D18"/>
    <w:rsid w:val="00981859"/>
    <w:rsid w:val="00986CC3"/>
    <w:rsid w:val="009920AA"/>
    <w:rsid w:val="009A47BB"/>
    <w:rsid w:val="009A4D0A"/>
    <w:rsid w:val="009B3DEC"/>
    <w:rsid w:val="009B5862"/>
    <w:rsid w:val="009C2459"/>
    <w:rsid w:val="009D5D40"/>
    <w:rsid w:val="009D6B1B"/>
    <w:rsid w:val="009E107B"/>
    <w:rsid w:val="009E13B3"/>
    <w:rsid w:val="009E18D6"/>
    <w:rsid w:val="00A01F5C"/>
    <w:rsid w:val="00A061BD"/>
    <w:rsid w:val="00A316F2"/>
    <w:rsid w:val="00A3270B"/>
    <w:rsid w:val="00A43B02"/>
    <w:rsid w:val="00A43B74"/>
    <w:rsid w:val="00A5156E"/>
    <w:rsid w:val="00A56824"/>
    <w:rsid w:val="00A65C80"/>
    <w:rsid w:val="00A67276"/>
    <w:rsid w:val="00A67840"/>
    <w:rsid w:val="00A743AC"/>
    <w:rsid w:val="00A81531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47ACF"/>
    <w:rsid w:val="00B517E1"/>
    <w:rsid w:val="00B55E70"/>
    <w:rsid w:val="00B639D8"/>
    <w:rsid w:val="00B74179"/>
    <w:rsid w:val="00B84409"/>
    <w:rsid w:val="00B9591C"/>
    <w:rsid w:val="00BB5683"/>
    <w:rsid w:val="00BD0826"/>
    <w:rsid w:val="00BE3210"/>
    <w:rsid w:val="00C07AF9"/>
    <w:rsid w:val="00C1130F"/>
    <w:rsid w:val="00C141C6"/>
    <w:rsid w:val="00C2071A"/>
    <w:rsid w:val="00C20ACB"/>
    <w:rsid w:val="00C212F1"/>
    <w:rsid w:val="00C26068"/>
    <w:rsid w:val="00C271A8"/>
    <w:rsid w:val="00C37A77"/>
    <w:rsid w:val="00C4042C"/>
    <w:rsid w:val="00C461E6"/>
    <w:rsid w:val="00C70AD3"/>
    <w:rsid w:val="00C93EBA"/>
    <w:rsid w:val="00CA4E2C"/>
    <w:rsid w:val="00CA7FF5"/>
    <w:rsid w:val="00CB1E7C"/>
    <w:rsid w:val="00CB2EA1"/>
    <w:rsid w:val="00CB43F1"/>
    <w:rsid w:val="00CB444A"/>
    <w:rsid w:val="00CB6206"/>
    <w:rsid w:val="00CB6EDE"/>
    <w:rsid w:val="00CB7741"/>
    <w:rsid w:val="00CC41BA"/>
    <w:rsid w:val="00CC53DE"/>
    <w:rsid w:val="00CD1C6C"/>
    <w:rsid w:val="00CD6169"/>
    <w:rsid w:val="00CF3046"/>
    <w:rsid w:val="00CF717A"/>
    <w:rsid w:val="00D021D2"/>
    <w:rsid w:val="00D13D8A"/>
    <w:rsid w:val="00D21D90"/>
    <w:rsid w:val="00D279D8"/>
    <w:rsid w:val="00D27C8E"/>
    <w:rsid w:val="00D30CC5"/>
    <w:rsid w:val="00D4141B"/>
    <w:rsid w:val="00D4145D"/>
    <w:rsid w:val="00D45543"/>
    <w:rsid w:val="00D5467F"/>
    <w:rsid w:val="00D57309"/>
    <w:rsid w:val="00D6730A"/>
    <w:rsid w:val="00D76068"/>
    <w:rsid w:val="00D76B01"/>
    <w:rsid w:val="00D77F8C"/>
    <w:rsid w:val="00D84704"/>
    <w:rsid w:val="00D95424"/>
    <w:rsid w:val="00DB714B"/>
    <w:rsid w:val="00DF5BFB"/>
    <w:rsid w:val="00E05B45"/>
    <w:rsid w:val="00E25976"/>
    <w:rsid w:val="00E35728"/>
    <w:rsid w:val="00E469E4"/>
    <w:rsid w:val="00E475C3"/>
    <w:rsid w:val="00E509B0"/>
    <w:rsid w:val="00E7634A"/>
    <w:rsid w:val="00E82BA3"/>
    <w:rsid w:val="00EA1688"/>
    <w:rsid w:val="00EA1E6E"/>
    <w:rsid w:val="00ED3A49"/>
    <w:rsid w:val="00ED592E"/>
    <w:rsid w:val="00ED6ABD"/>
    <w:rsid w:val="00EE03A4"/>
    <w:rsid w:val="00EE3C0F"/>
    <w:rsid w:val="00EF1B60"/>
    <w:rsid w:val="00EF2A7F"/>
    <w:rsid w:val="00F03EAC"/>
    <w:rsid w:val="00F14024"/>
    <w:rsid w:val="00F17F9E"/>
    <w:rsid w:val="00F259D7"/>
    <w:rsid w:val="00F32D05"/>
    <w:rsid w:val="00F35263"/>
    <w:rsid w:val="00F452EA"/>
    <w:rsid w:val="00F4769D"/>
    <w:rsid w:val="00F534A5"/>
    <w:rsid w:val="00F53AEA"/>
    <w:rsid w:val="00F655AF"/>
    <w:rsid w:val="00F66093"/>
    <w:rsid w:val="00F71329"/>
    <w:rsid w:val="00F848D6"/>
    <w:rsid w:val="00F96D86"/>
    <w:rsid w:val="00FA5DDD"/>
    <w:rsid w:val="00FD0B7B"/>
    <w:rsid w:val="00FD4E71"/>
    <w:rsid w:val="00FD6997"/>
    <w:rsid w:val="00FD7CEC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6A622"/>
  <w15:docId w15:val="{BDFC1B0B-BFC9-4555-9B34-595CB4F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semiHidden/>
    <w:qFormat/>
    <w:rsid w:val="003C4BFD"/>
  </w:style>
  <w:style w:type="paragraph" w:styleId="Heading1">
    <w:name w:val="heading 1"/>
    <w:basedOn w:val="BodyText"/>
    <w:next w:val="BodyText"/>
    <w:link w:val="Heading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odyTextIndent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CC41BA"/>
  </w:style>
  <w:style w:type="character" w:customStyle="1" w:styleId="Heading1Char">
    <w:name w:val="Heading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Title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Header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Footer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Footer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otnoteTextChar"/>
    <w:uiPriority w:val="99"/>
    <w:semiHidden/>
    <w:rsid w:val="00672F6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paragraph" w:styleId="ListParagraph">
    <w:name w:val="List Paragraph"/>
    <w:basedOn w:val="Normal"/>
    <w:uiPriority w:val="34"/>
    <w:semiHidden/>
    <w:qFormat/>
    <w:rsid w:val="00506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7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5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7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ndaforhumanity.org/initiatives/3861" TargetMode="External"/><Relationship Id="rId1" Type="http://schemas.openxmlformats.org/officeDocument/2006/relationships/hyperlink" Target="https://www.ghdinitiative.org/ghd/gns/home-page.html" TargetMode="Externa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05E87F50-1694-4915-90AC-4A47F2FF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Hedin</dc:creator>
  <cp:lastModifiedBy>Paulette JONES</cp:lastModifiedBy>
  <cp:revision>2</cp:revision>
  <cp:lastPrinted>2017-09-06T09:11:00Z</cp:lastPrinted>
  <dcterms:created xsi:type="dcterms:W3CDTF">2018-02-12T06:16:00Z</dcterms:created>
  <dcterms:modified xsi:type="dcterms:W3CDTF">2018-02-12T06:16:00Z</dcterms:modified>
</cp:coreProperties>
</file>