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41388" w14:textId="77777777" w:rsidR="00A96663" w:rsidRPr="000A10A4" w:rsidRDefault="00A96663" w:rsidP="00A96663">
      <w:pPr>
        <w:pBdr>
          <w:top w:val="single" w:sz="4" w:space="1" w:color="auto"/>
          <w:left w:val="single" w:sz="4" w:space="4" w:color="auto"/>
          <w:bottom w:val="single" w:sz="4" w:space="1" w:color="auto"/>
          <w:right w:val="single" w:sz="4" w:space="4" w:color="auto"/>
        </w:pBdr>
        <w:spacing w:after="0"/>
        <w:jc w:val="center"/>
        <w:rPr>
          <w:rFonts w:ascii="Cambria" w:hAnsi="Cambria" w:cs="Tahoma"/>
          <w:sz w:val="20"/>
          <w:szCs w:val="20"/>
          <w:lang w:val="en-GB"/>
        </w:rPr>
      </w:pPr>
      <w:r w:rsidRPr="000A10A4">
        <w:rPr>
          <w:rFonts w:ascii="Cambria" w:hAnsi="Cambria" w:cs="Tahoma"/>
          <w:sz w:val="20"/>
          <w:szCs w:val="20"/>
          <w:lang w:val="en-GB"/>
        </w:rPr>
        <w:t>INTERAGENCY STANDING COMMITTEE TASK TEAM ON STRENGHTENING THE</w:t>
      </w:r>
    </w:p>
    <w:p w14:paraId="56FDEB52" w14:textId="77777777" w:rsidR="00A96663" w:rsidRPr="000A10A4" w:rsidRDefault="00A96663" w:rsidP="00A96663">
      <w:pPr>
        <w:pBdr>
          <w:top w:val="single" w:sz="4" w:space="1" w:color="auto"/>
          <w:left w:val="single" w:sz="4" w:space="4" w:color="auto"/>
          <w:bottom w:val="single" w:sz="4" w:space="1" w:color="auto"/>
          <w:right w:val="single" w:sz="4" w:space="4" w:color="auto"/>
        </w:pBdr>
        <w:spacing w:after="0"/>
        <w:jc w:val="center"/>
        <w:rPr>
          <w:rFonts w:ascii="Cambria" w:hAnsi="Cambria" w:cs="Tahoma"/>
          <w:sz w:val="20"/>
          <w:szCs w:val="20"/>
          <w:lang w:val="en-GB"/>
        </w:rPr>
      </w:pPr>
      <w:r w:rsidRPr="000A10A4">
        <w:rPr>
          <w:rFonts w:ascii="Cambria" w:hAnsi="Cambria" w:cs="Tahoma"/>
          <w:sz w:val="20"/>
          <w:szCs w:val="20"/>
          <w:lang w:val="en-GB"/>
        </w:rPr>
        <w:t>HUMANITARIAN-DEVELOPMENT NEXUS IN PROTRACTED CRISES</w:t>
      </w:r>
    </w:p>
    <w:p w14:paraId="66399B5A" w14:textId="77777777" w:rsidR="00C17EB0" w:rsidRPr="000A10A4" w:rsidRDefault="00C17EB0" w:rsidP="00A96663">
      <w:pPr>
        <w:pBdr>
          <w:top w:val="single" w:sz="4" w:space="1" w:color="auto"/>
          <w:left w:val="single" w:sz="4" w:space="4" w:color="auto"/>
          <w:bottom w:val="single" w:sz="4" w:space="1" w:color="auto"/>
          <w:right w:val="single" w:sz="4" w:space="4" w:color="auto"/>
        </w:pBdr>
        <w:spacing w:after="0"/>
        <w:jc w:val="center"/>
        <w:rPr>
          <w:rFonts w:ascii="Cambria" w:hAnsi="Cambria" w:cs="Tahoma"/>
          <w:sz w:val="20"/>
          <w:szCs w:val="20"/>
          <w:lang w:val="en-GB"/>
        </w:rPr>
      </w:pPr>
    </w:p>
    <w:p w14:paraId="4B09C17B" w14:textId="77777777" w:rsidR="00C17EB0" w:rsidRPr="000A10A4" w:rsidRDefault="00C17EB0" w:rsidP="00A96663">
      <w:pPr>
        <w:pBdr>
          <w:top w:val="single" w:sz="4" w:space="1" w:color="auto"/>
          <w:left w:val="single" w:sz="4" w:space="4" w:color="auto"/>
          <w:bottom w:val="single" w:sz="4" w:space="1" w:color="auto"/>
          <w:right w:val="single" w:sz="4" w:space="4" w:color="auto"/>
        </w:pBdr>
        <w:spacing w:after="0"/>
        <w:jc w:val="center"/>
        <w:rPr>
          <w:rFonts w:ascii="Cambria" w:hAnsi="Cambria" w:cs="Tahoma"/>
          <w:sz w:val="20"/>
          <w:szCs w:val="20"/>
          <w:lang w:val="en-GB"/>
        </w:rPr>
      </w:pPr>
      <w:r w:rsidRPr="000A10A4">
        <w:rPr>
          <w:rFonts w:ascii="Cambria" w:hAnsi="Cambria" w:cs="Tahoma"/>
          <w:sz w:val="20"/>
          <w:szCs w:val="20"/>
          <w:lang w:val="en-GB"/>
        </w:rPr>
        <w:t>Ad Hoc Working Group Meeting Background Document</w:t>
      </w:r>
    </w:p>
    <w:p w14:paraId="50507A34" w14:textId="77777777" w:rsidR="00A96663" w:rsidRPr="000A10A4" w:rsidRDefault="00A96663" w:rsidP="00A96663">
      <w:pPr>
        <w:pBdr>
          <w:top w:val="single" w:sz="4" w:space="1" w:color="auto"/>
          <w:left w:val="single" w:sz="4" w:space="4" w:color="auto"/>
          <w:bottom w:val="single" w:sz="4" w:space="1" w:color="auto"/>
          <w:right w:val="single" w:sz="4" w:space="4" w:color="auto"/>
        </w:pBdr>
        <w:spacing w:after="0"/>
        <w:jc w:val="center"/>
        <w:rPr>
          <w:rFonts w:ascii="Cambria" w:hAnsi="Cambria" w:cs="Tahoma"/>
          <w:sz w:val="20"/>
          <w:szCs w:val="20"/>
          <w:lang w:val="en-GB"/>
        </w:rPr>
      </w:pPr>
    </w:p>
    <w:p w14:paraId="3A6CF3A9" w14:textId="77777777" w:rsidR="00A96663" w:rsidRPr="000A10A4" w:rsidRDefault="00A96663" w:rsidP="00A96663">
      <w:pPr>
        <w:pBdr>
          <w:top w:val="single" w:sz="4" w:space="1" w:color="auto"/>
          <w:left w:val="single" w:sz="4" w:space="4" w:color="auto"/>
          <w:bottom w:val="single" w:sz="4" w:space="1" w:color="auto"/>
          <w:right w:val="single" w:sz="4" w:space="4" w:color="auto"/>
        </w:pBdr>
        <w:spacing w:after="0"/>
        <w:jc w:val="center"/>
        <w:rPr>
          <w:rFonts w:ascii="Cambria" w:hAnsi="Cambria" w:cs="Tahoma"/>
          <w:i/>
          <w:iCs/>
          <w:sz w:val="20"/>
          <w:szCs w:val="20"/>
          <w:lang w:val="en-GB"/>
        </w:rPr>
      </w:pPr>
      <w:r w:rsidRPr="000A10A4">
        <w:rPr>
          <w:rFonts w:ascii="Cambria" w:hAnsi="Cambria" w:cs="Tahoma"/>
          <w:i/>
          <w:iCs/>
          <w:sz w:val="20"/>
          <w:szCs w:val="20"/>
        </w:rPr>
        <w:t xml:space="preserve">This document is prepared as background for </w:t>
      </w:r>
      <w:r w:rsidR="004D0E31" w:rsidRPr="000A10A4">
        <w:rPr>
          <w:rFonts w:ascii="Cambria" w:hAnsi="Cambria" w:cs="Tahoma"/>
          <w:i/>
          <w:iCs/>
          <w:sz w:val="20"/>
          <w:szCs w:val="20"/>
        </w:rPr>
        <w:t xml:space="preserve">the </w:t>
      </w:r>
      <w:r w:rsidRPr="000A10A4">
        <w:rPr>
          <w:rFonts w:ascii="Cambria" w:hAnsi="Cambria" w:cs="Tahoma"/>
          <w:i/>
          <w:iCs/>
          <w:sz w:val="20"/>
          <w:szCs w:val="20"/>
        </w:rPr>
        <w:t xml:space="preserve">discussion during the Ad hoc Working Group Meeting </w:t>
      </w:r>
      <w:r w:rsidR="004D0E31" w:rsidRPr="000A10A4">
        <w:rPr>
          <w:rFonts w:ascii="Cambria" w:hAnsi="Cambria" w:cs="Tahoma"/>
          <w:i/>
          <w:iCs/>
          <w:sz w:val="20"/>
          <w:szCs w:val="20"/>
        </w:rPr>
        <w:t>on the Task Team and its work</w:t>
      </w:r>
      <w:r w:rsidRPr="000A10A4">
        <w:rPr>
          <w:rFonts w:ascii="Cambria" w:hAnsi="Cambria" w:cs="Tahoma"/>
          <w:i/>
          <w:iCs/>
          <w:sz w:val="20"/>
          <w:szCs w:val="20"/>
        </w:rPr>
        <w:t xml:space="preserve">. It represents the collective </w:t>
      </w:r>
      <w:r w:rsidR="00C42988" w:rsidRPr="000A10A4">
        <w:rPr>
          <w:rFonts w:ascii="Cambria" w:hAnsi="Cambria" w:cs="Tahoma"/>
          <w:i/>
          <w:iCs/>
          <w:sz w:val="20"/>
          <w:szCs w:val="20"/>
        </w:rPr>
        <w:t xml:space="preserve">view </w:t>
      </w:r>
      <w:r w:rsidRPr="000A10A4">
        <w:rPr>
          <w:rFonts w:ascii="Cambria" w:hAnsi="Cambria" w:cs="Tahoma"/>
          <w:i/>
          <w:iCs/>
          <w:sz w:val="20"/>
          <w:szCs w:val="20"/>
        </w:rPr>
        <w:t>of the Task Team for review</w:t>
      </w:r>
      <w:r w:rsidR="004D0E31" w:rsidRPr="000A10A4">
        <w:rPr>
          <w:rFonts w:ascii="Cambria" w:hAnsi="Cambria" w:cs="Tahoma"/>
          <w:i/>
          <w:iCs/>
          <w:sz w:val="20"/>
          <w:szCs w:val="20"/>
        </w:rPr>
        <w:t xml:space="preserve"> </w:t>
      </w:r>
      <w:r w:rsidRPr="000A10A4">
        <w:rPr>
          <w:rFonts w:ascii="Cambria" w:hAnsi="Cambria" w:cs="Tahoma"/>
          <w:i/>
          <w:iCs/>
          <w:sz w:val="20"/>
          <w:szCs w:val="20"/>
        </w:rPr>
        <w:t xml:space="preserve">and endorsement by the IASC </w:t>
      </w:r>
      <w:r w:rsidR="00227672" w:rsidRPr="000A10A4">
        <w:rPr>
          <w:rFonts w:ascii="Cambria" w:hAnsi="Cambria" w:cs="Tahoma"/>
          <w:i/>
          <w:iCs/>
          <w:sz w:val="20"/>
          <w:szCs w:val="20"/>
        </w:rPr>
        <w:t>WG</w:t>
      </w:r>
      <w:r w:rsidRPr="000A10A4">
        <w:rPr>
          <w:rFonts w:ascii="Cambria" w:hAnsi="Cambria" w:cs="Tahoma"/>
          <w:i/>
          <w:iCs/>
          <w:sz w:val="20"/>
          <w:szCs w:val="20"/>
        </w:rPr>
        <w:t xml:space="preserve"> Members.</w:t>
      </w:r>
    </w:p>
    <w:p w14:paraId="00CC5AE9" w14:textId="77777777" w:rsidR="00A96663" w:rsidRPr="000A10A4" w:rsidRDefault="00C42988" w:rsidP="000B14D4">
      <w:pPr>
        <w:spacing w:before="240" w:after="80"/>
        <w:rPr>
          <w:rFonts w:ascii="Cambria" w:hAnsi="Cambria" w:cstheme="minorHAnsi"/>
          <w:b/>
          <w:bCs/>
          <w:sz w:val="20"/>
          <w:szCs w:val="20"/>
        </w:rPr>
      </w:pPr>
      <w:r w:rsidRPr="000A10A4">
        <w:rPr>
          <w:rFonts w:ascii="Cambria" w:hAnsi="Cambria" w:cstheme="minorHAnsi"/>
          <w:b/>
          <w:bCs/>
          <w:sz w:val="20"/>
          <w:szCs w:val="20"/>
        </w:rPr>
        <w:t>Introduction:</w:t>
      </w:r>
    </w:p>
    <w:p w14:paraId="3AC85F2E" w14:textId="4D05B65E" w:rsidR="00C42988" w:rsidRPr="000A10A4" w:rsidRDefault="0054025F" w:rsidP="008E656E">
      <w:pPr>
        <w:pStyle w:val="ListParagraph"/>
        <w:numPr>
          <w:ilvl w:val="0"/>
          <w:numId w:val="2"/>
        </w:numPr>
        <w:spacing w:after="80"/>
        <w:ind w:left="284" w:hanging="284"/>
        <w:contextualSpacing w:val="0"/>
        <w:jc w:val="both"/>
        <w:rPr>
          <w:rFonts w:ascii="Cambria" w:hAnsi="Cambria" w:cstheme="minorHAnsi"/>
          <w:sz w:val="20"/>
          <w:szCs w:val="20"/>
        </w:rPr>
      </w:pPr>
      <w:r w:rsidRPr="000A10A4">
        <w:rPr>
          <w:rFonts w:ascii="Cambria" w:hAnsi="Cambria" w:cstheme="minorHAnsi"/>
          <w:sz w:val="20"/>
          <w:szCs w:val="20"/>
        </w:rPr>
        <w:t>The W</w:t>
      </w:r>
      <w:r w:rsidR="00D03444" w:rsidRPr="000A10A4">
        <w:rPr>
          <w:rFonts w:ascii="Cambria" w:hAnsi="Cambria" w:cstheme="minorHAnsi"/>
          <w:sz w:val="20"/>
          <w:szCs w:val="20"/>
        </w:rPr>
        <w:t xml:space="preserve">orking </w:t>
      </w:r>
      <w:r w:rsidRPr="000A10A4">
        <w:rPr>
          <w:rFonts w:ascii="Cambria" w:hAnsi="Cambria" w:cstheme="minorHAnsi"/>
          <w:sz w:val="20"/>
          <w:szCs w:val="20"/>
        </w:rPr>
        <w:t>G</w:t>
      </w:r>
      <w:r w:rsidR="00D03444" w:rsidRPr="000A10A4">
        <w:rPr>
          <w:rFonts w:ascii="Cambria" w:hAnsi="Cambria" w:cstheme="minorHAnsi"/>
          <w:sz w:val="20"/>
          <w:szCs w:val="20"/>
        </w:rPr>
        <w:t>roup (WG)</w:t>
      </w:r>
      <w:r w:rsidRPr="000A10A4">
        <w:rPr>
          <w:rFonts w:ascii="Cambria" w:hAnsi="Cambria" w:cstheme="minorHAnsi"/>
          <w:sz w:val="20"/>
          <w:szCs w:val="20"/>
        </w:rPr>
        <w:t xml:space="preserve"> welcomes </w:t>
      </w:r>
      <w:r w:rsidR="00C42988" w:rsidRPr="000A10A4">
        <w:rPr>
          <w:rFonts w:ascii="Cambria" w:hAnsi="Cambria" w:cstheme="minorHAnsi"/>
          <w:sz w:val="20"/>
          <w:szCs w:val="20"/>
        </w:rPr>
        <w:t xml:space="preserve">workshops </w:t>
      </w:r>
      <w:r w:rsidR="00275181" w:rsidRPr="000A10A4">
        <w:rPr>
          <w:rFonts w:ascii="Cambria" w:hAnsi="Cambria" w:cstheme="minorHAnsi"/>
          <w:sz w:val="20"/>
          <w:szCs w:val="20"/>
        </w:rPr>
        <w:t xml:space="preserve">on the </w:t>
      </w:r>
      <w:r w:rsidR="00280DA4" w:rsidRPr="000A10A4">
        <w:rPr>
          <w:rFonts w:ascii="Cambria" w:hAnsi="Cambria" w:cstheme="minorHAnsi"/>
          <w:sz w:val="20"/>
          <w:szCs w:val="20"/>
        </w:rPr>
        <w:t>New Way of Working (</w:t>
      </w:r>
      <w:r w:rsidR="00275181" w:rsidRPr="000A10A4">
        <w:rPr>
          <w:rFonts w:ascii="Cambria" w:hAnsi="Cambria" w:cstheme="minorHAnsi"/>
          <w:sz w:val="20"/>
          <w:szCs w:val="20"/>
        </w:rPr>
        <w:t>NWoW</w:t>
      </w:r>
      <w:r w:rsidR="00280DA4" w:rsidRPr="000A10A4">
        <w:rPr>
          <w:rFonts w:ascii="Cambria" w:hAnsi="Cambria" w:cstheme="minorHAnsi"/>
          <w:sz w:val="20"/>
          <w:szCs w:val="20"/>
        </w:rPr>
        <w:t>)</w:t>
      </w:r>
      <w:r w:rsidR="00275181" w:rsidRPr="000A10A4">
        <w:rPr>
          <w:rFonts w:ascii="Cambria" w:hAnsi="Cambria" w:cstheme="minorHAnsi"/>
          <w:sz w:val="20"/>
          <w:szCs w:val="20"/>
        </w:rPr>
        <w:t xml:space="preserve"> </w:t>
      </w:r>
      <w:r w:rsidR="00C42988" w:rsidRPr="000A10A4">
        <w:rPr>
          <w:rFonts w:ascii="Cambria" w:hAnsi="Cambria" w:cstheme="minorHAnsi"/>
          <w:sz w:val="20"/>
          <w:szCs w:val="20"/>
        </w:rPr>
        <w:t xml:space="preserve">in New York, Dakar, </w:t>
      </w:r>
      <w:r w:rsidR="0098276D" w:rsidRPr="000A10A4">
        <w:rPr>
          <w:rFonts w:ascii="Cambria" w:hAnsi="Cambria" w:cstheme="minorHAnsi"/>
          <w:sz w:val="20"/>
          <w:szCs w:val="20"/>
        </w:rPr>
        <w:t xml:space="preserve">Washington, </w:t>
      </w:r>
      <w:r w:rsidR="00C17EB0" w:rsidRPr="000A10A4">
        <w:rPr>
          <w:rFonts w:ascii="Cambria" w:hAnsi="Cambria" w:cstheme="minorHAnsi"/>
          <w:sz w:val="20"/>
          <w:szCs w:val="20"/>
        </w:rPr>
        <w:t>Copenhagen</w:t>
      </w:r>
      <w:r w:rsidR="00275181" w:rsidRPr="000A10A4">
        <w:rPr>
          <w:rFonts w:ascii="Cambria" w:hAnsi="Cambria" w:cstheme="minorHAnsi"/>
          <w:sz w:val="20"/>
          <w:szCs w:val="20"/>
        </w:rPr>
        <w:t xml:space="preserve">, Istanbul </w:t>
      </w:r>
      <w:r w:rsidR="00C42988" w:rsidRPr="000A10A4">
        <w:rPr>
          <w:rFonts w:ascii="Cambria" w:hAnsi="Cambria" w:cstheme="minorHAnsi"/>
          <w:sz w:val="20"/>
          <w:szCs w:val="20"/>
        </w:rPr>
        <w:t xml:space="preserve">and elsewhere </w:t>
      </w:r>
      <w:r w:rsidR="00275181" w:rsidRPr="000A10A4">
        <w:rPr>
          <w:rFonts w:ascii="Cambria" w:hAnsi="Cambria" w:cstheme="minorHAnsi"/>
          <w:sz w:val="20"/>
          <w:szCs w:val="20"/>
        </w:rPr>
        <w:t xml:space="preserve">as well as the recent panel discussion on </w:t>
      </w:r>
      <w:r w:rsidR="004D0E31" w:rsidRPr="000A10A4">
        <w:rPr>
          <w:rFonts w:ascii="Cambria" w:hAnsi="Cambria" w:cstheme="minorHAnsi"/>
          <w:sz w:val="20"/>
          <w:szCs w:val="20"/>
        </w:rPr>
        <w:t>p</w:t>
      </w:r>
      <w:r w:rsidR="00275181" w:rsidRPr="000A10A4">
        <w:rPr>
          <w:rFonts w:ascii="Cambria" w:hAnsi="Cambria" w:cstheme="minorHAnsi"/>
          <w:sz w:val="20"/>
          <w:szCs w:val="20"/>
        </w:rPr>
        <w:t xml:space="preserve">rotracted crises during the </w:t>
      </w:r>
      <w:r w:rsidR="004D0E31" w:rsidRPr="000A10A4">
        <w:rPr>
          <w:rFonts w:ascii="Cambria" w:hAnsi="Cambria" w:cstheme="minorHAnsi"/>
          <w:sz w:val="20"/>
          <w:szCs w:val="20"/>
        </w:rPr>
        <w:t xml:space="preserve">humanitarian affairs </w:t>
      </w:r>
      <w:r w:rsidR="00275181" w:rsidRPr="000A10A4">
        <w:rPr>
          <w:rFonts w:ascii="Cambria" w:hAnsi="Cambria" w:cstheme="minorHAnsi"/>
          <w:sz w:val="20"/>
          <w:szCs w:val="20"/>
        </w:rPr>
        <w:t>segment of the ECOSOC</w:t>
      </w:r>
      <w:r w:rsidR="008E656E" w:rsidRPr="000A10A4">
        <w:rPr>
          <w:rFonts w:ascii="Cambria" w:hAnsi="Cambria" w:cstheme="minorHAnsi"/>
          <w:sz w:val="20"/>
          <w:szCs w:val="20"/>
        </w:rPr>
        <w:t>. All</w:t>
      </w:r>
      <w:r w:rsidR="007349CD" w:rsidRPr="000A10A4">
        <w:rPr>
          <w:rFonts w:ascii="Cambria" w:hAnsi="Cambria" w:cstheme="minorHAnsi"/>
          <w:sz w:val="20"/>
          <w:szCs w:val="20"/>
        </w:rPr>
        <w:t xml:space="preserve"> </w:t>
      </w:r>
      <w:r w:rsidR="00275181" w:rsidRPr="000A10A4">
        <w:rPr>
          <w:rFonts w:ascii="Cambria" w:hAnsi="Cambria" w:cstheme="minorHAnsi"/>
          <w:sz w:val="20"/>
          <w:szCs w:val="20"/>
        </w:rPr>
        <w:t>of which</w:t>
      </w:r>
      <w:r w:rsidRPr="000A10A4">
        <w:rPr>
          <w:rFonts w:ascii="Cambria" w:hAnsi="Cambria" w:cstheme="minorHAnsi"/>
          <w:sz w:val="20"/>
          <w:szCs w:val="20"/>
        </w:rPr>
        <w:t xml:space="preserve"> </w:t>
      </w:r>
      <w:r w:rsidR="00C42988" w:rsidRPr="000A10A4">
        <w:rPr>
          <w:rFonts w:ascii="Cambria" w:hAnsi="Cambria" w:cstheme="minorHAnsi"/>
          <w:sz w:val="20"/>
          <w:szCs w:val="20"/>
        </w:rPr>
        <w:t>have</w:t>
      </w:r>
      <w:r w:rsidR="00275181" w:rsidRPr="000A10A4">
        <w:rPr>
          <w:rFonts w:ascii="Cambria" w:hAnsi="Cambria" w:cstheme="minorHAnsi"/>
          <w:sz w:val="20"/>
          <w:szCs w:val="20"/>
        </w:rPr>
        <w:t xml:space="preserve"> contributed to</w:t>
      </w:r>
      <w:r w:rsidR="00C42988" w:rsidRPr="000A10A4">
        <w:rPr>
          <w:rFonts w:ascii="Cambria" w:hAnsi="Cambria" w:cstheme="minorHAnsi"/>
          <w:sz w:val="20"/>
          <w:szCs w:val="20"/>
        </w:rPr>
        <w:t xml:space="preserve"> increas</w:t>
      </w:r>
      <w:r w:rsidR="00275181" w:rsidRPr="000A10A4">
        <w:rPr>
          <w:rFonts w:ascii="Cambria" w:hAnsi="Cambria" w:cstheme="minorHAnsi"/>
          <w:sz w:val="20"/>
          <w:szCs w:val="20"/>
        </w:rPr>
        <w:t>ing</w:t>
      </w:r>
      <w:r w:rsidR="00C42988" w:rsidRPr="000A10A4">
        <w:rPr>
          <w:rFonts w:ascii="Cambria" w:hAnsi="Cambria" w:cstheme="minorHAnsi"/>
          <w:sz w:val="20"/>
          <w:szCs w:val="20"/>
        </w:rPr>
        <w:t xml:space="preserve"> the clarity of scope of what is required to implement the </w:t>
      </w:r>
      <w:r w:rsidRPr="000A10A4">
        <w:rPr>
          <w:rFonts w:ascii="Cambria" w:hAnsi="Cambria" w:cstheme="minorHAnsi"/>
          <w:sz w:val="20"/>
          <w:szCs w:val="20"/>
        </w:rPr>
        <w:t>NWoW.</w:t>
      </w:r>
      <w:r w:rsidR="00C42988" w:rsidRPr="000A10A4">
        <w:rPr>
          <w:rFonts w:ascii="Cambria" w:hAnsi="Cambria" w:cstheme="minorHAnsi"/>
          <w:sz w:val="20"/>
          <w:szCs w:val="20"/>
        </w:rPr>
        <w:t xml:space="preserve"> Together, </w:t>
      </w:r>
      <w:r w:rsidR="00C30D9E" w:rsidRPr="000A10A4">
        <w:rPr>
          <w:rFonts w:ascii="Cambria" w:hAnsi="Cambria" w:cstheme="minorHAnsi"/>
          <w:sz w:val="20"/>
          <w:szCs w:val="20"/>
        </w:rPr>
        <w:t>these</w:t>
      </w:r>
      <w:r w:rsidR="00C42988" w:rsidRPr="000A10A4">
        <w:rPr>
          <w:rFonts w:ascii="Cambria" w:hAnsi="Cambria" w:cstheme="minorHAnsi"/>
          <w:sz w:val="20"/>
          <w:szCs w:val="20"/>
        </w:rPr>
        <w:t xml:space="preserve"> initiatives to advance this agenda </w:t>
      </w:r>
      <w:r w:rsidR="00B54C76" w:rsidRPr="000A10A4">
        <w:rPr>
          <w:rFonts w:ascii="Cambria" w:hAnsi="Cambria" w:cstheme="minorHAnsi"/>
          <w:sz w:val="20"/>
          <w:szCs w:val="20"/>
        </w:rPr>
        <w:t xml:space="preserve">call for more coherent coordination. </w:t>
      </w:r>
      <w:r w:rsidR="008E656E" w:rsidRPr="000A10A4">
        <w:rPr>
          <w:rFonts w:ascii="Cambria" w:hAnsi="Cambria" w:cstheme="minorHAnsi"/>
          <w:sz w:val="20"/>
          <w:szCs w:val="20"/>
        </w:rPr>
        <w:t xml:space="preserve">These initiatives have shown that that the structural changes required to fully operationalize the NWoW will require a concerted effort of interlocutors both among and beyond IASC members. </w:t>
      </w:r>
      <w:r w:rsidR="00C42988" w:rsidRPr="000A10A4">
        <w:rPr>
          <w:rFonts w:ascii="Cambria" w:hAnsi="Cambria" w:cstheme="minorHAnsi"/>
          <w:sz w:val="20"/>
          <w:szCs w:val="20"/>
        </w:rPr>
        <w:t xml:space="preserve"> </w:t>
      </w:r>
    </w:p>
    <w:p w14:paraId="33F84CF1" w14:textId="77777777" w:rsidR="00C17EB0" w:rsidRPr="000A10A4" w:rsidRDefault="00210677" w:rsidP="00404E53">
      <w:pPr>
        <w:pStyle w:val="ListParagraph"/>
        <w:spacing w:after="80"/>
        <w:ind w:left="284"/>
        <w:contextualSpacing w:val="0"/>
        <w:jc w:val="both"/>
        <w:rPr>
          <w:rFonts w:asciiTheme="majorHAnsi" w:hAnsiTheme="majorHAnsi"/>
          <w:sz w:val="20"/>
          <w:szCs w:val="20"/>
        </w:rPr>
      </w:pPr>
      <w:r w:rsidRPr="000A10A4">
        <w:rPr>
          <w:rFonts w:asciiTheme="majorHAnsi" w:hAnsiTheme="majorHAnsi" w:cstheme="minorHAnsi"/>
          <w:sz w:val="20"/>
          <w:szCs w:val="20"/>
        </w:rPr>
        <w:t>Since the World Humanitarian Summit</w:t>
      </w:r>
      <w:r w:rsidR="0098276D" w:rsidRPr="000A10A4">
        <w:rPr>
          <w:rFonts w:asciiTheme="majorHAnsi" w:hAnsiTheme="majorHAnsi" w:cstheme="minorHAnsi"/>
          <w:sz w:val="20"/>
          <w:szCs w:val="20"/>
        </w:rPr>
        <w:t xml:space="preserve"> (WHS)</w:t>
      </w:r>
      <w:r w:rsidRPr="000A10A4">
        <w:rPr>
          <w:rFonts w:asciiTheme="majorHAnsi" w:hAnsiTheme="majorHAnsi" w:cstheme="minorHAnsi"/>
          <w:sz w:val="20"/>
          <w:szCs w:val="20"/>
        </w:rPr>
        <w:t>, the</w:t>
      </w:r>
      <w:r w:rsidR="00B609B7" w:rsidRPr="000A10A4">
        <w:rPr>
          <w:rFonts w:asciiTheme="majorHAnsi" w:hAnsiTheme="majorHAnsi" w:cstheme="minorHAnsi"/>
          <w:sz w:val="20"/>
          <w:szCs w:val="20"/>
        </w:rPr>
        <w:t xml:space="preserve"> implementation of the </w:t>
      </w:r>
      <w:r w:rsidR="00177599" w:rsidRPr="000A10A4">
        <w:rPr>
          <w:rFonts w:asciiTheme="majorHAnsi" w:hAnsiTheme="majorHAnsi" w:cstheme="minorHAnsi"/>
          <w:sz w:val="20"/>
          <w:szCs w:val="20"/>
        </w:rPr>
        <w:t>NWoW</w:t>
      </w:r>
      <w:r w:rsidR="00B609B7" w:rsidRPr="000A10A4">
        <w:rPr>
          <w:rFonts w:asciiTheme="majorHAnsi" w:hAnsiTheme="majorHAnsi" w:cstheme="minorHAnsi"/>
          <w:sz w:val="20"/>
          <w:szCs w:val="20"/>
        </w:rPr>
        <w:t xml:space="preserve"> </w:t>
      </w:r>
      <w:r w:rsidRPr="000A10A4">
        <w:rPr>
          <w:rFonts w:asciiTheme="majorHAnsi" w:hAnsiTheme="majorHAnsi" w:cstheme="minorHAnsi"/>
          <w:sz w:val="20"/>
          <w:szCs w:val="20"/>
        </w:rPr>
        <w:t xml:space="preserve">has moved ahead. In some places, country teams have made great strides. At the same time, field experiences are also shaping the understanding of the </w:t>
      </w:r>
      <w:r w:rsidR="00177599" w:rsidRPr="000A10A4">
        <w:rPr>
          <w:rFonts w:asciiTheme="majorHAnsi" w:hAnsiTheme="majorHAnsi" w:cstheme="minorHAnsi"/>
          <w:sz w:val="20"/>
          <w:szCs w:val="20"/>
        </w:rPr>
        <w:t>NWoW</w:t>
      </w:r>
      <w:r w:rsidRPr="000A10A4">
        <w:rPr>
          <w:rFonts w:asciiTheme="majorHAnsi" w:hAnsiTheme="majorHAnsi" w:cstheme="minorHAnsi"/>
          <w:sz w:val="20"/>
          <w:szCs w:val="20"/>
        </w:rPr>
        <w:t>.</w:t>
      </w:r>
      <w:r w:rsidR="00C30D9E" w:rsidRPr="000A10A4">
        <w:rPr>
          <w:rFonts w:asciiTheme="majorHAnsi" w:hAnsiTheme="majorHAnsi" w:cstheme="minorHAnsi"/>
          <w:sz w:val="20"/>
          <w:szCs w:val="20"/>
        </w:rPr>
        <w:t xml:space="preserve"> </w:t>
      </w:r>
      <w:r w:rsidRPr="000A10A4">
        <w:rPr>
          <w:rFonts w:asciiTheme="majorHAnsi" w:hAnsiTheme="majorHAnsi"/>
          <w:sz w:val="20"/>
          <w:szCs w:val="20"/>
        </w:rPr>
        <w:t>Despite systemic, procedural and administrative challenges, some country operations have moved towards joint analysis and joined</w:t>
      </w:r>
      <w:r w:rsidR="00B54C76" w:rsidRPr="000A10A4">
        <w:rPr>
          <w:rFonts w:asciiTheme="majorHAnsi" w:hAnsiTheme="majorHAnsi"/>
          <w:sz w:val="20"/>
          <w:szCs w:val="20"/>
        </w:rPr>
        <w:t>-</w:t>
      </w:r>
      <w:r w:rsidRPr="000A10A4">
        <w:rPr>
          <w:rFonts w:asciiTheme="majorHAnsi" w:hAnsiTheme="majorHAnsi"/>
          <w:sz w:val="20"/>
          <w:szCs w:val="20"/>
        </w:rPr>
        <w:t xml:space="preserve">up planning. They have addressed </w:t>
      </w:r>
      <w:r w:rsidR="00275181" w:rsidRPr="000A10A4">
        <w:rPr>
          <w:rFonts w:asciiTheme="majorHAnsi" w:hAnsiTheme="majorHAnsi"/>
          <w:sz w:val="20"/>
          <w:szCs w:val="20"/>
        </w:rPr>
        <w:t>obstacles</w:t>
      </w:r>
      <w:r w:rsidRPr="000A10A4">
        <w:rPr>
          <w:rFonts w:asciiTheme="majorHAnsi" w:hAnsiTheme="majorHAnsi"/>
          <w:sz w:val="20"/>
          <w:szCs w:val="20"/>
        </w:rPr>
        <w:t xml:space="preserve">, including different and staggered </w:t>
      </w:r>
      <w:proofErr w:type="spellStart"/>
      <w:r w:rsidRPr="000A10A4">
        <w:rPr>
          <w:rFonts w:asciiTheme="majorHAnsi" w:hAnsiTheme="majorHAnsi"/>
          <w:sz w:val="20"/>
          <w:szCs w:val="20"/>
        </w:rPr>
        <w:t>programme</w:t>
      </w:r>
      <w:proofErr w:type="spellEnd"/>
      <w:r w:rsidRPr="000A10A4">
        <w:rPr>
          <w:rFonts w:asciiTheme="majorHAnsi" w:hAnsiTheme="majorHAnsi"/>
          <w:sz w:val="20"/>
          <w:szCs w:val="20"/>
        </w:rPr>
        <w:t xml:space="preserve"> cycle timelines</w:t>
      </w:r>
      <w:r w:rsidR="00275181" w:rsidRPr="000A10A4">
        <w:rPr>
          <w:rFonts w:asciiTheme="majorHAnsi" w:hAnsiTheme="majorHAnsi"/>
          <w:sz w:val="20"/>
          <w:szCs w:val="20"/>
        </w:rPr>
        <w:t>, tools and procedures</w:t>
      </w:r>
      <w:r w:rsidRPr="000A10A4">
        <w:rPr>
          <w:rFonts w:asciiTheme="majorHAnsi" w:hAnsiTheme="majorHAnsi"/>
          <w:sz w:val="20"/>
          <w:szCs w:val="20"/>
        </w:rPr>
        <w:t>; lack of uniformity in support and funding; and inconsistent membership of different planning processes.</w:t>
      </w:r>
    </w:p>
    <w:p w14:paraId="57AC87B3" w14:textId="74E23DE2" w:rsidR="00210677" w:rsidRPr="000A10A4" w:rsidRDefault="009D6001" w:rsidP="008E656E">
      <w:pPr>
        <w:pStyle w:val="ListParagraph"/>
        <w:spacing w:after="80"/>
        <w:ind w:left="284"/>
        <w:contextualSpacing w:val="0"/>
        <w:jc w:val="both"/>
        <w:rPr>
          <w:rFonts w:ascii="Cambria" w:hAnsi="Cambria" w:cstheme="minorHAnsi"/>
          <w:sz w:val="20"/>
          <w:szCs w:val="20"/>
        </w:rPr>
      </w:pPr>
      <w:r w:rsidRPr="000A10A4">
        <w:rPr>
          <w:rFonts w:ascii="Cambria" w:hAnsi="Cambria" w:cstheme="minorHAnsi"/>
          <w:sz w:val="20"/>
          <w:szCs w:val="20"/>
        </w:rPr>
        <w:t xml:space="preserve">As </w:t>
      </w:r>
      <w:r w:rsidR="004D0E31" w:rsidRPr="000A10A4">
        <w:rPr>
          <w:rFonts w:ascii="Cambria" w:hAnsi="Cambria" w:cstheme="minorHAnsi"/>
          <w:sz w:val="20"/>
          <w:szCs w:val="20"/>
        </w:rPr>
        <w:t>stressed</w:t>
      </w:r>
      <w:r w:rsidR="00275181" w:rsidRPr="000A10A4">
        <w:rPr>
          <w:rFonts w:ascii="Cambria" w:hAnsi="Cambria" w:cstheme="minorHAnsi"/>
          <w:sz w:val="20"/>
          <w:szCs w:val="20"/>
        </w:rPr>
        <w:t xml:space="preserve"> </w:t>
      </w:r>
      <w:r w:rsidRPr="000A10A4">
        <w:rPr>
          <w:rFonts w:ascii="Cambria" w:hAnsi="Cambria" w:cstheme="minorHAnsi"/>
          <w:sz w:val="20"/>
          <w:szCs w:val="20"/>
        </w:rPr>
        <w:t xml:space="preserve">during the workshop in Istanbul, </w:t>
      </w:r>
      <w:r w:rsidR="00932601" w:rsidRPr="000A10A4">
        <w:rPr>
          <w:rFonts w:ascii="Cambria" w:hAnsi="Cambria" w:cstheme="minorHAnsi"/>
          <w:sz w:val="20"/>
          <w:szCs w:val="20"/>
        </w:rPr>
        <w:t xml:space="preserve">the considerable </w:t>
      </w:r>
      <w:r w:rsidRPr="000A10A4">
        <w:rPr>
          <w:rFonts w:ascii="Cambria" w:hAnsi="Cambria" w:cstheme="minorHAnsi"/>
          <w:sz w:val="20"/>
          <w:szCs w:val="20"/>
        </w:rPr>
        <w:t xml:space="preserve">progress made at field level </w:t>
      </w:r>
      <w:r w:rsidR="00275181" w:rsidRPr="000A10A4">
        <w:rPr>
          <w:rFonts w:ascii="Cambria" w:hAnsi="Cambria" w:cstheme="minorHAnsi"/>
          <w:sz w:val="20"/>
          <w:szCs w:val="20"/>
        </w:rPr>
        <w:t>need</w:t>
      </w:r>
      <w:r w:rsidR="008E656E" w:rsidRPr="000A10A4">
        <w:rPr>
          <w:rFonts w:ascii="Cambria" w:hAnsi="Cambria" w:cstheme="minorHAnsi"/>
          <w:sz w:val="20"/>
          <w:szCs w:val="20"/>
        </w:rPr>
        <w:t>s</w:t>
      </w:r>
      <w:r w:rsidR="00275181" w:rsidRPr="000A10A4">
        <w:rPr>
          <w:rFonts w:ascii="Cambria" w:hAnsi="Cambria" w:cstheme="minorHAnsi"/>
          <w:sz w:val="20"/>
          <w:szCs w:val="20"/>
        </w:rPr>
        <w:t xml:space="preserve"> </w:t>
      </w:r>
      <w:r w:rsidRPr="000A10A4">
        <w:rPr>
          <w:rFonts w:ascii="Cambria" w:hAnsi="Cambria" w:cstheme="minorHAnsi"/>
          <w:sz w:val="20"/>
          <w:szCs w:val="20"/>
        </w:rPr>
        <w:t>to be accompanied by structures</w:t>
      </w:r>
      <w:r w:rsidR="00865EBD" w:rsidRPr="000A10A4">
        <w:rPr>
          <w:rFonts w:ascii="Cambria" w:hAnsi="Cambria" w:cstheme="minorHAnsi"/>
          <w:sz w:val="20"/>
          <w:szCs w:val="20"/>
        </w:rPr>
        <w:t xml:space="preserve">, </w:t>
      </w:r>
      <w:r w:rsidRPr="000A10A4">
        <w:rPr>
          <w:rFonts w:ascii="Cambria" w:hAnsi="Cambria" w:cstheme="minorHAnsi"/>
          <w:sz w:val="20"/>
          <w:szCs w:val="20"/>
        </w:rPr>
        <w:t xml:space="preserve">processes </w:t>
      </w:r>
      <w:r w:rsidR="00865EBD" w:rsidRPr="000A10A4">
        <w:rPr>
          <w:rFonts w:ascii="Cambria" w:hAnsi="Cambria" w:cstheme="minorHAnsi"/>
          <w:sz w:val="20"/>
          <w:szCs w:val="20"/>
        </w:rPr>
        <w:t>and backing from HQ</w:t>
      </w:r>
      <w:r w:rsidR="007106D6" w:rsidRPr="000A10A4">
        <w:rPr>
          <w:rFonts w:ascii="Cambria" w:hAnsi="Cambria" w:cstheme="minorHAnsi"/>
          <w:sz w:val="20"/>
          <w:szCs w:val="20"/>
        </w:rPr>
        <w:t>/ROs</w:t>
      </w:r>
      <w:r w:rsidRPr="000A10A4">
        <w:rPr>
          <w:rFonts w:ascii="Cambria" w:hAnsi="Cambria" w:cstheme="minorHAnsi"/>
          <w:sz w:val="20"/>
          <w:szCs w:val="20"/>
        </w:rPr>
        <w:t xml:space="preserve"> </w:t>
      </w:r>
      <w:r w:rsidR="008E656E" w:rsidRPr="000A10A4">
        <w:rPr>
          <w:rFonts w:ascii="Cambria" w:hAnsi="Cambria" w:cstheme="minorHAnsi"/>
          <w:sz w:val="20"/>
          <w:szCs w:val="20"/>
        </w:rPr>
        <w:t xml:space="preserve">to </w:t>
      </w:r>
      <w:r w:rsidRPr="000A10A4">
        <w:rPr>
          <w:rFonts w:ascii="Cambria" w:hAnsi="Cambria" w:cstheme="minorHAnsi"/>
          <w:sz w:val="20"/>
          <w:szCs w:val="20"/>
        </w:rPr>
        <w:t>allow</w:t>
      </w:r>
      <w:r w:rsidR="008E656E" w:rsidRPr="000A10A4">
        <w:rPr>
          <w:rFonts w:ascii="Cambria" w:hAnsi="Cambria" w:cstheme="minorHAnsi"/>
          <w:sz w:val="20"/>
          <w:szCs w:val="20"/>
        </w:rPr>
        <w:t xml:space="preserve"> operational colleagues the</w:t>
      </w:r>
      <w:r w:rsidRPr="000A10A4">
        <w:rPr>
          <w:rFonts w:ascii="Cambria" w:hAnsi="Cambria" w:cstheme="minorHAnsi"/>
          <w:sz w:val="20"/>
          <w:szCs w:val="20"/>
        </w:rPr>
        <w:t xml:space="preserve"> </w:t>
      </w:r>
      <w:r w:rsidR="00865EBD" w:rsidRPr="000A10A4">
        <w:rPr>
          <w:rFonts w:ascii="Cambria" w:hAnsi="Cambria" w:cstheme="minorHAnsi"/>
          <w:sz w:val="20"/>
          <w:szCs w:val="20"/>
        </w:rPr>
        <w:t>space</w:t>
      </w:r>
      <w:r w:rsidR="008E656E" w:rsidRPr="000A10A4">
        <w:rPr>
          <w:rFonts w:ascii="Cambria" w:hAnsi="Cambria" w:cstheme="minorHAnsi"/>
          <w:sz w:val="20"/>
          <w:szCs w:val="20"/>
        </w:rPr>
        <w:t xml:space="preserve"> needed for</w:t>
      </w:r>
      <w:r w:rsidR="00275181" w:rsidRPr="000A10A4">
        <w:rPr>
          <w:rFonts w:ascii="Cambria" w:hAnsi="Cambria" w:cstheme="minorHAnsi"/>
          <w:sz w:val="20"/>
          <w:szCs w:val="20"/>
        </w:rPr>
        <w:t xml:space="preserve"> </w:t>
      </w:r>
      <w:r w:rsidRPr="000A10A4">
        <w:rPr>
          <w:rFonts w:ascii="Cambria" w:hAnsi="Cambria" w:cstheme="minorHAnsi"/>
          <w:sz w:val="20"/>
          <w:szCs w:val="20"/>
        </w:rPr>
        <w:t>risk</w:t>
      </w:r>
      <w:r w:rsidR="008E656E" w:rsidRPr="000A10A4">
        <w:rPr>
          <w:rFonts w:ascii="Cambria" w:hAnsi="Cambria" w:cstheme="minorHAnsi"/>
          <w:sz w:val="20"/>
          <w:szCs w:val="20"/>
        </w:rPr>
        <w:t>-</w:t>
      </w:r>
      <w:r w:rsidRPr="000A10A4">
        <w:rPr>
          <w:rFonts w:ascii="Cambria" w:hAnsi="Cambria" w:cstheme="minorHAnsi"/>
          <w:sz w:val="20"/>
          <w:szCs w:val="20"/>
        </w:rPr>
        <w:t>taking and flexibility</w:t>
      </w:r>
      <w:r w:rsidR="008E656E" w:rsidRPr="000A10A4">
        <w:rPr>
          <w:rFonts w:ascii="Cambria" w:hAnsi="Cambria" w:cstheme="minorHAnsi"/>
          <w:sz w:val="20"/>
          <w:szCs w:val="20"/>
        </w:rPr>
        <w:t>.</w:t>
      </w:r>
      <w:r w:rsidRPr="000A10A4">
        <w:rPr>
          <w:rFonts w:ascii="Cambria" w:hAnsi="Cambria" w:cstheme="minorHAnsi"/>
          <w:sz w:val="20"/>
          <w:szCs w:val="20"/>
        </w:rPr>
        <w:t xml:space="preserve"> </w:t>
      </w:r>
      <w:r w:rsidR="008E656E" w:rsidRPr="000A10A4">
        <w:rPr>
          <w:rFonts w:ascii="Cambria" w:hAnsi="Cambria" w:cstheme="minorHAnsi"/>
          <w:sz w:val="20"/>
          <w:szCs w:val="20"/>
        </w:rPr>
        <w:t>Collective support from HQ</w:t>
      </w:r>
      <w:r w:rsidR="007349CD" w:rsidRPr="000A10A4">
        <w:rPr>
          <w:rFonts w:ascii="Cambria" w:hAnsi="Cambria" w:cstheme="minorHAnsi"/>
          <w:sz w:val="20"/>
          <w:szCs w:val="20"/>
        </w:rPr>
        <w:t>s</w:t>
      </w:r>
      <w:r w:rsidR="008E656E" w:rsidRPr="000A10A4">
        <w:rPr>
          <w:rFonts w:ascii="Cambria" w:hAnsi="Cambria" w:cstheme="minorHAnsi"/>
          <w:sz w:val="20"/>
          <w:szCs w:val="20"/>
        </w:rPr>
        <w:t xml:space="preserve"> will also bring much needed</w:t>
      </w:r>
      <w:r w:rsidR="00932601" w:rsidRPr="000A10A4">
        <w:rPr>
          <w:rFonts w:ascii="Cambria" w:hAnsi="Cambria" w:cstheme="minorHAnsi"/>
          <w:sz w:val="20"/>
          <w:szCs w:val="20"/>
        </w:rPr>
        <w:t xml:space="preserve"> predictability and coherence across operations based on a common</w:t>
      </w:r>
      <w:r w:rsidR="008E656E" w:rsidRPr="000A10A4">
        <w:rPr>
          <w:rFonts w:ascii="Cambria" w:hAnsi="Cambria" w:cstheme="minorHAnsi"/>
          <w:sz w:val="20"/>
          <w:szCs w:val="20"/>
        </w:rPr>
        <w:t>ly agreed</w:t>
      </w:r>
      <w:r w:rsidR="00932601" w:rsidRPr="000A10A4">
        <w:rPr>
          <w:rFonts w:ascii="Cambria" w:hAnsi="Cambria" w:cstheme="minorHAnsi"/>
          <w:sz w:val="20"/>
          <w:szCs w:val="20"/>
        </w:rPr>
        <w:t xml:space="preserve"> understanding of the NWoW</w:t>
      </w:r>
      <w:r w:rsidR="008E656E" w:rsidRPr="000A10A4">
        <w:rPr>
          <w:rFonts w:ascii="Cambria" w:hAnsi="Cambria" w:cstheme="minorHAnsi"/>
          <w:sz w:val="20"/>
          <w:szCs w:val="20"/>
        </w:rPr>
        <w:t>, while allowing for</w:t>
      </w:r>
      <w:r w:rsidR="0098276D" w:rsidRPr="000A10A4">
        <w:rPr>
          <w:rFonts w:ascii="Cambria" w:hAnsi="Cambria" w:cstheme="minorHAnsi"/>
          <w:sz w:val="20"/>
          <w:szCs w:val="20"/>
        </w:rPr>
        <w:t xml:space="preserve"> context specificities</w:t>
      </w:r>
      <w:r w:rsidRPr="000A10A4">
        <w:rPr>
          <w:rFonts w:ascii="Cambria" w:hAnsi="Cambria" w:cstheme="minorHAnsi"/>
          <w:sz w:val="20"/>
          <w:szCs w:val="20"/>
        </w:rPr>
        <w:t xml:space="preserve">. There is now a need for </w:t>
      </w:r>
      <w:r w:rsidR="007106D6" w:rsidRPr="000A10A4">
        <w:rPr>
          <w:rFonts w:ascii="Cambria" w:hAnsi="Cambria" w:cstheme="minorHAnsi"/>
          <w:sz w:val="20"/>
          <w:szCs w:val="20"/>
        </w:rPr>
        <w:t>supporting ongoing field efforts</w:t>
      </w:r>
      <w:r w:rsidRPr="000A10A4">
        <w:rPr>
          <w:rFonts w:ascii="Cambria" w:hAnsi="Cambria" w:cstheme="minorHAnsi"/>
          <w:sz w:val="20"/>
          <w:szCs w:val="20"/>
        </w:rPr>
        <w:t xml:space="preserve">, and </w:t>
      </w:r>
      <w:r w:rsidR="007106D6" w:rsidRPr="000A10A4">
        <w:rPr>
          <w:rFonts w:ascii="Cambria" w:hAnsi="Cambria" w:cstheme="minorHAnsi"/>
          <w:sz w:val="20"/>
          <w:szCs w:val="20"/>
        </w:rPr>
        <w:t xml:space="preserve">for documenting and </w:t>
      </w:r>
      <w:r w:rsidRPr="000A10A4">
        <w:rPr>
          <w:rFonts w:ascii="Cambria" w:hAnsi="Cambria" w:cstheme="minorHAnsi"/>
          <w:sz w:val="20"/>
          <w:szCs w:val="20"/>
        </w:rPr>
        <w:t xml:space="preserve">exporting these promising </w:t>
      </w:r>
      <w:r w:rsidR="00F24279" w:rsidRPr="000A10A4">
        <w:rPr>
          <w:rFonts w:ascii="Cambria" w:hAnsi="Cambria" w:cstheme="minorHAnsi"/>
          <w:sz w:val="20"/>
          <w:szCs w:val="20"/>
        </w:rPr>
        <w:t>practices</w:t>
      </w:r>
      <w:r w:rsidRPr="000A10A4">
        <w:rPr>
          <w:rFonts w:ascii="Cambria" w:hAnsi="Cambria" w:cstheme="minorHAnsi"/>
          <w:sz w:val="20"/>
          <w:szCs w:val="20"/>
        </w:rPr>
        <w:t xml:space="preserve"> </w:t>
      </w:r>
      <w:r w:rsidR="007349CD" w:rsidRPr="000A10A4">
        <w:rPr>
          <w:rFonts w:ascii="Cambria" w:hAnsi="Cambria" w:cstheme="minorHAnsi"/>
          <w:sz w:val="20"/>
          <w:szCs w:val="20"/>
        </w:rPr>
        <w:t xml:space="preserve">to </w:t>
      </w:r>
      <w:r w:rsidR="007106D6" w:rsidRPr="000A10A4">
        <w:rPr>
          <w:rFonts w:ascii="Cambria" w:hAnsi="Cambria" w:cstheme="minorHAnsi"/>
          <w:sz w:val="20"/>
          <w:szCs w:val="20"/>
        </w:rPr>
        <w:t xml:space="preserve">other </w:t>
      </w:r>
      <w:r w:rsidRPr="000A10A4">
        <w:rPr>
          <w:rFonts w:ascii="Cambria" w:hAnsi="Cambria" w:cstheme="minorHAnsi"/>
          <w:sz w:val="20"/>
          <w:szCs w:val="20"/>
        </w:rPr>
        <w:t>countr</w:t>
      </w:r>
      <w:r w:rsidR="007106D6" w:rsidRPr="000A10A4">
        <w:rPr>
          <w:rFonts w:ascii="Cambria" w:hAnsi="Cambria" w:cstheme="minorHAnsi"/>
          <w:sz w:val="20"/>
          <w:szCs w:val="20"/>
        </w:rPr>
        <w:t>ies</w:t>
      </w:r>
      <w:r w:rsidRPr="000A10A4">
        <w:rPr>
          <w:rFonts w:ascii="Cambria" w:hAnsi="Cambria" w:cstheme="minorHAnsi"/>
          <w:sz w:val="20"/>
          <w:szCs w:val="20"/>
        </w:rPr>
        <w:t>.</w:t>
      </w:r>
    </w:p>
    <w:p w14:paraId="10DEC92E" w14:textId="34FC197F" w:rsidR="009D6001" w:rsidRPr="000A10A4" w:rsidRDefault="0054025F">
      <w:pPr>
        <w:pStyle w:val="ListParagraph"/>
        <w:numPr>
          <w:ilvl w:val="0"/>
          <w:numId w:val="2"/>
        </w:numPr>
        <w:spacing w:after="80"/>
        <w:ind w:left="284" w:hanging="284"/>
        <w:contextualSpacing w:val="0"/>
        <w:jc w:val="both"/>
        <w:rPr>
          <w:rFonts w:ascii="Cambria" w:hAnsi="Cambria" w:cstheme="minorHAnsi"/>
          <w:sz w:val="20"/>
          <w:szCs w:val="20"/>
        </w:rPr>
      </w:pPr>
      <w:r w:rsidRPr="000A10A4">
        <w:rPr>
          <w:rFonts w:ascii="Cambria" w:hAnsi="Cambria" w:cstheme="minorHAnsi"/>
          <w:sz w:val="20"/>
          <w:szCs w:val="20"/>
        </w:rPr>
        <w:t xml:space="preserve">However, the WG </w:t>
      </w:r>
      <w:r w:rsidR="00E87BE4" w:rsidRPr="000A10A4">
        <w:rPr>
          <w:rFonts w:ascii="Cambria" w:hAnsi="Cambria" w:cstheme="minorHAnsi"/>
          <w:sz w:val="20"/>
          <w:szCs w:val="20"/>
        </w:rPr>
        <w:t xml:space="preserve">also </w:t>
      </w:r>
      <w:r w:rsidRPr="000A10A4">
        <w:rPr>
          <w:rFonts w:ascii="Cambria" w:hAnsi="Cambria" w:cstheme="minorHAnsi"/>
          <w:sz w:val="20"/>
          <w:szCs w:val="20"/>
        </w:rPr>
        <w:t>recognizes that a</w:t>
      </w:r>
      <w:r w:rsidR="009D6001" w:rsidRPr="000A10A4">
        <w:rPr>
          <w:rFonts w:ascii="Cambria" w:hAnsi="Cambria" w:cstheme="minorHAnsi"/>
          <w:sz w:val="20"/>
          <w:szCs w:val="20"/>
        </w:rPr>
        <w:t>s progress continues at field level, the complexities of implementing the NWoW</w:t>
      </w:r>
      <w:r w:rsidRPr="000A10A4">
        <w:rPr>
          <w:rFonts w:ascii="Cambria" w:hAnsi="Cambria" w:cstheme="minorHAnsi"/>
          <w:sz w:val="20"/>
          <w:szCs w:val="20"/>
        </w:rPr>
        <w:t xml:space="preserve"> have</w:t>
      </w:r>
      <w:r w:rsidR="009D6001" w:rsidRPr="000A10A4">
        <w:rPr>
          <w:rFonts w:ascii="Cambria" w:hAnsi="Cambria" w:cstheme="minorHAnsi"/>
          <w:sz w:val="20"/>
          <w:szCs w:val="20"/>
        </w:rPr>
        <w:t xml:space="preserve"> become more visible. There is a</w:t>
      </w:r>
      <w:r w:rsidR="00F24279" w:rsidRPr="000A10A4">
        <w:rPr>
          <w:rFonts w:ascii="Cambria" w:hAnsi="Cambria" w:cstheme="minorHAnsi"/>
          <w:sz w:val="20"/>
          <w:szCs w:val="20"/>
        </w:rPr>
        <w:t xml:space="preserve"> clearly </w:t>
      </w:r>
      <w:r w:rsidR="007106D6" w:rsidRPr="000A10A4">
        <w:rPr>
          <w:rFonts w:ascii="Cambria" w:hAnsi="Cambria" w:cstheme="minorHAnsi"/>
          <w:sz w:val="20"/>
          <w:szCs w:val="20"/>
        </w:rPr>
        <w:t xml:space="preserve">expressed </w:t>
      </w:r>
      <w:r w:rsidR="009D6001" w:rsidRPr="000A10A4">
        <w:rPr>
          <w:rFonts w:ascii="Cambria" w:hAnsi="Cambria" w:cstheme="minorHAnsi"/>
          <w:sz w:val="20"/>
          <w:szCs w:val="20"/>
        </w:rPr>
        <w:t xml:space="preserve">need to clarify, harmonize, and agree on how the NWoW fits with different global processes such as the Grand Bargain and the UNSG’s </w:t>
      </w:r>
      <w:r w:rsidR="00865EBD" w:rsidRPr="000A10A4">
        <w:rPr>
          <w:rFonts w:ascii="Cambria" w:hAnsi="Cambria" w:cstheme="minorHAnsi"/>
          <w:sz w:val="20"/>
          <w:szCs w:val="20"/>
        </w:rPr>
        <w:t>crisis prevention agenda</w:t>
      </w:r>
      <w:r w:rsidR="009D6001" w:rsidRPr="000A10A4">
        <w:rPr>
          <w:rFonts w:ascii="Cambria" w:hAnsi="Cambria" w:cstheme="minorHAnsi"/>
          <w:sz w:val="20"/>
          <w:szCs w:val="20"/>
        </w:rPr>
        <w:t>.</w:t>
      </w:r>
      <w:r w:rsidR="00E345FC" w:rsidRPr="000A10A4">
        <w:rPr>
          <w:rFonts w:ascii="Cambria" w:hAnsi="Cambria" w:cstheme="minorHAnsi"/>
          <w:sz w:val="20"/>
          <w:szCs w:val="20"/>
        </w:rPr>
        <w:t xml:space="preserve"> The UNSG has </w:t>
      </w:r>
      <w:r w:rsidR="00932751" w:rsidRPr="000A10A4">
        <w:rPr>
          <w:rFonts w:ascii="Cambria" w:hAnsi="Cambria" w:cstheme="minorHAnsi"/>
          <w:sz w:val="20"/>
          <w:szCs w:val="20"/>
        </w:rPr>
        <w:t xml:space="preserve">outlined </w:t>
      </w:r>
      <w:r w:rsidR="00A3620E" w:rsidRPr="00A3620E">
        <w:rPr>
          <w:rFonts w:ascii="Cambria" w:hAnsi="Cambria" w:cstheme="minorHAnsi"/>
          <w:sz w:val="20"/>
          <w:szCs w:val="20"/>
        </w:rPr>
        <w:t>that “Delivering the New Way of Working is a critical step” to achieve his vision on prevention and his commitment to reform the way the United Nations works</w:t>
      </w:r>
      <w:r w:rsidR="00E345FC" w:rsidRPr="000A10A4">
        <w:rPr>
          <w:rFonts w:ascii="Cambria" w:hAnsi="Cambria" w:cstheme="minorHAnsi"/>
          <w:sz w:val="20"/>
          <w:szCs w:val="20"/>
        </w:rPr>
        <w:t>.</w:t>
      </w:r>
    </w:p>
    <w:p w14:paraId="4DD89372" w14:textId="77777777" w:rsidR="002E5C41" w:rsidRPr="000A10A4" w:rsidRDefault="00177599" w:rsidP="002E5C41">
      <w:pPr>
        <w:pStyle w:val="ListParagraph"/>
        <w:spacing w:after="80"/>
        <w:ind w:left="284"/>
        <w:contextualSpacing w:val="0"/>
        <w:jc w:val="both"/>
        <w:rPr>
          <w:rFonts w:ascii="Cambria" w:hAnsi="Cambria" w:cstheme="minorHAnsi"/>
          <w:sz w:val="20"/>
          <w:szCs w:val="20"/>
        </w:rPr>
      </w:pPr>
      <w:proofErr w:type="gramStart"/>
      <w:r w:rsidRPr="000A10A4">
        <w:rPr>
          <w:rFonts w:ascii="Cambria" w:hAnsi="Cambria" w:cstheme="minorHAnsi"/>
          <w:sz w:val="20"/>
          <w:szCs w:val="20"/>
        </w:rPr>
        <w:t>In particular, the</w:t>
      </w:r>
      <w:proofErr w:type="gramEnd"/>
      <w:r w:rsidRPr="000A10A4">
        <w:rPr>
          <w:rFonts w:ascii="Cambria" w:hAnsi="Cambria" w:cstheme="minorHAnsi"/>
          <w:sz w:val="20"/>
          <w:szCs w:val="20"/>
        </w:rPr>
        <w:t xml:space="preserve"> notion of collective </w:t>
      </w:r>
      <w:r w:rsidR="00E95359" w:rsidRPr="000A10A4">
        <w:rPr>
          <w:rFonts w:ascii="Cambria" w:hAnsi="Cambria" w:cstheme="minorHAnsi"/>
          <w:sz w:val="20"/>
          <w:szCs w:val="20"/>
        </w:rPr>
        <w:t xml:space="preserve">outcomes </w:t>
      </w:r>
      <w:r w:rsidRPr="000A10A4">
        <w:rPr>
          <w:rFonts w:ascii="Cambria" w:hAnsi="Cambria" w:cstheme="minorHAnsi"/>
          <w:sz w:val="20"/>
          <w:szCs w:val="20"/>
        </w:rPr>
        <w:t>that has been put at the center of the NWoW</w:t>
      </w:r>
      <w:r w:rsidR="00E95359" w:rsidRPr="000A10A4">
        <w:rPr>
          <w:rFonts w:ascii="Cambria" w:hAnsi="Cambria" w:cstheme="minorHAnsi"/>
          <w:sz w:val="20"/>
          <w:szCs w:val="20"/>
        </w:rPr>
        <w:t xml:space="preserve"> </w:t>
      </w:r>
      <w:r w:rsidRPr="000A10A4">
        <w:rPr>
          <w:rFonts w:ascii="Cambria" w:hAnsi="Cambria" w:cstheme="minorHAnsi"/>
          <w:sz w:val="20"/>
          <w:szCs w:val="20"/>
        </w:rPr>
        <w:t xml:space="preserve">needs more clarity and elaboration. In the absence of political solutions, country teams </w:t>
      </w:r>
      <w:r w:rsidR="00E95359" w:rsidRPr="000A10A4">
        <w:rPr>
          <w:rFonts w:ascii="Cambria" w:hAnsi="Cambria" w:cstheme="minorHAnsi"/>
          <w:sz w:val="20"/>
          <w:szCs w:val="20"/>
        </w:rPr>
        <w:t>include</w:t>
      </w:r>
      <w:r w:rsidRPr="000A10A4">
        <w:rPr>
          <w:rFonts w:ascii="Cambria" w:hAnsi="Cambria" w:cstheme="minorHAnsi"/>
          <w:sz w:val="20"/>
          <w:szCs w:val="20"/>
        </w:rPr>
        <w:t xml:space="preserve"> peacebuilding actors as part of the nexus</w:t>
      </w:r>
      <w:r w:rsidR="007106D6" w:rsidRPr="000A10A4">
        <w:rPr>
          <w:rFonts w:ascii="Cambria" w:hAnsi="Cambria" w:cstheme="minorHAnsi"/>
          <w:sz w:val="20"/>
          <w:szCs w:val="20"/>
        </w:rPr>
        <w:t xml:space="preserve"> when responding to protracted crises</w:t>
      </w:r>
      <w:r w:rsidRPr="000A10A4">
        <w:rPr>
          <w:rFonts w:ascii="Cambria" w:hAnsi="Cambria" w:cstheme="minorHAnsi"/>
          <w:sz w:val="20"/>
          <w:szCs w:val="20"/>
        </w:rPr>
        <w:t>. This has led to a policy gap around how to preserve humanitarian space while jointly planning and programming with development and sometimes peacebuilding actors</w:t>
      </w:r>
      <w:r w:rsidR="00E95359" w:rsidRPr="000A10A4">
        <w:rPr>
          <w:rStyle w:val="FootnoteReference"/>
          <w:rFonts w:ascii="Cambria" w:hAnsi="Cambria" w:cstheme="minorHAnsi"/>
          <w:b/>
          <w:bCs/>
          <w:sz w:val="20"/>
          <w:szCs w:val="20"/>
        </w:rPr>
        <w:footnoteReference w:id="1"/>
      </w:r>
      <w:r w:rsidRPr="000A10A4">
        <w:rPr>
          <w:rFonts w:ascii="Cambria" w:hAnsi="Cambria" w:cstheme="minorHAnsi"/>
          <w:sz w:val="20"/>
          <w:szCs w:val="20"/>
        </w:rPr>
        <w:t>.</w:t>
      </w:r>
      <w:r w:rsidR="002E5C41" w:rsidRPr="000A10A4">
        <w:rPr>
          <w:rFonts w:ascii="Cambria" w:hAnsi="Cambria" w:cstheme="minorHAnsi"/>
          <w:sz w:val="20"/>
          <w:szCs w:val="20"/>
        </w:rPr>
        <w:t xml:space="preserve"> </w:t>
      </w:r>
    </w:p>
    <w:p w14:paraId="089D5CED" w14:textId="29630E4B" w:rsidR="002E5C41" w:rsidRPr="000A10A4" w:rsidRDefault="00177599" w:rsidP="008E656E">
      <w:pPr>
        <w:pStyle w:val="ListParagraph"/>
        <w:spacing w:after="80"/>
        <w:ind w:left="284"/>
        <w:contextualSpacing w:val="0"/>
        <w:jc w:val="both"/>
        <w:rPr>
          <w:rFonts w:ascii="Cambria" w:hAnsi="Cambria" w:cstheme="minorHAnsi"/>
          <w:sz w:val="20"/>
          <w:szCs w:val="20"/>
        </w:rPr>
      </w:pPr>
      <w:r w:rsidRPr="000A10A4">
        <w:rPr>
          <w:rFonts w:ascii="Cambria" w:hAnsi="Cambria" w:cstheme="minorHAnsi"/>
          <w:sz w:val="20"/>
          <w:szCs w:val="20"/>
        </w:rPr>
        <w:t>Some IASC members</w:t>
      </w:r>
      <w:r w:rsidR="00CD4259" w:rsidRPr="000A10A4">
        <w:rPr>
          <w:rFonts w:ascii="Cambria" w:hAnsi="Cambria" w:cstheme="minorHAnsi"/>
          <w:sz w:val="20"/>
          <w:szCs w:val="20"/>
        </w:rPr>
        <w:t xml:space="preserve"> therefore argue that the NWoW should be limited to humanitarian –</w:t>
      </w:r>
      <w:r w:rsidR="002E5C41" w:rsidRPr="000A10A4">
        <w:rPr>
          <w:rFonts w:ascii="Cambria" w:hAnsi="Cambria" w:cstheme="minorHAnsi"/>
          <w:sz w:val="20"/>
          <w:szCs w:val="20"/>
        </w:rPr>
        <w:t xml:space="preserve"> </w:t>
      </w:r>
      <w:r w:rsidR="00CD4259" w:rsidRPr="000A10A4">
        <w:rPr>
          <w:rFonts w:ascii="Cambria" w:hAnsi="Cambria" w:cstheme="minorHAnsi"/>
          <w:sz w:val="20"/>
          <w:szCs w:val="20"/>
        </w:rPr>
        <w:t xml:space="preserve">development linkages. This position limits the notion of “collective outcomes” to the areas of reducing needs, risks and vulnerability. </w:t>
      </w:r>
      <w:r w:rsidR="008E656E" w:rsidRPr="000A10A4">
        <w:rPr>
          <w:rFonts w:ascii="Cambria" w:hAnsi="Cambria" w:cstheme="minorHAnsi"/>
          <w:sz w:val="20"/>
          <w:szCs w:val="20"/>
        </w:rPr>
        <w:t xml:space="preserve">In this sense, addressing </w:t>
      </w:r>
      <w:r w:rsidR="00CD4259" w:rsidRPr="000A10A4">
        <w:rPr>
          <w:rFonts w:ascii="Cambria" w:hAnsi="Cambria" w:cstheme="minorHAnsi"/>
          <w:sz w:val="20"/>
          <w:szCs w:val="20"/>
        </w:rPr>
        <w:t xml:space="preserve">root causes </w:t>
      </w:r>
      <w:r w:rsidR="00932751" w:rsidRPr="000A10A4">
        <w:rPr>
          <w:rFonts w:ascii="Cambria" w:hAnsi="Cambria" w:cstheme="minorHAnsi"/>
          <w:sz w:val="20"/>
          <w:szCs w:val="20"/>
        </w:rPr>
        <w:t xml:space="preserve">related to peace-building </w:t>
      </w:r>
      <w:r w:rsidR="008E656E" w:rsidRPr="000A10A4">
        <w:rPr>
          <w:rFonts w:ascii="Cambria" w:hAnsi="Cambria" w:cstheme="minorHAnsi"/>
          <w:sz w:val="20"/>
          <w:szCs w:val="20"/>
        </w:rPr>
        <w:t xml:space="preserve">should be </w:t>
      </w:r>
      <w:r w:rsidR="00CD4259" w:rsidRPr="000A10A4">
        <w:rPr>
          <w:rFonts w:ascii="Cambria" w:hAnsi="Cambria" w:cstheme="minorHAnsi"/>
          <w:sz w:val="20"/>
          <w:szCs w:val="20"/>
        </w:rPr>
        <w:t xml:space="preserve">left to other actors. </w:t>
      </w:r>
      <w:r w:rsidR="00932751" w:rsidRPr="000A10A4">
        <w:rPr>
          <w:rFonts w:ascii="Cambria" w:hAnsi="Cambria" w:cstheme="minorHAnsi"/>
          <w:sz w:val="20"/>
          <w:szCs w:val="20"/>
        </w:rPr>
        <w:t>While</w:t>
      </w:r>
      <w:r w:rsidR="00CD4259" w:rsidRPr="000A10A4">
        <w:rPr>
          <w:rFonts w:ascii="Cambria" w:hAnsi="Cambria" w:cstheme="minorHAnsi"/>
          <w:sz w:val="20"/>
          <w:szCs w:val="20"/>
        </w:rPr>
        <w:t xml:space="preserve"> this often entails excluding government perspectives, it is argued that this approach ensures that humanitarian space is preserved and humanitarian principles are upheld</w:t>
      </w:r>
      <w:r w:rsidR="00932601" w:rsidRPr="000A10A4">
        <w:rPr>
          <w:rStyle w:val="FootnoteReference"/>
          <w:rFonts w:ascii="Cambria" w:hAnsi="Cambria" w:cstheme="minorHAnsi"/>
          <w:sz w:val="20"/>
          <w:szCs w:val="20"/>
        </w:rPr>
        <w:footnoteReference w:id="2"/>
      </w:r>
      <w:r w:rsidR="00CD4259" w:rsidRPr="000A10A4">
        <w:rPr>
          <w:rFonts w:ascii="Cambria" w:hAnsi="Cambria" w:cstheme="minorHAnsi"/>
          <w:sz w:val="20"/>
          <w:szCs w:val="20"/>
        </w:rPr>
        <w:t>.</w:t>
      </w:r>
    </w:p>
    <w:p w14:paraId="1802A1C7" w14:textId="12639577" w:rsidR="002E5C41" w:rsidRPr="000A10A4" w:rsidRDefault="00177599" w:rsidP="00D26B5F">
      <w:pPr>
        <w:pStyle w:val="ListParagraph"/>
        <w:spacing w:after="80"/>
        <w:ind w:left="284"/>
        <w:contextualSpacing w:val="0"/>
        <w:jc w:val="both"/>
        <w:rPr>
          <w:rFonts w:ascii="Cambria" w:hAnsi="Cambria" w:cstheme="minorHAnsi"/>
          <w:sz w:val="20"/>
          <w:szCs w:val="20"/>
        </w:rPr>
      </w:pPr>
      <w:r w:rsidRPr="000A10A4">
        <w:rPr>
          <w:rFonts w:ascii="Cambria" w:hAnsi="Cambria" w:cstheme="minorHAnsi"/>
          <w:sz w:val="20"/>
          <w:szCs w:val="20"/>
        </w:rPr>
        <w:lastRenderedPageBreak/>
        <w:t>Others argue that</w:t>
      </w:r>
      <w:r w:rsidR="0054025F" w:rsidRPr="000A10A4">
        <w:rPr>
          <w:rFonts w:ascii="Cambria" w:hAnsi="Cambria" w:cstheme="minorHAnsi"/>
          <w:sz w:val="20"/>
          <w:szCs w:val="20"/>
        </w:rPr>
        <w:t xml:space="preserve"> principled action is not </w:t>
      </w:r>
      <w:r w:rsidR="00865EBD" w:rsidRPr="000A10A4">
        <w:rPr>
          <w:rFonts w:ascii="Cambria" w:hAnsi="Cambria" w:cstheme="minorHAnsi"/>
          <w:sz w:val="20"/>
          <w:szCs w:val="20"/>
        </w:rPr>
        <w:t xml:space="preserve">limited to </w:t>
      </w:r>
      <w:r w:rsidR="0054025F" w:rsidRPr="000A10A4">
        <w:rPr>
          <w:rFonts w:ascii="Cambria" w:hAnsi="Cambria" w:cstheme="minorHAnsi"/>
          <w:sz w:val="20"/>
          <w:szCs w:val="20"/>
        </w:rPr>
        <w:t>the domain of humanitarian action. Against the backdrop of the</w:t>
      </w:r>
      <w:r w:rsidR="00761C08" w:rsidRPr="000A10A4">
        <w:rPr>
          <w:rFonts w:ascii="Cambria" w:hAnsi="Cambria" w:cstheme="minorHAnsi"/>
          <w:sz w:val="20"/>
          <w:szCs w:val="20"/>
        </w:rPr>
        <w:t xml:space="preserve"> SDGs and</w:t>
      </w:r>
      <w:r w:rsidR="0054025F" w:rsidRPr="000A10A4">
        <w:rPr>
          <w:rFonts w:ascii="Cambria" w:hAnsi="Cambria" w:cstheme="minorHAnsi"/>
          <w:sz w:val="20"/>
          <w:szCs w:val="20"/>
        </w:rPr>
        <w:t xml:space="preserve"> the call to </w:t>
      </w:r>
      <w:r w:rsidR="0054025F" w:rsidRPr="000A10A4">
        <w:rPr>
          <w:rFonts w:ascii="Cambria" w:hAnsi="Cambria" w:cstheme="minorHAnsi"/>
          <w:i/>
          <w:sz w:val="20"/>
          <w:szCs w:val="20"/>
        </w:rPr>
        <w:t>leave no one behind</w:t>
      </w:r>
      <w:r w:rsidR="0054025F" w:rsidRPr="000A10A4">
        <w:rPr>
          <w:rFonts w:ascii="Cambria" w:hAnsi="Cambria" w:cstheme="minorHAnsi"/>
          <w:sz w:val="20"/>
          <w:szCs w:val="20"/>
        </w:rPr>
        <w:t xml:space="preserve">, </w:t>
      </w:r>
      <w:r w:rsidR="00E345FC" w:rsidRPr="000A10A4">
        <w:rPr>
          <w:rFonts w:ascii="Cambria" w:hAnsi="Cambria" w:cstheme="minorHAnsi"/>
          <w:sz w:val="20"/>
          <w:szCs w:val="20"/>
        </w:rPr>
        <w:t xml:space="preserve">humanitarian and development actors now have a common reference point to work together. </w:t>
      </w:r>
      <w:r w:rsidR="00A37133" w:rsidRPr="000A10A4">
        <w:rPr>
          <w:rFonts w:ascii="Cambria" w:hAnsi="Cambria" w:cstheme="minorHAnsi"/>
          <w:sz w:val="20"/>
          <w:szCs w:val="20"/>
        </w:rPr>
        <w:t>Goal 2—ending hunger and achieving food security</w:t>
      </w:r>
      <w:r w:rsidR="00D26B5F" w:rsidRPr="000A10A4">
        <w:rPr>
          <w:rFonts w:ascii="Cambria" w:hAnsi="Cambria" w:cstheme="minorHAnsi"/>
          <w:sz w:val="20"/>
          <w:szCs w:val="20"/>
        </w:rPr>
        <w:t>,</w:t>
      </w:r>
      <w:r w:rsidR="00A37133" w:rsidRPr="000A10A4">
        <w:rPr>
          <w:rFonts w:ascii="Cambria" w:hAnsi="Cambria" w:cstheme="minorHAnsi"/>
          <w:sz w:val="20"/>
          <w:szCs w:val="20"/>
        </w:rPr>
        <w:t xml:space="preserve"> for example, is not only an SDG but also an operational priority for humanitarian organizations in crisis-affected communities. </w:t>
      </w:r>
      <w:r w:rsidR="00CF78B6" w:rsidRPr="000A10A4">
        <w:rPr>
          <w:rFonts w:ascii="Cambria" w:hAnsi="Cambria" w:cstheme="minorHAnsi"/>
          <w:sz w:val="20"/>
          <w:szCs w:val="20"/>
        </w:rPr>
        <w:t xml:space="preserve">Through Agenda 2030, </w:t>
      </w:r>
      <w:r w:rsidR="00CD4259" w:rsidRPr="000A10A4">
        <w:rPr>
          <w:rFonts w:ascii="Cambria" w:hAnsi="Cambria" w:cstheme="minorHAnsi"/>
          <w:sz w:val="20"/>
          <w:szCs w:val="20"/>
        </w:rPr>
        <w:t xml:space="preserve">UN Resident Coordinator functions are now guided by the </w:t>
      </w:r>
      <w:r w:rsidR="00865EBD" w:rsidRPr="000A10A4">
        <w:rPr>
          <w:rFonts w:ascii="Cambria" w:hAnsi="Cambria" w:cstheme="minorHAnsi"/>
          <w:sz w:val="20"/>
          <w:szCs w:val="20"/>
        </w:rPr>
        <w:t xml:space="preserve">same principled action </w:t>
      </w:r>
      <w:r w:rsidR="00E770FB" w:rsidRPr="000A10A4">
        <w:rPr>
          <w:rFonts w:ascii="Cambria" w:hAnsi="Cambria" w:cstheme="minorHAnsi"/>
          <w:sz w:val="20"/>
          <w:szCs w:val="20"/>
        </w:rPr>
        <w:t xml:space="preserve">as that </w:t>
      </w:r>
      <w:r w:rsidR="00CD4259" w:rsidRPr="000A10A4">
        <w:rPr>
          <w:rFonts w:ascii="Cambria" w:hAnsi="Cambria" w:cstheme="minorHAnsi"/>
          <w:sz w:val="20"/>
          <w:szCs w:val="20"/>
        </w:rPr>
        <w:t>of the HC function</w:t>
      </w:r>
      <w:r w:rsidR="00CF78B6" w:rsidRPr="000A10A4">
        <w:rPr>
          <w:rFonts w:ascii="Cambria" w:hAnsi="Cambria" w:cstheme="minorHAnsi"/>
          <w:sz w:val="20"/>
          <w:szCs w:val="20"/>
        </w:rPr>
        <w:t xml:space="preserve"> (now often the same person)</w:t>
      </w:r>
      <w:r w:rsidR="00CD4259" w:rsidRPr="000A10A4">
        <w:rPr>
          <w:rFonts w:ascii="Cambria" w:hAnsi="Cambria" w:cstheme="minorHAnsi"/>
          <w:sz w:val="20"/>
          <w:szCs w:val="20"/>
        </w:rPr>
        <w:t xml:space="preserve"> </w:t>
      </w:r>
      <w:r w:rsidR="0054025F" w:rsidRPr="000A10A4">
        <w:rPr>
          <w:rFonts w:ascii="Cambria" w:hAnsi="Cambria" w:cstheme="minorHAnsi"/>
          <w:sz w:val="20"/>
          <w:szCs w:val="20"/>
        </w:rPr>
        <w:t>in helping governments determine where best to deploy development assistance and programming</w:t>
      </w:r>
      <w:r w:rsidR="00865EBD" w:rsidRPr="000A10A4">
        <w:rPr>
          <w:rFonts w:ascii="Cambria" w:hAnsi="Cambria" w:cstheme="minorHAnsi"/>
          <w:sz w:val="20"/>
          <w:szCs w:val="20"/>
        </w:rPr>
        <w:t xml:space="preserve"> </w:t>
      </w:r>
      <w:r w:rsidR="00D43786" w:rsidRPr="000A10A4">
        <w:rPr>
          <w:rFonts w:ascii="Cambria" w:hAnsi="Cambria" w:cstheme="minorHAnsi"/>
          <w:sz w:val="20"/>
          <w:szCs w:val="20"/>
        </w:rPr>
        <w:t xml:space="preserve">to </w:t>
      </w:r>
      <w:r w:rsidR="00932601" w:rsidRPr="000A10A4">
        <w:rPr>
          <w:rFonts w:ascii="Cambria" w:hAnsi="Cambria" w:cstheme="minorHAnsi"/>
          <w:sz w:val="20"/>
          <w:szCs w:val="20"/>
        </w:rPr>
        <w:t xml:space="preserve">the </w:t>
      </w:r>
      <w:r w:rsidR="00D43786" w:rsidRPr="000A10A4">
        <w:rPr>
          <w:rFonts w:ascii="Cambria" w:hAnsi="Cambria" w:cstheme="minorHAnsi"/>
          <w:sz w:val="20"/>
          <w:szCs w:val="20"/>
        </w:rPr>
        <w:t xml:space="preserve">benefit </w:t>
      </w:r>
      <w:r w:rsidR="00932601" w:rsidRPr="000A10A4">
        <w:rPr>
          <w:rFonts w:ascii="Cambria" w:hAnsi="Cambria" w:cstheme="minorHAnsi"/>
          <w:sz w:val="20"/>
          <w:szCs w:val="20"/>
        </w:rPr>
        <w:t xml:space="preserve">of </w:t>
      </w:r>
      <w:r w:rsidR="00D43786" w:rsidRPr="000A10A4">
        <w:rPr>
          <w:rFonts w:ascii="Cambria" w:hAnsi="Cambria" w:cstheme="minorHAnsi"/>
          <w:sz w:val="20"/>
          <w:szCs w:val="20"/>
        </w:rPr>
        <w:t>the most vulnerable groups</w:t>
      </w:r>
      <w:r w:rsidR="00CD4259" w:rsidRPr="000A10A4">
        <w:rPr>
          <w:rFonts w:ascii="Cambria" w:hAnsi="Cambria" w:cstheme="minorHAnsi"/>
          <w:sz w:val="20"/>
          <w:szCs w:val="20"/>
        </w:rPr>
        <w:t xml:space="preserve">, </w:t>
      </w:r>
      <w:r w:rsidR="00D26B5F" w:rsidRPr="000A10A4">
        <w:rPr>
          <w:rFonts w:ascii="Cambria" w:hAnsi="Cambria" w:cstheme="minorHAnsi"/>
          <w:sz w:val="20"/>
          <w:szCs w:val="20"/>
        </w:rPr>
        <w:t>i.e</w:t>
      </w:r>
      <w:r w:rsidR="00761C08" w:rsidRPr="000A10A4">
        <w:rPr>
          <w:rFonts w:ascii="Cambria" w:hAnsi="Cambria" w:cstheme="minorHAnsi"/>
          <w:sz w:val="20"/>
          <w:szCs w:val="20"/>
        </w:rPr>
        <w:t>.</w:t>
      </w:r>
      <w:r w:rsidR="00CD4259" w:rsidRPr="000A10A4">
        <w:rPr>
          <w:rFonts w:ascii="Cambria" w:hAnsi="Cambria" w:cstheme="minorHAnsi"/>
          <w:sz w:val="20"/>
          <w:szCs w:val="20"/>
        </w:rPr>
        <w:t xml:space="preserve"> </w:t>
      </w:r>
      <w:r w:rsidR="00932601" w:rsidRPr="000A10A4">
        <w:rPr>
          <w:rFonts w:ascii="Cambria" w:hAnsi="Cambria" w:cstheme="minorHAnsi"/>
          <w:sz w:val="20"/>
          <w:szCs w:val="20"/>
        </w:rPr>
        <w:t>those that are furthest behind</w:t>
      </w:r>
      <w:r w:rsidR="00D43786" w:rsidRPr="000A10A4">
        <w:rPr>
          <w:rFonts w:ascii="Cambria" w:hAnsi="Cambria" w:cstheme="minorHAnsi"/>
          <w:sz w:val="20"/>
          <w:szCs w:val="20"/>
        </w:rPr>
        <w:t xml:space="preserve">. </w:t>
      </w:r>
      <w:r w:rsidR="00E345FC" w:rsidRPr="000A10A4">
        <w:rPr>
          <w:rFonts w:ascii="Cambria" w:hAnsi="Cambria" w:cstheme="minorHAnsi"/>
          <w:sz w:val="20"/>
          <w:szCs w:val="20"/>
        </w:rPr>
        <w:t>As such,</w:t>
      </w:r>
      <w:r w:rsidR="00D43786" w:rsidRPr="000A10A4">
        <w:rPr>
          <w:rFonts w:ascii="Cambria" w:hAnsi="Cambria" w:cstheme="minorHAnsi"/>
          <w:sz w:val="20"/>
          <w:szCs w:val="20"/>
        </w:rPr>
        <w:t xml:space="preserve"> </w:t>
      </w:r>
      <w:r w:rsidR="00932601" w:rsidRPr="000A10A4">
        <w:rPr>
          <w:rFonts w:ascii="Cambria" w:hAnsi="Cambria" w:cstheme="minorHAnsi"/>
          <w:sz w:val="20"/>
          <w:szCs w:val="20"/>
        </w:rPr>
        <w:t xml:space="preserve">programmatic entry points for </w:t>
      </w:r>
      <w:r w:rsidR="00D43786" w:rsidRPr="000A10A4">
        <w:rPr>
          <w:rFonts w:ascii="Cambria" w:hAnsi="Cambria" w:cstheme="minorHAnsi"/>
          <w:sz w:val="20"/>
          <w:szCs w:val="20"/>
        </w:rPr>
        <w:t xml:space="preserve">peace-building </w:t>
      </w:r>
      <w:r w:rsidR="005A6BA6" w:rsidRPr="000A10A4">
        <w:rPr>
          <w:rFonts w:ascii="Cambria" w:hAnsi="Cambria" w:cstheme="minorHAnsi"/>
          <w:sz w:val="20"/>
          <w:szCs w:val="20"/>
        </w:rPr>
        <w:t xml:space="preserve">are </w:t>
      </w:r>
      <w:r w:rsidR="00E770FB" w:rsidRPr="000A10A4">
        <w:rPr>
          <w:rFonts w:ascii="Cambria" w:hAnsi="Cambria" w:cstheme="minorHAnsi"/>
          <w:sz w:val="20"/>
          <w:szCs w:val="20"/>
        </w:rPr>
        <w:t xml:space="preserve">included with aim to interact </w:t>
      </w:r>
      <w:r w:rsidR="00E345FC" w:rsidRPr="000A10A4">
        <w:rPr>
          <w:rFonts w:ascii="Cambria" w:hAnsi="Cambria" w:cstheme="minorHAnsi"/>
          <w:sz w:val="20"/>
          <w:szCs w:val="20"/>
        </w:rPr>
        <w:t xml:space="preserve">with </w:t>
      </w:r>
      <w:r w:rsidR="00E770FB" w:rsidRPr="000A10A4">
        <w:rPr>
          <w:rFonts w:ascii="Cambria" w:hAnsi="Cambria" w:cstheme="minorHAnsi"/>
          <w:sz w:val="20"/>
          <w:szCs w:val="20"/>
        </w:rPr>
        <w:t xml:space="preserve">and benefit from humanitarian and development efforts to further </w:t>
      </w:r>
      <w:r w:rsidR="00D43786" w:rsidRPr="000A10A4">
        <w:rPr>
          <w:rFonts w:ascii="Cambria" w:hAnsi="Cambria" w:cstheme="minorHAnsi"/>
          <w:sz w:val="20"/>
          <w:szCs w:val="20"/>
        </w:rPr>
        <w:t>address root causes</w:t>
      </w:r>
      <w:r w:rsidR="0054025F" w:rsidRPr="000A10A4">
        <w:rPr>
          <w:rFonts w:ascii="Cambria" w:hAnsi="Cambria" w:cstheme="minorHAnsi"/>
          <w:sz w:val="20"/>
          <w:szCs w:val="20"/>
        </w:rPr>
        <w:t>.</w:t>
      </w:r>
      <w:r w:rsidR="00E95359" w:rsidRPr="000A10A4">
        <w:rPr>
          <w:rFonts w:ascii="Cambria" w:hAnsi="Cambria" w:cstheme="minorHAnsi"/>
          <w:sz w:val="20"/>
          <w:szCs w:val="20"/>
        </w:rPr>
        <w:t xml:space="preserve"> </w:t>
      </w:r>
    </w:p>
    <w:p w14:paraId="3805132E" w14:textId="1E5E0DE5" w:rsidR="002E5C41" w:rsidRPr="000A10A4" w:rsidRDefault="000B14D4" w:rsidP="00932751">
      <w:pPr>
        <w:pStyle w:val="ListParagraph"/>
        <w:spacing w:after="80"/>
        <w:ind w:left="284"/>
        <w:contextualSpacing w:val="0"/>
        <w:jc w:val="both"/>
        <w:rPr>
          <w:rFonts w:ascii="Cambria" w:hAnsi="Cambria" w:cstheme="minorHAnsi"/>
          <w:sz w:val="20"/>
          <w:szCs w:val="20"/>
        </w:rPr>
      </w:pPr>
      <w:r w:rsidRPr="000A10A4">
        <w:rPr>
          <w:rFonts w:ascii="Cambria" w:hAnsi="Cambria" w:cstheme="minorHAnsi"/>
          <w:sz w:val="20"/>
          <w:szCs w:val="20"/>
        </w:rPr>
        <w:t>These arguments are not mutually exclusive</w:t>
      </w:r>
      <w:r w:rsidR="00E770FB" w:rsidRPr="000A10A4">
        <w:rPr>
          <w:rFonts w:ascii="Cambria" w:hAnsi="Cambria" w:cstheme="minorHAnsi"/>
          <w:sz w:val="20"/>
          <w:szCs w:val="20"/>
        </w:rPr>
        <w:t xml:space="preserve">. </w:t>
      </w:r>
      <w:r w:rsidR="0054025F" w:rsidRPr="000A10A4">
        <w:rPr>
          <w:rFonts w:ascii="Cambria" w:hAnsi="Cambria" w:cstheme="minorHAnsi"/>
          <w:sz w:val="20"/>
          <w:szCs w:val="20"/>
        </w:rPr>
        <w:t xml:space="preserve">In settings where the government may be party to conflict, pragmatism and the imperative to save lives while keeping with the humanitarian principles will be paramount. </w:t>
      </w:r>
      <w:r w:rsidR="00086981" w:rsidRPr="000A10A4">
        <w:rPr>
          <w:rFonts w:ascii="Cambria" w:hAnsi="Cambria" w:cstheme="minorHAnsi"/>
          <w:sz w:val="20"/>
          <w:szCs w:val="20"/>
        </w:rPr>
        <w:t>However, g</w:t>
      </w:r>
      <w:r w:rsidR="0054025F" w:rsidRPr="000A10A4">
        <w:rPr>
          <w:rFonts w:ascii="Cambria" w:hAnsi="Cambria" w:cstheme="minorHAnsi"/>
          <w:sz w:val="20"/>
          <w:szCs w:val="20"/>
        </w:rPr>
        <w:t xml:space="preserve">iven that </w:t>
      </w:r>
      <w:proofErr w:type="gramStart"/>
      <w:r w:rsidR="0054025F" w:rsidRPr="000A10A4">
        <w:rPr>
          <w:rFonts w:ascii="Cambria" w:hAnsi="Cambria" w:cstheme="minorHAnsi"/>
          <w:sz w:val="20"/>
          <w:szCs w:val="20"/>
        </w:rPr>
        <w:t>the majority of</w:t>
      </w:r>
      <w:proofErr w:type="gramEnd"/>
      <w:r w:rsidR="0054025F" w:rsidRPr="000A10A4">
        <w:rPr>
          <w:rFonts w:ascii="Cambria" w:hAnsi="Cambria" w:cstheme="minorHAnsi"/>
          <w:sz w:val="20"/>
          <w:szCs w:val="20"/>
        </w:rPr>
        <w:t xml:space="preserve"> the humanitarian caseload is in conflict settings, the humanitarian development nexus cannot work without a th</w:t>
      </w:r>
      <w:r w:rsidR="00865EBD" w:rsidRPr="000A10A4">
        <w:rPr>
          <w:rFonts w:ascii="Cambria" w:hAnsi="Cambria" w:cstheme="minorHAnsi"/>
          <w:sz w:val="20"/>
          <w:szCs w:val="20"/>
        </w:rPr>
        <w:t>o</w:t>
      </w:r>
      <w:r w:rsidR="0054025F" w:rsidRPr="000A10A4">
        <w:rPr>
          <w:rFonts w:ascii="Cambria" w:hAnsi="Cambria" w:cstheme="minorHAnsi"/>
          <w:sz w:val="20"/>
          <w:szCs w:val="20"/>
        </w:rPr>
        <w:t>rough re</w:t>
      </w:r>
      <w:r w:rsidR="00932751" w:rsidRPr="000A10A4">
        <w:rPr>
          <w:rFonts w:ascii="Cambria" w:hAnsi="Cambria" w:cstheme="minorHAnsi"/>
          <w:sz w:val="20"/>
          <w:szCs w:val="20"/>
        </w:rPr>
        <w:t xml:space="preserve">flection of how best to include, </w:t>
      </w:r>
      <w:r w:rsidR="0054025F" w:rsidRPr="000A10A4">
        <w:rPr>
          <w:rFonts w:ascii="Cambria" w:hAnsi="Cambria" w:cstheme="minorHAnsi"/>
          <w:sz w:val="20"/>
          <w:szCs w:val="20"/>
        </w:rPr>
        <w:t xml:space="preserve">harmonize </w:t>
      </w:r>
      <w:r w:rsidR="00932751" w:rsidRPr="000A10A4">
        <w:rPr>
          <w:rFonts w:ascii="Cambria" w:hAnsi="Cambria" w:cstheme="minorHAnsi"/>
          <w:sz w:val="20"/>
          <w:szCs w:val="20"/>
        </w:rPr>
        <w:t xml:space="preserve">with or be informed by </w:t>
      </w:r>
      <w:r w:rsidR="0054025F" w:rsidRPr="000A10A4">
        <w:rPr>
          <w:rFonts w:ascii="Cambria" w:hAnsi="Cambria" w:cstheme="minorHAnsi"/>
          <w:sz w:val="20"/>
          <w:szCs w:val="20"/>
        </w:rPr>
        <w:t>peacebuilding</w:t>
      </w:r>
      <w:r w:rsidR="00E87BE4" w:rsidRPr="000A10A4">
        <w:rPr>
          <w:rFonts w:ascii="Cambria" w:hAnsi="Cambria" w:cstheme="minorHAnsi"/>
          <w:sz w:val="20"/>
          <w:szCs w:val="20"/>
        </w:rPr>
        <w:t xml:space="preserve"> efforts</w:t>
      </w:r>
      <w:r w:rsidR="0054025F" w:rsidRPr="000A10A4">
        <w:rPr>
          <w:rFonts w:ascii="Cambria" w:hAnsi="Cambria" w:cstheme="minorHAnsi"/>
          <w:sz w:val="20"/>
          <w:szCs w:val="20"/>
        </w:rPr>
        <w:t xml:space="preserve">. </w:t>
      </w:r>
      <w:r w:rsidRPr="000A10A4">
        <w:rPr>
          <w:rFonts w:ascii="Cambria" w:hAnsi="Cambria" w:cstheme="minorHAnsi"/>
          <w:sz w:val="20"/>
          <w:szCs w:val="20"/>
        </w:rPr>
        <w:t>Likewise</w:t>
      </w:r>
      <w:r w:rsidR="005A6BA6" w:rsidRPr="000A10A4">
        <w:rPr>
          <w:rFonts w:ascii="Cambria" w:hAnsi="Cambria" w:cstheme="minorHAnsi"/>
          <w:sz w:val="20"/>
          <w:szCs w:val="20"/>
        </w:rPr>
        <w:t xml:space="preserve">, it cannot work without an understanding of how strengthening the humanitarian development nexus can contribute to </w:t>
      </w:r>
      <w:r w:rsidR="000E14D7" w:rsidRPr="000A10A4">
        <w:rPr>
          <w:rFonts w:ascii="Cambria" w:hAnsi="Cambria" w:cstheme="minorHAnsi"/>
          <w:sz w:val="20"/>
          <w:szCs w:val="20"/>
        </w:rPr>
        <w:t xml:space="preserve">the reduction and </w:t>
      </w:r>
      <w:r w:rsidR="005A6BA6" w:rsidRPr="000A10A4">
        <w:rPr>
          <w:rFonts w:ascii="Cambria" w:hAnsi="Cambria" w:cstheme="minorHAnsi"/>
          <w:sz w:val="20"/>
          <w:szCs w:val="20"/>
        </w:rPr>
        <w:t>preventi</w:t>
      </w:r>
      <w:r w:rsidR="000E14D7" w:rsidRPr="000A10A4">
        <w:rPr>
          <w:rFonts w:ascii="Cambria" w:hAnsi="Cambria" w:cstheme="minorHAnsi"/>
          <w:sz w:val="20"/>
          <w:szCs w:val="20"/>
        </w:rPr>
        <w:t>on of</w:t>
      </w:r>
      <w:r w:rsidR="005A6BA6" w:rsidRPr="000A10A4">
        <w:rPr>
          <w:rFonts w:ascii="Cambria" w:hAnsi="Cambria" w:cstheme="minorHAnsi"/>
          <w:sz w:val="20"/>
          <w:szCs w:val="20"/>
        </w:rPr>
        <w:t xml:space="preserve"> </w:t>
      </w:r>
      <w:r w:rsidR="000E14D7" w:rsidRPr="000A10A4">
        <w:rPr>
          <w:rFonts w:ascii="Cambria" w:hAnsi="Cambria" w:cstheme="minorHAnsi"/>
          <w:sz w:val="20"/>
          <w:szCs w:val="20"/>
        </w:rPr>
        <w:t xml:space="preserve">violent </w:t>
      </w:r>
      <w:r w:rsidR="005A6BA6" w:rsidRPr="000A10A4">
        <w:rPr>
          <w:rFonts w:ascii="Cambria" w:hAnsi="Cambria" w:cstheme="minorHAnsi"/>
          <w:sz w:val="20"/>
          <w:szCs w:val="20"/>
        </w:rPr>
        <w:t>conflict and</w:t>
      </w:r>
      <w:r w:rsidR="00761C08" w:rsidRPr="000A10A4">
        <w:rPr>
          <w:rFonts w:ascii="Cambria" w:hAnsi="Cambria" w:cstheme="minorHAnsi"/>
          <w:sz w:val="20"/>
          <w:szCs w:val="20"/>
        </w:rPr>
        <w:t>, in</w:t>
      </w:r>
      <w:r w:rsidR="005A6BA6" w:rsidRPr="000A10A4">
        <w:rPr>
          <w:rFonts w:ascii="Cambria" w:hAnsi="Cambria" w:cstheme="minorHAnsi"/>
          <w:sz w:val="20"/>
          <w:szCs w:val="20"/>
        </w:rPr>
        <w:t xml:space="preserve"> sustaining peace before </w:t>
      </w:r>
      <w:r w:rsidR="000E14D7" w:rsidRPr="000A10A4">
        <w:rPr>
          <w:rFonts w:ascii="Cambria" w:hAnsi="Cambria" w:cstheme="minorHAnsi"/>
          <w:sz w:val="20"/>
          <w:szCs w:val="20"/>
        </w:rPr>
        <w:t xml:space="preserve">violent </w:t>
      </w:r>
      <w:r w:rsidR="005A6BA6" w:rsidRPr="000A10A4">
        <w:rPr>
          <w:rFonts w:ascii="Cambria" w:hAnsi="Cambria" w:cstheme="minorHAnsi"/>
          <w:sz w:val="20"/>
          <w:szCs w:val="20"/>
        </w:rPr>
        <w:t xml:space="preserve">conflicts begin. </w:t>
      </w:r>
      <w:r w:rsidR="0054025F" w:rsidRPr="000A10A4">
        <w:rPr>
          <w:rFonts w:ascii="Cambria" w:hAnsi="Cambria" w:cstheme="minorHAnsi"/>
          <w:sz w:val="20"/>
          <w:szCs w:val="20"/>
        </w:rPr>
        <w:t>The WG therefore welcomes the twin resolutions on Sustaining Peace and the UNSG</w:t>
      </w:r>
      <w:r w:rsidR="00865EBD" w:rsidRPr="000A10A4">
        <w:rPr>
          <w:rFonts w:ascii="Cambria" w:hAnsi="Cambria" w:cstheme="minorHAnsi"/>
          <w:sz w:val="20"/>
          <w:szCs w:val="20"/>
        </w:rPr>
        <w:t>s</w:t>
      </w:r>
      <w:r w:rsidR="0054025F" w:rsidRPr="000A10A4">
        <w:rPr>
          <w:rFonts w:ascii="Cambria" w:hAnsi="Cambria" w:cstheme="minorHAnsi"/>
          <w:sz w:val="20"/>
          <w:szCs w:val="20"/>
        </w:rPr>
        <w:t xml:space="preserve"> </w:t>
      </w:r>
      <w:r w:rsidR="00865EBD" w:rsidRPr="000A10A4">
        <w:rPr>
          <w:rFonts w:ascii="Cambria" w:hAnsi="Cambria" w:cstheme="minorHAnsi"/>
          <w:sz w:val="20"/>
          <w:szCs w:val="20"/>
        </w:rPr>
        <w:t>p</w:t>
      </w:r>
      <w:r w:rsidR="0054025F" w:rsidRPr="000A10A4">
        <w:rPr>
          <w:rFonts w:ascii="Cambria" w:hAnsi="Cambria" w:cstheme="minorHAnsi"/>
          <w:sz w:val="20"/>
          <w:szCs w:val="20"/>
        </w:rPr>
        <w:t>revention</w:t>
      </w:r>
      <w:r w:rsidR="00865EBD" w:rsidRPr="000A10A4">
        <w:rPr>
          <w:rFonts w:ascii="Cambria" w:hAnsi="Cambria" w:cstheme="minorHAnsi"/>
          <w:sz w:val="20"/>
          <w:szCs w:val="20"/>
        </w:rPr>
        <w:t xml:space="preserve"> agenda</w:t>
      </w:r>
      <w:r w:rsidR="0054025F" w:rsidRPr="000A10A4">
        <w:rPr>
          <w:rFonts w:ascii="Cambria" w:hAnsi="Cambria" w:cstheme="minorHAnsi"/>
          <w:sz w:val="20"/>
          <w:szCs w:val="20"/>
        </w:rPr>
        <w:t xml:space="preserve">, as high level strategic direction </w:t>
      </w:r>
      <w:r w:rsidR="00761C08" w:rsidRPr="000A10A4">
        <w:rPr>
          <w:rFonts w:ascii="Cambria" w:hAnsi="Cambria" w:cstheme="minorHAnsi"/>
          <w:sz w:val="20"/>
          <w:szCs w:val="20"/>
        </w:rPr>
        <w:t>with</w:t>
      </w:r>
      <w:r w:rsidR="0054025F" w:rsidRPr="000A10A4">
        <w:rPr>
          <w:rFonts w:ascii="Cambria" w:hAnsi="Cambria" w:cstheme="minorHAnsi"/>
          <w:sz w:val="20"/>
          <w:szCs w:val="20"/>
        </w:rPr>
        <w:t xml:space="preserve"> emphasis on </w:t>
      </w:r>
      <w:r w:rsidR="00E87BE4" w:rsidRPr="000A10A4">
        <w:rPr>
          <w:rFonts w:ascii="Cambria" w:hAnsi="Cambria" w:cstheme="minorHAnsi"/>
          <w:sz w:val="20"/>
          <w:szCs w:val="20"/>
        </w:rPr>
        <w:t xml:space="preserve">policy coherence </w:t>
      </w:r>
      <w:r w:rsidR="00E87BE4" w:rsidRPr="000A10A4">
        <w:rPr>
          <w:sz w:val="20"/>
          <w:szCs w:val="20"/>
        </w:rPr>
        <w:t>and</w:t>
      </w:r>
      <w:r w:rsidR="00E87BE4" w:rsidRPr="000A10A4">
        <w:rPr>
          <w:rFonts w:ascii="Cambria" w:hAnsi="Cambria" w:cstheme="minorHAnsi"/>
          <w:sz w:val="20"/>
          <w:szCs w:val="20"/>
        </w:rPr>
        <w:t xml:space="preserve"> </w:t>
      </w:r>
      <w:r w:rsidR="0054025F" w:rsidRPr="000A10A4">
        <w:rPr>
          <w:rFonts w:ascii="Cambria" w:hAnsi="Cambria" w:cstheme="minorHAnsi"/>
          <w:sz w:val="20"/>
          <w:szCs w:val="20"/>
        </w:rPr>
        <w:t xml:space="preserve">the role agencies, funds, and </w:t>
      </w:r>
      <w:proofErr w:type="spellStart"/>
      <w:r w:rsidR="0054025F" w:rsidRPr="000A10A4">
        <w:rPr>
          <w:rFonts w:ascii="Cambria" w:hAnsi="Cambria" w:cstheme="minorHAnsi"/>
          <w:sz w:val="20"/>
          <w:szCs w:val="20"/>
        </w:rPr>
        <w:t>programmes</w:t>
      </w:r>
      <w:proofErr w:type="spellEnd"/>
      <w:r w:rsidR="0054025F" w:rsidRPr="000A10A4">
        <w:rPr>
          <w:rFonts w:ascii="Cambria" w:hAnsi="Cambria" w:cstheme="minorHAnsi"/>
          <w:sz w:val="20"/>
          <w:szCs w:val="20"/>
        </w:rPr>
        <w:t xml:space="preserve"> can play in contributing to this agenda.</w:t>
      </w:r>
      <w:r w:rsidR="00E95359" w:rsidRPr="000A10A4">
        <w:rPr>
          <w:rFonts w:ascii="Cambria" w:hAnsi="Cambria" w:cstheme="minorHAnsi"/>
          <w:sz w:val="20"/>
          <w:szCs w:val="20"/>
        </w:rPr>
        <w:t xml:space="preserve"> </w:t>
      </w:r>
    </w:p>
    <w:p w14:paraId="35BD94EB" w14:textId="77777777" w:rsidR="00104809" w:rsidRPr="000A10A4" w:rsidRDefault="00E87BE4" w:rsidP="002E5C41">
      <w:pPr>
        <w:spacing w:after="80"/>
        <w:jc w:val="both"/>
        <w:rPr>
          <w:rFonts w:ascii="Cambria" w:hAnsi="Cambria" w:cstheme="minorHAnsi"/>
          <w:sz w:val="20"/>
          <w:szCs w:val="20"/>
        </w:rPr>
      </w:pPr>
      <w:r w:rsidRPr="000A10A4">
        <w:rPr>
          <w:rFonts w:ascii="Cambria" w:hAnsi="Cambria" w:cstheme="minorHAnsi"/>
          <w:sz w:val="20"/>
          <w:szCs w:val="20"/>
        </w:rPr>
        <w:t>Against this backdrop</w:t>
      </w:r>
      <w:r w:rsidR="00EC59FD" w:rsidRPr="000A10A4">
        <w:rPr>
          <w:rFonts w:ascii="Cambria" w:hAnsi="Cambria" w:cstheme="minorHAnsi"/>
          <w:sz w:val="20"/>
          <w:szCs w:val="20"/>
        </w:rPr>
        <w:t xml:space="preserve">, </w:t>
      </w:r>
      <w:r w:rsidR="004B2B97" w:rsidRPr="000A10A4">
        <w:rPr>
          <w:rFonts w:ascii="Cambria" w:hAnsi="Cambria" w:cstheme="minorHAnsi"/>
          <w:sz w:val="20"/>
          <w:szCs w:val="20"/>
        </w:rPr>
        <w:t xml:space="preserve">and building on the progress already made, </w:t>
      </w:r>
      <w:r w:rsidR="00EC59FD" w:rsidRPr="000A10A4">
        <w:rPr>
          <w:rFonts w:ascii="Cambria" w:hAnsi="Cambria" w:cstheme="minorHAnsi"/>
          <w:i/>
          <w:iCs/>
          <w:sz w:val="20"/>
          <w:szCs w:val="20"/>
        </w:rPr>
        <w:t xml:space="preserve">the </w:t>
      </w:r>
      <w:r w:rsidR="004B08FD" w:rsidRPr="000A10A4">
        <w:rPr>
          <w:rFonts w:ascii="Cambria" w:hAnsi="Cambria" w:cstheme="minorHAnsi"/>
          <w:i/>
          <w:iCs/>
          <w:sz w:val="20"/>
          <w:szCs w:val="20"/>
        </w:rPr>
        <w:t>WG</w:t>
      </w:r>
      <w:r w:rsidR="00C37F25" w:rsidRPr="000A10A4">
        <w:rPr>
          <w:rFonts w:ascii="Cambria" w:hAnsi="Cambria" w:cstheme="minorHAnsi"/>
          <w:i/>
          <w:iCs/>
          <w:sz w:val="20"/>
          <w:szCs w:val="20"/>
        </w:rPr>
        <w:t xml:space="preserve"> requests </w:t>
      </w:r>
      <w:r w:rsidR="005268CB" w:rsidRPr="000A10A4">
        <w:rPr>
          <w:rFonts w:ascii="Cambria" w:hAnsi="Cambria" w:cstheme="minorHAnsi"/>
          <w:i/>
          <w:iCs/>
          <w:sz w:val="20"/>
          <w:szCs w:val="20"/>
        </w:rPr>
        <w:t xml:space="preserve">the </w:t>
      </w:r>
      <w:r w:rsidR="00C37F25" w:rsidRPr="000A10A4">
        <w:rPr>
          <w:rFonts w:ascii="Cambria" w:hAnsi="Cambria" w:cstheme="minorHAnsi"/>
          <w:i/>
          <w:iCs/>
          <w:sz w:val="20"/>
          <w:szCs w:val="20"/>
        </w:rPr>
        <w:t>IASC TT on HDN</w:t>
      </w:r>
      <w:r w:rsidR="00C17EB0" w:rsidRPr="000A10A4">
        <w:rPr>
          <w:rFonts w:ascii="Cambria" w:hAnsi="Cambria" w:cstheme="minorHAnsi"/>
          <w:i/>
          <w:iCs/>
          <w:sz w:val="20"/>
          <w:szCs w:val="20"/>
        </w:rPr>
        <w:t xml:space="preserve"> </w:t>
      </w:r>
      <w:r w:rsidR="00BA33EC" w:rsidRPr="000A10A4">
        <w:rPr>
          <w:rFonts w:ascii="Cambria" w:hAnsi="Cambria" w:cstheme="minorHAnsi"/>
          <w:i/>
          <w:iCs/>
          <w:sz w:val="20"/>
          <w:szCs w:val="20"/>
        </w:rPr>
        <w:t>to</w:t>
      </w:r>
      <w:r w:rsidR="00C17EB0" w:rsidRPr="000A10A4">
        <w:rPr>
          <w:rFonts w:ascii="Cambria" w:hAnsi="Cambria" w:cstheme="minorHAnsi"/>
          <w:i/>
          <w:iCs/>
          <w:sz w:val="20"/>
          <w:szCs w:val="20"/>
        </w:rPr>
        <w:t xml:space="preserve"> </w:t>
      </w:r>
      <w:r w:rsidR="004B2B97" w:rsidRPr="000A10A4">
        <w:rPr>
          <w:rFonts w:ascii="Cambria" w:hAnsi="Cambria" w:cstheme="minorHAnsi"/>
          <w:i/>
          <w:iCs/>
          <w:sz w:val="20"/>
          <w:szCs w:val="20"/>
        </w:rPr>
        <w:t xml:space="preserve">further contribute to this agenda </w:t>
      </w:r>
      <w:r w:rsidR="00BA33EC" w:rsidRPr="000A10A4">
        <w:rPr>
          <w:rFonts w:ascii="Cambria" w:hAnsi="Cambria" w:cstheme="minorHAnsi"/>
          <w:i/>
          <w:iCs/>
          <w:sz w:val="20"/>
          <w:szCs w:val="20"/>
        </w:rPr>
        <w:t xml:space="preserve">in the </w:t>
      </w:r>
      <w:r w:rsidR="00C17EB0" w:rsidRPr="000A10A4">
        <w:rPr>
          <w:rFonts w:ascii="Cambria" w:hAnsi="Cambria" w:cstheme="minorHAnsi"/>
          <w:i/>
          <w:iCs/>
          <w:sz w:val="20"/>
          <w:szCs w:val="20"/>
        </w:rPr>
        <w:t>following ways</w:t>
      </w:r>
      <w:r w:rsidR="00EC59FD" w:rsidRPr="000A10A4">
        <w:rPr>
          <w:rFonts w:ascii="Cambria" w:hAnsi="Cambria" w:cstheme="minorHAnsi"/>
          <w:i/>
          <w:iCs/>
          <w:sz w:val="20"/>
          <w:szCs w:val="20"/>
        </w:rPr>
        <w:t>:</w:t>
      </w:r>
    </w:p>
    <w:p w14:paraId="2F17CDDB" w14:textId="77777777" w:rsidR="003D3351" w:rsidRPr="000A10A4" w:rsidRDefault="003D3351" w:rsidP="00404E53">
      <w:pPr>
        <w:spacing w:after="80"/>
        <w:rPr>
          <w:rFonts w:ascii="Cambria" w:hAnsi="Cambria" w:cstheme="minorHAnsi"/>
          <w:b/>
          <w:bCs/>
          <w:sz w:val="20"/>
          <w:szCs w:val="20"/>
        </w:rPr>
      </w:pPr>
      <w:r w:rsidRPr="000A10A4">
        <w:rPr>
          <w:rFonts w:ascii="Cambria" w:hAnsi="Cambria" w:cstheme="minorHAnsi"/>
          <w:b/>
          <w:bCs/>
          <w:sz w:val="20"/>
          <w:szCs w:val="20"/>
        </w:rPr>
        <w:t xml:space="preserve">What the Task Team </w:t>
      </w:r>
      <w:r w:rsidR="005268CB" w:rsidRPr="000A10A4">
        <w:rPr>
          <w:rFonts w:ascii="Cambria" w:hAnsi="Cambria" w:cstheme="minorHAnsi"/>
          <w:b/>
          <w:bCs/>
          <w:sz w:val="20"/>
          <w:szCs w:val="20"/>
        </w:rPr>
        <w:t xml:space="preserve">(TT) </w:t>
      </w:r>
      <w:r w:rsidRPr="000A10A4">
        <w:rPr>
          <w:rFonts w:ascii="Cambria" w:hAnsi="Cambria" w:cstheme="minorHAnsi"/>
          <w:b/>
          <w:bCs/>
          <w:sz w:val="20"/>
          <w:szCs w:val="20"/>
        </w:rPr>
        <w:t>is</w:t>
      </w:r>
      <w:r w:rsidRPr="000A10A4">
        <w:rPr>
          <w:rStyle w:val="FootnoteReference"/>
          <w:rFonts w:ascii="Cambria" w:hAnsi="Cambria" w:cstheme="minorHAnsi"/>
          <w:b/>
          <w:bCs/>
          <w:sz w:val="20"/>
          <w:szCs w:val="20"/>
        </w:rPr>
        <w:footnoteReference w:id="3"/>
      </w:r>
      <w:r w:rsidR="00C01CAE" w:rsidRPr="000A10A4">
        <w:rPr>
          <w:rFonts w:ascii="Cambria" w:hAnsi="Cambria" w:cstheme="minorHAnsi"/>
          <w:b/>
          <w:bCs/>
          <w:sz w:val="20"/>
          <w:szCs w:val="20"/>
        </w:rPr>
        <w:t>:</w:t>
      </w:r>
    </w:p>
    <w:p w14:paraId="3F411257" w14:textId="77777777" w:rsidR="00CF78B6" w:rsidRPr="000A10A4" w:rsidRDefault="00C01CAE" w:rsidP="00A420B5">
      <w:pPr>
        <w:pStyle w:val="ListParagraph"/>
        <w:numPr>
          <w:ilvl w:val="0"/>
          <w:numId w:val="2"/>
        </w:numPr>
        <w:spacing w:after="80"/>
        <w:ind w:left="283" w:hanging="357"/>
        <w:contextualSpacing w:val="0"/>
        <w:jc w:val="both"/>
        <w:rPr>
          <w:rFonts w:asciiTheme="majorHAnsi" w:hAnsiTheme="majorHAnsi" w:cstheme="minorHAnsi"/>
          <w:sz w:val="20"/>
          <w:szCs w:val="20"/>
        </w:rPr>
      </w:pPr>
      <w:r w:rsidRPr="000A10A4">
        <w:rPr>
          <w:rFonts w:asciiTheme="majorHAnsi" w:hAnsiTheme="majorHAnsi" w:cstheme="minorHAnsi"/>
          <w:b/>
          <w:sz w:val="20"/>
          <w:szCs w:val="20"/>
        </w:rPr>
        <w:t xml:space="preserve">The TT </w:t>
      </w:r>
      <w:r w:rsidR="00280DA4" w:rsidRPr="000A10A4">
        <w:rPr>
          <w:rFonts w:asciiTheme="majorHAnsi" w:hAnsiTheme="majorHAnsi" w:cstheme="minorHAnsi"/>
          <w:b/>
          <w:sz w:val="20"/>
          <w:szCs w:val="20"/>
        </w:rPr>
        <w:t>is</w:t>
      </w:r>
      <w:r w:rsidRPr="000A10A4">
        <w:rPr>
          <w:rFonts w:asciiTheme="majorHAnsi" w:hAnsiTheme="majorHAnsi" w:cstheme="minorHAnsi"/>
          <w:b/>
          <w:sz w:val="20"/>
          <w:szCs w:val="20"/>
        </w:rPr>
        <w:t xml:space="preserve"> </w:t>
      </w:r>
      <w:r w:rsidR="00D03444" w:rsidRPr="000A10A4">
        <w:rPr>
          <w:rFonts w:asciiTheme="majorHAnsi" w:hAnsiTheme="majorHAnsi" w:cstheme="minorHAnsi"/>
          <w:b/>
          <w:sz w:val="20"/>
          <w:szCs w:val="20"/>
        </w:rPr>
        <w:t xml:space="preserve">the interagency </w:t>
      </w:r>
      <w:r w:rsidRPr="000A10A4">
        <w:rPr>
          <w:rFonts w:asciiTheme="majorHAnsi" w:hAnsiTheme="majorHAnsi" w:cstheme="minorHAnsi"/>
          <w:b/>
          <w:sz w:val="20"/>
          <w:szCs w:val="20"/>
        </w:rPr>
        <w:t>forum</w:t>
      </w:r>
      <w:r w:rsidR="00A4745F" w:rsidRPr="000A10A4">
        <w:rPr>
          <w:rFonts w:asciiTheme="majorHAnsi" w:hAnsiTheme="majorHAnsi" w:cstheme="minorHAnsi"/>
          <w:b/>
          <w:sz w:val="20"/>
          <w:szCs w:val="20"/>
        </w:rPr>
        <w:t xml:space="preserve"> for</w:t>
      </w:r>
      <w:r w:rsidRPr="000A10A4">
        <w:rPr>
          <w:rFonts w:asciiTheme="majorHAnsi" w:hAnsiTheme="majorHAnsi" w:cstheme="minorHAnsi"/>
          <w:b/>
          <w:sz w:val="20"/>
          <w:szCs w:val="20"/>
        </w:rPr>
        <w:t xml:space="preserve"> convening</w:t>
      </w:r>
      <w:r w:rsidR="00280DA4" w:rsidRPr="000A10A4">
        <w:rPr>
          <w:rFonts w:asciiTheme="majorHAnsi" w:hAnsiTheme="majorHAnsi" w:cstheme="minorHAnsi"/>
          <w:b/>
          <w:sz w:val="20"/>
          <w:szCs w:val="20"/>
        </w:rPr>
        <w:t>, presenting and validating</w:t>
      </w:r>
      <w:r w:rsidRPr="000A10A4">
        <w:rPr>
          <w:rFonts w:asciiTheme="majorHAnsi" w:hAnsiTheme="majorHAnsi" w:cstheme="minorHAnsi"/>
          <w:b/>
          <w:sz w:val="20"/>
          <w:szCs w:val="20"/>
        </w:rPr>
        <w:t xml:space="preserve"> views of the IASC</w:t>
      </w:r>
      <w:r w:rsidR="00CF5DBA" w:rsidRPr="000A10A4">
        <w:rPr>
          <w:rFonts w:asciiTheme="majorHAnsi" w:hAnsiTheme="majorHAnsi" w:cstheme="minorHAnsi"/>
          <w:b/>
          <w:sz w:val="20"/>
          <w:szCs w:val="20"/>
        </w:rPr>
        <w:t xml:space="preserve"> </w:t>
      </w:r>
      <w:r w:rsidR="00280DA4" w:rsidRPr="000A10A4">
        <w:rPr>
          <w:rFonts w:asciiTheme="majorHAnsi" w:hAnsiTheme="majorHAnsi" w:cstheme="minorHAnsi"/>
          <w:b/>
          <w:sz w:val="20"/>
          <w:szCs w:val="20"/>
        </w:rPr>
        <w:t>TT members</w:t>
      </w:r>
      <w:r w:rsidR="00280DA4" w:rsidRPr="000A10A4">
        <w:rPr>
          <w:rStyle w:val="FootnoteReference"/>
          <w:rFonts w:asciiTheme="majorHAnsi" w:hAnsiTheme="majorHAnsi" w:cstheme="minorHAnsi"/>
          <w:sz w:val="20"/>
          <w:szCs w:val="20"/>
        </w:rPr>
        <w:footnoteReference w:id="4"/>
      </w:r>
      <w:r w:rsidR="00280DA4" w:rsidRPr="000A10A4">
        <w:rPr>
          <w:rFonts w:asciiTheme="majorHAnsi" w:hAnsiTheme="majorHAnsi" w:cstheme="minorHAnsi"/>
          <w:sz w:val="20"/>
          <w:szCs w:val="20"/>
        </w:rPr>
        <w:t xml:space="preserve"> </w:t>
      </w:r>
      <w:r w:rsidR="00CF5DBA" w:rsidRPr="000A10A4">
        <w:rPr>
          <w:rFonts w:asciiTheme="majorHAnsi" w:hAnsiTheme="majorHAnsi" w:cstheme="minorHAnsi"/>
          <w:sz w:val="20"/>
          <w:szCs w:val="20"/>
        </w:rPr>
        <w:t>around the issue of strengthening the humanitarian-developmen</w:t>
      </w:r>
      <w:r w:rsidR="0037456D" w:rsidRPr="000A10A4">
        <w:rPr>
          <w:rFonts w:asciiTheme="majorHAnsi" w:hAnsiTheme="majorHAnsi" w:cstheme="minorHAnsi"/>
          <w:sz w:val="20"/>
          <w:szCs w:val="20"/>
        </w:rPr>
        <w:t>t</w:t>
      </w:r>
      <w:r w:rsidR="00280DA4" w:rsidRPr="000A10A4">
        <w:rPr>
          <w:rFonts w:asciiTheme="majorHAnsi" w:hAnsiTheme="majorHAnsi" w:cstheme="minorHAnsi"/>
          <w:sz w:val="20"/>
          <w:szCs w:val="20"/>
        </w:rPr>
        <w:t xml:space="preserve"> nexus</w:t>
      </w:r>
      <w:r w:rsidR="004B2B97" w:rsidRPr="000A10A4">
        <w:rPr>
          <w:rFonts w:asciiTheme="majorHAnsi" w:hAnsiTheme="majorHAnsi" w:cstheme="minorHAnsi"/>
          <w:sz w:val="20"/>
          <w:szCs w:val="20"/>
        </w:rPr>
        <w:t xml:space="preserve">. </w:t>
      </w:r>
      <w:r w:rsidR="002A2521" w:rsidRPr="000A10A4">
        <w:rPr>
          <w:rFonts w:asciiTheme="majorHAnsi" w:hAnsiTheme="majorHAnsi" w:cstheme="minorHAnsi"/>
          <w:sz w:val="20"/>
          <w:szCs w:val="20"/>
        </w:rPr>
        <w:t>In collaboration with the UNDG, i</w:t>
      </w:r>
      <w:r w:rsidR="004B2B97" w:rsidRPr="000A10A4">
        <w:rPr>
          <w:rFonts w:asciiTheme="majorHAnsi" w:hAnsiTheme="majorHAnsi" w:cstheme="minorHAnsi"/>
          <w:sz w:val="20"/>
          <w:szCs w:val="20"/>
        </w:rPr>
        <w:t xml:space="preserve">ts </w:t>
      </w:r>
      <w:r w:rsidR="00280DA4" w:rsidRPr="000A10A4">
        <w:rPr>
          <w:rFonts w:asciiTheme="majorHAnsi" w:hAnsiTheme="majorHAnsi" w:cstheme="minorHAnsi"/>
          <w:sz w:val="20"/>
          <w:szCs w:val="20"/>
        </w:rPr>
        <w:t>aim</w:t>
      </w:r>
      <w:r w:rsidR="004B2B97" w:rsidRPr="000A10A4">
        <w:rPr>
          <w:rFonts w:asciiTheme="majorHAnsi" w:hAnsiTheme="majorHAnsi" w:cstheme="minorHAnsi"/>
          <w:sz w:val="20"/>
          <w:szCs w:val="20"/>
        </w:rPr>
        <w:t xml:space="preserve"> is</w:t>
      </w:r>
      <w:r w:rsidR="00280DA4" w:rsidRPr="000A10A4">
        <w:rPr>
          <w:rFonts w:asciiTheme="majorHAnsi" w:hAnsiTheme="majorHAnsi" w:cstheme="minorHAnsi"/>
          <w:sz w:val="20"/>
          <w:szCs w:val="20"/>
        </w:rPr>
        <w:t xml:space="preserve"> to advance a collective narrative</w:t>
      </w:r>
      <w:r w:rsidR="005268CB" w:rsidRPr="000A10A4">
        <w:rPr>
          <w:rFonts w:asciiTheme="majorHAnsi" w:hAnsiTheme="majorHAnsi" w:cstheme="minorHAnsi"/>
          <w:sz w:val="20"/>
          <w:szCs w:val="20"/>
        </w:rPr>
        <w:t xml:space="preserve"> on this agenda</w:t>
      </w:r>
      <w:r w:rsidRPr="000A10A4">
        <w:rPr>
          <w:rFonts w:asciiTheme="majorHAnsi" w:hAnsiTheme="majorHAnsi" w:cstheme="minorHAnsi"/>
          <w:sz w:val="20"/>
          <w:szCs w:val="20"/>
        </w:rPr>
        <w:t>.</w:t>
      </w:r>
      <w:r w:rsidR="0037456D" w:rsidRPr="000A10A4">
        <w:rPr>
          <w:rFonts w:asciiTheme="majorHAnsi" w:hAnsiTheme="majorHAnsi" w:cstheme="minorHAnsi"/>
          <w:sz w:val="20"/>
          <w:szCs w:val="20"/>
        </w:rPr>
        <w:t xml:space="preserve"> </w:t>
      </w:r>
      <w:r w:rsidR="002331A2" w:rsidRPr="000A10A4">
        <w:rPr>
          <w:rFonts w:asciiTheme="majorHAnsi" w:hAnsiTheme="majorHAnsi" w:cstheme="minorHAnsi"/>
          <w:sz w:val="20"/>
          <w:szCs w:val="20"/>
        </w:rPr>
        <w:t>Guided</w:t>
      </w:r>
      <w:r w:rsidR="00D03444" w:rsidRPr="000A10A4">
        <w:rPr>
          <w:rFonts w:asciiTheme="majorHAnsi" w:hAnsiTheme="majorHAnsi" w:cstheme="minorHAnsi"/>
          <w:sz w:val="20"/>
          <w:szCs w:val="20"/>
          <w:lang w:val="en-GB"/>
        </w:rPr>
        <w:t xml:space="preserve"> by the IASC WG Workplan, t</w:t>
      </w:r>
      <w:r w:rsidR="00BE7870" w:rsidRPr="000A10A4">
        <w:rPr>
          <w:rFonts w:asciiTheme="majorHAnsi" w:hAnsiTheme="majorHAnsi" w:cstheme="minorHAnsi"/>
          <w:sz w:val="20"/>
          <w:szCs w:val="20"/>
          <w:lang w:val="en-GB"/>
        </w:rPr>
        <w:t>he TT purpose</w:t>
      </w:r>
      <w:r w:rsidR="00210793" w:rsidRPr="000A10A4">
        <w:rPr>
          <w:rFonts w:asciiTheme="majorHAnsi" w:hAnsiTheme="majorHAnsi" w:cstheme="minorHAnsi"/>
          <w:sz w:val="20"/>
          <w:szCs w:val="20"/>
          <w:lang w:val="en-GB"/>
        </w:rPr>
        <w:t xml:space="preserve"> </w:t>
      </w:r>
      <w:r w:rsidR="00BE7870" w:rsidRPr="000A10A4">
        <w:rPr>
          <w:rFonts w:asciiTheme="majorHAnsi" w:hAnsiTheme="majorHAnsi" w:cstheme="minorHAnsi"/>
          <w:sz w:val="20"/>
          <w:szCs w:val="20"/>
          <w:lang w:val="en-GB"/>
        </w:rPr>
        <w:t>is to</w:t>
      </w:r>
      <w:r w:rsidR="00470DCF" w:rsidRPr="000A10A4">
        <w:rPr>
          <w:rFonts w:asciiTheme="majorHAnsi" w:hAnsiTheme="majorHAnsi" w:cstheme="minorHAnsi"/>
          <w:sz w:val="20"/>
          <w:szCs w:val="20"/>
          <w:lang w:val="en-GB"/>
        </w:rPr>
        <w:t xml:space="preserve"> </w:t>
      </w:r>
      <w:proofErr w:type="spellStart"/>
      <w:r w:rsidR="00470DCF" w:rsidRPr="000A10A4">
        <w:rPr>
          <w:rFonts w:asciiTheme="majorHAnsi" w:hAnsiTheme="majorHAnsi" w:cstheme="minorHAnsi"/>
          <w:sz w:val="20"/>
          <w:szCs w:val="20"/>
          <w:lang w:val="en-GB"/>
        </w:rPr>
        <w:t>i</w:t>
      </w:r>
      <w:proofErr w:type="spellEnd"/>
      <w:r w:rsidR="00470DCF" w:rsidRPr="000A10A4">
        <w:rPr>
          <w:rFonts w:asciiTheme="majorHAnsi" w:hAnsiTheme="majorHAnsi" w:cstheme="minorHAnsi"/>
          <w:sz w:val="20"/>
          <w:szCs w:val="20"/>
          <w:lang w:val="en-GB"/>
        </w:rPr>
        <w:t>)</w:t>
      </w:r>
      <w:r w:rsidR="00BE7870" w:rsidRPr="000A10A4">
        <w:rPr>
          <w:rFonts w:asciiTheme="majorHAnsi" w:hAnsiTheme="majorHAnsi" w:cstheme="minorHAnsi"/>
          <w:sz w:val="20"/>
          <w:szCs w:val="20"/>
          <w:lang w:val="en-GB"/>
        </w:rPr>
        <w:t xml:space="preserve"> </w:t>
      </w:r>
      <w:r w:rsidR="00470DCF" w:rsidRPr="000A10A4">
        <w:rPr>
          <w:rFonts w:asciiTheme="majorHAnsi" w:hAnsiTheme="majorHAnsi" w:cstheme="minorHAnsi"/>
          <w:b/>
          <w:bCs/>
          <w:sz w:val="20"/>
          <w:szCs w:val="20"/>
          <w:lang w:val="en-GB"/>
        </w:rPr>
        <w:t>collect good practice from the field</w:t>
      </w:r>
      <w:r w:rsidR="00470DCF" w:rsidRPr="000A10A4">
        <w:rPr>
          <w:rFonts w:asciiTheme="majorHAnsi" w:hAnsiTheme="majorHAnsi" w:cstheme="minorHAnsi"/>
          <w:sz w:val="20"/>
          <w:szCs w:val="20"/>
          <w:lang w:val="en-GB"/>
        </w:rPr>
        <w:t xml:space="preserve">, analyse, validate, and map the developing work on the HDN; </w:t>
      </w:r>
      <w:r w:rsidR="00CF78B6" w:rsidRPr="000A10A4">
        <w:rPr>
          <w:rFonts w:asciiTheme="majorHAnsi" w:hAnsiTheme="majorHAnsi" w:cstheme="minorHAnsi"/>
          <w:sz w:val="20"/>
          <w:szCs w:val="20"/>
          <w:lang w:val="en-GB"/>
        </w:rPr>
        <w:t xml:space="preserve">ii) </w:t>
      </w:r>
      <w:r w:rsidR="00CF78B6" w:rsidRPr="000A10A4">
        <w:rPr>
          <w:rFonts w:asciiTheme="majorHAnsi" w:hAnsiTheme="majorHAnsi" w:cstheme="minorHAnsi"/>
          <w:b/>
          <w:bCs/>
          <w:sz w:val="20"/>
          <w:szCs w:val="20"/>
          <w:lang w:val="en-GB"/>
        </w:rPr>
        <w:t>establish</w:t>
      </w:r>
      <w:r w:rsidR="00470DCF" w:rsidRPr="000A10A4">
        <w:rPr>
          <w:rFonts w:asciiTheme="majorHAnsi" w:hAnsiTheme="majorHAnsi" w:cstheme="minorHAnsi"/>
          <w:b/>
          <w:bCs/>
          <w:sz w:val="20"/>
          <w:szCs w:val="20"/>
          <w:lang w:val="en-GB"/>
        </w:rPr>
        <w:t xml:space="preserve"> an exchange platform</w:t>
      </w:r>
      <w:r w:rsidR="00470DCF" w:rsidRPr="000A10A4">
        <w:rPr>
          <w:rFonts w:asciiTheme="majorHAnsi" w:hAnsiTheme="majorHAnsi" w:cstheme="minorHAnsi"/>
          <w:sz w:val="20"/>
          <w:szCs w:val="20"/>
          <w:lang w:val="en-GB"/>
        </w:rPr>
        <w:t>, collating, organising and redistributing/disseminating this material and sharing of information through a web based peer to peer system;</w:t>
      </w:r>
      <w:r w:rsidR="00CF78B6" w:rsidRPr="000A10A4">
        <w:rPr>
          <w:rFonts w:asciiTheme="majorHAnsi" w:hAnsiTheme="majorHAnsi" w:cstheme="minorHAnsi"/>
          <w:sz w:val="20"/>
          <w:szCs w:val="20"/>
          <w:lang w:val="en-GB"/>
        </w:rPr>
        <w:t xml:space="preserve"> iii)</w:t>
      </w:r>
      <w:r w:rsidR="00470DCF" w:rsidRPr="000A10A4">
        <w:rPr>
          <w:rFonts w:asciiTheme="majorHAnsi" w:hAnsiTheme="majorHAnsi" w:cstheme="minorHAnsi"/>
          <w:sz w:val="20"/>
          <w:szCs w:val="20"/>
          <w:lang w:val="en-GB"/>
        </w:rPr>
        <w:t xml:space="preserve"> </w:t>
      </w:r>
      <w:r w:rsidR="00470DCF" w:rsidRPr="000A10A4">
        <w:rPr>
          <w:rFonts w:asciiTheme="majorHAnsi" w:hAnsiTheme="majorHAnsi" w:cstheme="minorHAnsi"/>
          <w:b/>
          <w:bCs/>
          <w:sz w:val="20"/>
          <w:szCs w:val="20"/>
          <w:lang w:val="en-GB"/>
        </w:rPr>
        <w:t xml:space="preserve">identify policy gaps and recommend guidance </w:t>
      </w:r>
      <w:r w:rsidR="00470DCF" w:rsidRPr="000A10A4">
        <w:rPr>
          <w:rFonts w:asciiTheme="majorHAnsi" w:hAnsiTheme="majorHAnsi" w:cstheme="minorHAnsi"/>
          <w:sz w:val="20"/>
          <w:szCs w:val="20"/>
          <w:lang w:val="en-GB"/>
        </w:rPr>
        <w:t>aimed at operationalizing the NWoW, and clarifying linkages with other policy discussions, such as the Grand Bargain, the Prevention Agenda, and Sustaining Peace.</w:t>
      </w:r>
      <w:r w:rsidR="00470DCF" w:rsidRPr="000A10A4">
        <w:rPr>
          <w:rFonts w:asciiTheme="majorHAnsi" w:hAnsiTheme="majorHAnsi" w:cstheme="minorHAnsi"/>
          <w:sz w:val="20"/>
          <w:szCs w:val="20"/>
        </w:rPr>
        <w:t xml:space="preserve"> </w:t>
      </w:r>
    </w:p>
    <w:p w14:paraId="3E696DE5" w14:textId="6FAEA184" w:rsidR="00470DCF" w:rsidRPr="000A10A4" w:rsidRDefault="00470DCF" w:rsidP="00A420B5">
      <w:pPr>
        <w:pStyle w:val="ListParagraph"/>
        <w:numPr>
          <w:ilvl w:val="0"/>
          <w:numId w:val="2"/>
        </w:numPr>
        <w:spacing w:after="80"/>
        <w:ind w:left="283" w:hanging="357"/>
        <w:contextualSpacing w:val="0"/>
        <w:jc w:val="both"/>
        <w:rPr>
          <w:rFonts w:asciiTheme="majorHAnsi" w:hAnsiTheme="majorHAnsi" w:cstheme="minorHAnsi"/>
          <w:sz w:val="20"/>
          <w:szCs w:val="20"/>
        </w:rPr>
      </w:pPr>
      <w:r w:rsidRPr="000A10A4">
        <w:rPr>
          <w:rFonts w:asciiTheme="majorHAnsi" w:hAnsiTheme="majorHAnsi" w:cstheme="minorHAnsi"/>
          <w:sz w:val="20"/>
          <w:szCs w:val="20"/>
        </w:rPr>
        <w:t xml:space="preserve">This entails that the TT, in collaboration with the UNDG’s relevant Results Groups, shepherd substantive policy and field support discussions at the interagency level on strengthening the linkages between humanitarian and development workstreams. Lastly, The TT </w:t>
      </w:r>
      <w:r w:rsidR="00CF78B6" w:rsidRPr="000A10A4">
        <w:rPr>
          <w:rFonts w:asciiTheme="majorHAnsi" w:hAnsiTheme="majorHAnsi" w:cstheme="minorHAnsi"/>
          <w:sz w:val="20"/>
          <w:szCs w:val="20"/>
        </w:rPr>
        <w:t>will serve as the</w:t>
      </w:r>
      <w:r w:rsidRPr="000A10A4">
        <w:rPr>
          <w:rFonts w:asciiTheme="majorHAnsi" w:hAnsiTheme="majorHAnsi" w:cstheme="minorHAnsi"/>
          <w:sz w:val="20"/>
          <w:szCs w:val="20"/>
        </w:rPr>
        <w:t xml:space="preserve"> IASC’s depository from which to draw for substantive input into other interlinked processes such as the Grand Bargain Workstream 10 and the UN WB Partnership on the Humanitarian Development Peace Initiative (HDPI).</w:t>
      </w:r>
    </w:p>
    <w:p w14:paraId="455B3AAA" w14:textId="77777777" w:rsidR="00A4745F" w:rsidRPr="000A10A4" w:rsidRDefault="00A4745F" w:rsidP="00404E53">
      <w:pPr>
        <w:spacing w:after="80"/>
        <w:rPr>
          <w:rFonts w:ascii="Cambria" w:hAnsi="Cambria" w:cstheme="minorHAnsi"/>
          <w:b/>
          <w:bCs/>
          <w:sz w:val="20"/>
          <w:szCs w:val="20"/>
        </w:rPr>
      </w:pPr>
      <w:r w:rsidRPr="000A10A4">
        <w:rPr>
          <w:rFonts w:ascii="Cambria" w:hAnsi="Cambria" w:cstheme="minorHAnsi"/>
          <w:b/>
          <w:bCs/>
          <w:sz w:val="20"/>
          <w:szCs w:val="20"/>
        </w:rPr>
        <w:t>What the Task Team do</w:t>
      </w:r>
      <w:r w:rsidR="005268CB" w:rsidRPr="000A10A4">
        <w:rPr>
          <w:rFonts w:ascii="Cambria" w:hAnsi="Cambria" w:cstheme="minorHAnsi"/>
          <w:b/>
          <w:bCs/>
          <w:sz w:val="20"/>
          <w:szCs w:val="20"/>
        </w:rPr>
        <w:t>es</w:t>
      </w:r>
      <w:r w:rsidRPr="000A10A4">
        <w:rPr>
          <w:rFonts w:ascii="Cambria" w:hAnsi="Cambria" w:cstheme="minorHAnsi"/>
          <w:b/>
          <w:bCs/>
          <w:sz w:val="20"/>
          <w:szCs w:val="20"/>
        </w:rPr>
        <w:t>:</w:t>
      </w:r>
    </w:p>
    <w:p w14:paraId="57E66ED0" w14:textId="3CAEC8EB" w:rsidR="000D3630" w:rsidRPr="000A10A4" w:rsidRDefault="009D6001" w:rsidP="002E5C41">
      <w:pPr>
        <w:pStyle w:val="ListParagraph"/>
        <w:numPr>
          <w:ilvl w:val="0"/>
          <w:numId w:val="2"/>
        </w:numPr>
        <w:spacing w:after="80"/>
        <w:ind w:left="284" w:hanging="284"/>
        <w:contextualSpacing w:val="0"/>
        <w:jc w:val="both"/>
        <w:rPr>
          <w:rFonts w:ascii="Cambria" w:hAnsi="Cambria" w:cstheme="minorHAnsi"/>
          <w:sz w:val="20"/>
          <w:szCs w:val="20"/>
        </w:rPr>
      </w:pPr>
      <w:r w:rsidRPr="000A10A4">
        <w:rPr>
          <w:rFonts w:ascii="Cambria" w:hAnsi="Cambria" w:cstheme="minorHAnsi"/>
          <w:sz w:val="20"/>
          <w:szCs w:val="20"/>
        </w:rPr>
        <w:t>The</w:t>
      </w:r>
      <w:r w:rsidR="00A4745F" w:rsidRPr="000A10A4">
        <w:rPr>
          <w:rFonts w:ascii="Cambria" w:hAnsi="Cambria" w:cstheme="minorHAnsi"/>
          <w:sz w:val="20"/>
          <w:szCs w:val="20"/>
        </w:rPr>
        <w:t xml:space="preserve"> TT </w:t>
      </w:r>
      <w:r w:rsidR="00040E4F" w:rsidRPr="000A10A4">
        <w:rPr>
          <w:rFonts w:ascii="Cambria" w:hAnsi="Cambria" w:cstheme="minorHAnsi"/>
          <w:sz w:val="20"/>
          <w:szCs w:val="20"/>
        </w:rPr>
        <w:t>is</w:t>
      </w:r>
      <w:r w:rsidR="00A4745F" w:rsidRPr="000A10A4">
        <w:rPr>
          <w:rFonts w:ascii="Cambria" w:hAnsi="Cambria" w:cstheme="minorHAnsi"/>
          <w:sz w:val="20"/>
          <w:szCs w:val="20"/>
        </w:rPr>
        <w:t xml:space="preserve"> </w:t>
      </w:r>
      <w:r w:rsidR="002331A2" w:rsidRPr="000A10A4">
        <w:rPr>
          <w:rFonts w:ascii="Cambria" w:hAnsi="Cambria" w:cstheme="minorHAnsi"/>
          <w:sz w:val="20"/>
          <w:szCs w:val="20"/>
        </w:rPr>
        <w:t>time-bound</w:t>
      </w:r>
      <w:r w:rsidR="00A4745F" w:rsidRPr="000A10A4">
        <w:rPr>
          <w:rFonts w:ascii="Cambria" w:hAnsi="Cambria" w:cstheme="minorHAnsi"/>
          <w:sz w:val="20"/>
          <w:szCs w:val="20"/>
        </w:rPr>
        <w:t xml:space="preserve"> and will work through both its agreed workplan of activities as elaborated in the draft workplan, as well as th</w:t>
      </w:r>
      <w:r w:rsidR="0037456D" w:rsidRPr="000A10A4">
        <w:rPr>
          <w:rFonts w:ascii="Cambria" w:hAnsi="Cambria" w:cstheme="minorHAnsi"/>
          <w:sz w:val="20"/>
          <w:szCs w:val="20"/>
        </w:rPr>
        <w:t>r</w:t>
      </w:r>
      <w:r w:rsidR="00A4745F" w:rsidRPr="000A10A4">
        <w:rPr>
          <w:rFonts w:ascii="Cambria" w:hAnsi="Cambria" w:cstheme="minorHAnsi"/>
          <w:sz w:val="20"/>
          <w:szCs w:val="20"/>
        </w:rPr>
        <w:t xml:space="preserve">ough the Plan of Action between the IASC HDN TT and the UN Working Group on Transitions (pending its </w:t>
      </w:r>
      <w:r w:rsidR="0023768E" w:rsidRPr="000A10A4">
        <w:rPr>
          <w:rFonts w:ascii="Cambria" w:hAnsi="Cambria" w:cstheme="minorHAnsi"/>
          <w:sz w:val="20"/>
          <w:szCs w:val="20"/>
        </w:rPr>
        <w:t xml:space="preserve">reconvening </w:t>
      </w:r>
      <w:r w:rsidR="00040E4F" w:rsidRPr="000A10A4">
        <w:rPr>
          <w:rFonts w:ascii="Cambria" w:hAnsi="Cambria" w:cstheme="minorHAnsi"/>
          <w:sz w:val="20"/>
          <w:szCs w:val="20"/>
        </w:rPr>
        <w:t>in new outfit</w:t>
      </w:r>
      <w:r w:rsidR="00A4745F" w:rsidRPr="000A10A4">
        <w:rPr>
          <w:rFonts w:ascii="Cambria" w:hAnsi="Cambria" w:cstheme="minorHAnsi"/>
          <w:sz w:val="20"/>
          <w:szCs w:val="20"/>
        </w:rPr>
        <w:t>)</w:t>
      </w:r>
      <w:r w:rsidR="00C37F25" w:rsidRPr="000A10A4">
        <w:rPr>
          <w:rFonts w:ascii="Cambria" w:hAnsi="Cambria" w:cstheme="minorHAnsi"/>
          <w:sz w:val="20"/>
          <w:szCs w:val="20"/>
        </w:rPr>
        <w:t>.</w:t>
      </w:r>
      <w:r w:rsidR="002E5C41" w:rsidRPr="000A10A4">
        <w:rPr>
          <w:rFonts w:ascii="Cambria" w:hAnsi="Cambria" w:cstheme="minorHAnsi"/>
          <w:sz w:val="20"/>
          <w:szCs w:val="20"/>
        </w:rPr>
        <w:t xml:space="preserve"> </w:t>
      </w:r>
      <w:r w:rsidR="00040E4F" w:rsidRPr="000A10A4">
        <w:rPr>
          <w:rFonts w:ascii="Cambria" w:hAnsi="Cambria" w:cstheme="minorHAnsi"/>
          <w:sz w:val="20"/>
          <w:szCs w:val="20"/>
        </w:rPr>
        <w:t>T</w:t>
      </w:r>
      <w:r w:rsidR="00A4745F" w:rsidRPr="000A10A4">
        <w:rPr>
          <w:rFonts w:ascii="Cambria" w:hAnsi="Cambria" w:cstheme="minorHAnsi"/>
          <w:sz w:val="20"/>
          <w:szCs w:val="20"/>
        </w:rPr>
        <w:t xml:space="preserve">he </w:t>
      </w:r>
      <w:r w:rsidR="00CF78B6" w:rsidRPr="000A10A4">
        <w:rPr>
          <w:rFonts w:ascii="Cambria" w:hAnsi="Cambria" w:cstheme="minorHAnsi"/>
          <w:sz w:val="20"/>
          <w:szCs w:val="20"/>
        </w:rPr>
        <w:t xml:space="preserve">WGs asks the </w:t>
      </w:r>
      <w:r w:rsidR="00A4745F" w:rsidRPr="000A10A4">
        <w:rPr>
          <w:rFonts w:ascii="Cambria" w:hAnsi="Cambria" w:cstheme="minorHAnsi"/>
          <w:sz w:val="20"/>
          <w:szCs w:val="20"/>
        </w:rPr>
        <w:t xml:space="preserve">TT </w:t>
      </w:r>
      <w:r w:rsidR="00040E4F" w:rsidRPr="000A10A4">
        <w:rPr>
          <w:rFonts w:ascii="Cambria" w:hAnsi="Cambria" w:cstheme="minorHAnsi"/>
          <w:sz w:val="20"/>
          <w:szCs w:val="20"/>
        </w:rPr>
        <w:t xml:space="preserve">and its members </w:t>
      </w:r>
      <w:r w:rsidR="00CF78B6" w:rsidRPr="000A10A4">
        <w:rPr>
          <w:rFonts w:ascii="Cambria" w:hAnsi="Cambria" w:cstheme="minorHAnsi"/>
          <w:sz w:val="20"/>
          <w:szCs w:val="20"/>
        </w:rPr>
        <w:t xml:space="preserve">to </w:t>
      </w:r>
      <w:r w:rsidR="00A4745F" w:rsidRPr="000A10A4">
        <w:rPr>
          <w:rFonts w:ascii="Cambria" w:hAnsi="Cambria" w:cstheme="minorHAnsi"/>
          <w:sz w:val="20"/>
          <w:szCs w:val="20"/>
        </w:rPr>
        <w:t xml:space="preserve">organize </w:t>
      </w:r>
      <w:r w:rsidR="00040E4F" w:rsidRPr="000A10A4">
        <w:rPr>
          <w:rFonts w:ascii="Cambria" w:hAnsi="Cambria" w:cstheme="minorHAnsi"/>
          <w:sz w:val="20"/>
          <w:szCs w:val="20"/>
        </w:rPr>
        <w:t xml:space="preserve">its </w:t>
      </w:r>
      <w:r w:rsidR="00A4745F" w:rsidRPr="000A10A4">
        <w:rPr>
          <w:rFonts w:ascii="Cambria" w:hAnsi="Cambria" w:cstheme="minorHAnsi"/>
          <w:sz w:val="20"/>
          <w:szCs w:val="20"/>
        </w:rPr>
        <w:t>work to</w:t>
      </w:r>
      <w:r w:rsidR="006F44DD" w:rsidRPr="000A10A4">
        <w:rPr>
          <w:rFonts w:ascii="Cambria" w:hAnsi="Cambria" w:cstheme="minorHAnsi"/>
          <w:sz w:val="20"/>
          <w:szCs w:val="20"/>
        </w:rPr>
        <w:t>:</w:t>
      </w:r>
    </w:p>
    <w:p w14:paraId="3E360059" w14:textId="3A76CFE5" w:rsidR="000D3630" w:rsidRPr="000A10A4" w:rsidRDefault="00A973CF" w:rsidP="00404E53">
      <w:pPr>
        <w:pStyle w:val="ListParagraph"/>
        <w:numPr>
          <w:ilvl w:val="1"/>
          <w:numId w:val="2"/>
        </w:numPr>
        <w:spacing w:after="80"/>
        <w:ind w:left="993" w:hanging="284"/>
        <w:contextualSpacing w:val="0"/>
        <w:jc w:val="both"/>
        <w:rPr>
          <w:rFonts w:ascii="Cambria" w:hAnsi="Cambria" w:cstheme="minorHAnsi"/>
          <w:sz w:val="20"/>
          <w:szCs w:val="20"/>
        </w:rPr>
      </w:pPr>
      <w:r w:rsidRPr="000A10A4">
        <w:rPr>
          <w:rFonts w:ascii="Cambria" w:hAnsi="Cambria" w:cstheme="minorHAnsi"/>
          <w:b/>
          <w:sz w:val="20"/>
          <w:szCs w:val="20"/>
        </w:rPr>
        <w:lastRenderedPageBreak/>
        <w:t>Coordinate information flows:</w:t>
      </w:r>
      <w:r w:rsidRPr="000A10A4">
        <w:rPr>
          <w:rFonts w:ascii="Cambria" w:hAnsi="Cambria" w:cstheme="minorHAnsi"/>
          <w:sz w:val="20"/>
          <w:szCs w:val="20"/>
        </w:rPr>
        <w:t xml:space="preserve"> </w:t>
      </w:r>
      <w:r w:rsidR="000D3630" w:rsidRPr="000A10A4">
        <w:rPr>
          <w:rFonts w:ascii="Cambria" w:hAnsi="Cambria" w:cstheme="minorHAnsi"/>
          <w:sz w:val="20"/>
          <w:szCs w:val="20"/>
        </w:rPr>
        <w:t>S</w:t>
      </w:r>
      <w:r w:rsidR="00A4745F" w:rsidRPr="000A10A4">
        <w:rPr>
          <w:rFonts w:ascii="Cambria" w:hAnsi="Cambria" w:cstheme="minorHAnsi"/>
          <w:sz w:val="20"/>
          <w:szCs w:val="20"/>
        </w:rPr>
        <w:t xml:space="preserve">hape </w:t>
      </w:r>
      <w:r w:rsidR="006F44DD" w:rsidRPr="000A10A4">
        <w:rPr>
          <w:rFonts w:ascii="Cambria" w:hAnsi="Cambria" w:cstheme="minorHAnsi"/>
          <w:sz w:val="20"/>
          <w:szCs w:val="20"/>
        </w:rPr>
        <w:t>a</w:t>
      </w:r>
      <w:r w:rsidR="00A4745F" w:rsidRPr="000A10A4">
        <w:rPr>
          <w:rFonts w:ascii="Cambria" w:hAnsi="Cambria" w:cstheme="minorHAnsi"/>
          <w:sz w:val="20"/>
          <w:szCs w:val="20"/>
        </w:rPr>
        <w:t xml:space="preserve"> common understanding of what is required to strengthen the humanitarian</w:t>
      </w:r>
      <w:r w:rsidR="00C37F25" w:rsidRPr="000A10A4">
        <w:rPr>
          <w:rFonts w:ascii="Cambria" w:hAnsi="Cambria" w:cstheme="minorHAnsi"/>
          <w:sz w:val="20"/>
          <w:szCs w:val="20"/>
        </w:rPr>
        <w:t xml:space="preserve"> -</w:t>
      </w:r>
      <w:r w:rsidR="00A4745F" w:rsidRPr="000A10A4">
        <w:rPr>
          <w:rFonts w:ascii="Cambria" w:hAnsi="Cambria" w:cstheme="minorHAnsi"/>
          <w:sz w:val="20"/>
          <w:szCs w:val="20"/>
        </w:rPr>
        <w:t xml:space="preserve">development and peacebuilding nexus; </w:t>
      </w:r>
      <w:proofErr w:type="gramStart"/>
      <w:r w:rsidR="00BE7870" w:rsidRPr="000A10A4">
        <w:rPr>
          <w:rFonts w:ascii="Cambria" w:hAnsi="Cambria" w:cstheme="minorHAnsi"/>
          <w:sz w:val="20"/>
          <w:szCs w:val="20"/>
        </w:rPr>
        <w:t>In particular</w:t>
      </w:r>
      <w:proofErr w:type="gramEnd"/>
      <w:r w:rsidR="00040E4F" w:rsidRPr="000A10A4">
        <w:rPr>
          <w:rFonts w:ascii="Cambria" w:hAnsi="Cambria" w:cstheme="minorHAnsi"/>
          <w:sz w:val="20"/>
          <w:szCs w:val="20"/>
        </w:rPr>
        <w:t xml:space="preserve"> by</w:t>
      </w:r>
    </w:p>
    <w:p w14:paraId="38B8278E" w14:textId="77777777" w:rsidR="00A973CF" w:rsidRPr="000A10A4" w:rsidRDefault="00A973CF" w:rsidP="00404E53">
      <w:pPr>
        <w:pStyle w:val="ListParagraph"/>
        <w:numPr>
          <w:ilvl w:val="2"/>
          <w:numId w:val="2"/>
        </w:numPr>
        <w:spacing w:after="80"/>
        <w:ind w:left="1843" w:hanging="142"/>
        <w:contextualSpacing w:val="0"/>
        <w:jc w:val="both"/>
        <w:rPr>
          <w:rFonts w:ascii="Cambria" w:hAnsi="Cambria" w:cstheme="minorHAnsi"/>
          <w:sz w:val="20"/>
          <w:szCs w:val="20"/>
        </w:rPr>
      </w:pPr>
      <w:r w:rsidRPr="000A10A4">
        <w:rPr>
          <w:rFonts w:ascii="Cambria" w:hAnsi="Cambria" w:cstheme="minorHAnsi"/>
          <w:sz w:val="20"/>
          <w:szCs w:val="20"/>
        </w:rPr>
        <w:t>Establishing and maintaining a</w:t>
      </w:r>
      <w:r w:rsidR="003E62B3" w:rsidRPr="000A10A4">
        <w:rPr>
          <w:rFonts w:ascii="Cambria" w:hAnsi="Cambria" w:cstheme="minorHAnsi"/>
          <w:sz w:val="20"/>
          <w:szCs w:val="20"/>
        </w:rPr>
        <w:t>n</w:t>
      </w:r>
      <w:r w:rsidRPr="000A10A4">
        <w:rPr>
          <w:rFonts w:ascii="Cambria" w:hAnsi="Cambria" w:cstheme="minorHAnsi"/>
          <w:sz w:val="20"/>
          <w:szCs w:val="20"/>
        </w:rPr>
        <w:t xml:space="preserve"> open-source coordination platform to map and communicate existing global processes, initiatives, and mechanisms, operational tools, and field-level activities. It will serve as a living resource for field and policy practitioners. </w:t>
      </w:r>
    </w:p>
    <w:p w14:paraId="0BD24888" w14:textId="6534E1E8" w:rsidR="00103514" w:rsidRPr="000A10A4" w:rsidRDefault="00103514">
      <w:pPr>
        <w:pStyle w:val="ListParagraph"/>
        <w:numPr>
          <w:ilvl w:val="2"/>
          <w:numId w:val="2"/>
        </w:numPr>
        <w:spacing w:after="80"/>
        <w:ind w:left="1843" w:hanging="142"/>
        <w:contextualSpacing w:val="0"/>
        <w:jc w:val="both"/>
        <w:rPr>
          <w:rFonts w:ascii="Cambria" w:hAnsi="Cambria" w:cstheme="minorHAnsi"/>
          <w:sz w:val="20"/>
          <w:szCs w:val="20"/>
        </w:rPr>
      </w:pPr>
      <w:r w:rsidRPr="000A10A4">
        <w:rPr>
          <w:rFonts w:ascii="Cambria" w:hAnsi="Cambria" w:cstheme="minorHAnsi"/>
          <w:sz w:val="20"/>
          <w:szCs w:val="20"/>
        </w:rPr>
        <w:t xml:space="preserve">Key messages and common narrative on the nexus. </w:t>
      </w:r>
      <w:r w:rsidR="00040E4F" w:rsidRPr="000A10A4">
        <w:rPr>
          <w:rFonts w:ascii="Cambria" w:hAnsi="Cambria" w:cstheme="minorHAnsi"/>
          <w:sz w:val="20"/>
          <w:szCs w:val="20"/>
        </w:rPr>
        <w:t>C</w:t>
      </w:r>
      <w:r w:rsidRPr="000A10A4">
        <w:rPr>
          <w:rFonts w:ascii="Cambria" w:hAnsi="Cambria" w:cstheme="minorHAnsi"/>
          <w:sz w:val="20"/>
          <w:szCs w:val="20"/>
        </w:rPr>
        <w:t>onfirmed by the results of the RC</w:t>
      </w:r>
      <w:r w:rsidR="00FB3D4D">
        <w:rPr>
          <w:rFonts w:ascii="Cambria" w:hAnsi="Cambria" w:cstheme="minorHAnsi"/>
          <w:sz w:val="20"/>
          <w:szCs w:val="20"/>
        </w:rPr>
        <w:t>/</w:t>
      </w:r>
      <w:r w:rsidRPr="000A10A4">
        <w:rPr>
          <w:rFonts w:ascii="Cambria" w:hAnsi="Cambria" w:cstheme="minorHAnsi"/>
          <w:sz w:val="20"/>
          <w:szCs w:val="20"/>
        </w:rPr>
        <w:t xml:space="preserve"> </w:t>
      </w:r>
      <w:r w:rsidR="00FB3D4D">
        <w:rPr>
          <w:rFonts w:ascii="Cambria" w:hAnsi="Cambria" w:cstheme="minorHAnsi"/>
          <w:sz w:val="20"/>
          <w:szCs w:val="20"/>
        </w:rPr>
        <w:t xml:space="preserve">HC </w:t>
      </w:r>
      <w:r w:rsidRPr="000A10A4">
        <w:rPr>
          <w:rFonts w:ascii="Cambria" w:hAnsi="Cambria" w:cstheme="minorHAnsi"/>
          <w:sz w:val="20"/>
          <w:szCs w:val="20"/>
        </w:rPr>
        <w:t xml:space="preserve">survey, there is a growing sense </w:t>
      </w:r>
      <w:r w:rsidR="00040E4F" w:rsidRPr="000A10A4">
        <w:rPr>
          <w:rFonts w:ascii="Cambria" w:hAnsi="Cambria" w:cstheme="minorHAnsi"/>
          <w:sz w:val="20"/>
          <w:szCs w:val="20"/>
        </w:rPr>
        <w:t xml:space="preserve">of </w:t>
      </w:r>
      <w:r w:rsidRPr="000A10A4">
        <w:rPr>
          <w:rFonts w:ascii="Cambria" w:hAnsi="Cambria" w:cstheme="minorHAnsi"/>
          <w:sz w:val="20"/>
          <w:szCs w:val="20"/>
        </w:rPr>
        <w:t>confusion at the multiple sources of information and messaging on the NWoW. The NWoW can only advance through concerted collective messaging.</w:t>
      </w:r>
      <w:r w:rsidR="00FB3D4D">
        <w:rPr>
          <w:rFonts w:ascii="Cambria" w:hAnsi="Cambria" w:cstheme="minorHAnsi"/>
          <w:sz w:val="20"/>
          <w:szCs w:val="20"/>
        </w:rPr>
        <w:t xml:space="preserve"> </w:t>
      </w:r>
      <w:r w:rsidR="00FB3D4D" w:rsidRPr="000A10A4">
        <w:rPr>
          <w:rFonts w:ascii="Cambria" w:hAnsi="Cambria" w:cstheme="minorHAnsi"/>
          <w:sz w:val="20"/>
          <w:szCs w:val="20"/>
        </w:rPr>
        <w:t>This is an activity with UNDG, through the joint Plan of Action.</w:t>
      </w:r>
    </w:p>
    <w:p w14:paraId="1D3549FF" w14:textId="65BD59C9" w:rsidR="00A973CF" w:rsidRPr="000A10A4" w:rsidRDefault="00A973CF">
      <w:pPr>
        <w:pStyle w:val="ListParagraph"/>
        <w:numPr>
          <w:ilvl w:val="2"/>
          <w:numId w:val="2"/>
        </w:numPr>
        <w:spacing w:after="80"/>
        <w:ind w:left="1843" w:hanging="142"/>
        <w:contextualSpacing w:val="0"/>
        <w:jc w:val="both"/>
        <w:rPr>
          <w:rFonts w:ascii="Cambria" w:hAnsi="Cambria" w:cstheme="minorHAnsi"/>
          <w:sz w:val="20"/>
          <w:szCs w:val="20"/>
        </w:rPr>
      </w:pPr>
      <w:r w:rsidRPr="000A10A4">
        <w:rPr>
          <w:rFonts w:ascii="Cambria" w:hAnsi="Cambria" w:cstheme="minorHAnsi"/>
          <w:sz w:val="20"/>
          <w:szCs w:val="20"/>
        </w:rPr>
        <w:t xml:space="preserve">Gathering evidence from </w:t>
      </w:r>
      <w:r w:rsidR="000A10A4">
        <w:rPr>
          <w:rFonts w:ascii="Cambria" w:hAnsi="Cambria" w:cstheme="minorHAnsi"/>
          <w:sz w:val="20"/>
          <w:szCs w:val="20"/>
        </w:rPr>
        <w:t>field implementation with UN,</w:t>
      </w:r>
      <w:r w:rsidRPr="000A10A4">
        <w:rPr>
          <w:rFonts w:ascii="Cambria" w:hAnsi="Cambria" w:cstheme="minorHAnsi"/>
          <w:sz w:val="20"/>
          <w:szCs w:val="20"/>
        </w:rPr>
        <w:t xml:space="preserve"> NGOs and civil society to establish a compendium of these practices. This will be done through a light methodology and questionnaire to systematize the collection of data around the NWoW. This is an activity with UNDG, through the joint Plan of Action.</w:t>
      </w:r>
    </w:p>
    <w:p w14:paraId="20648525" w14:textId="79B88FBB" w:rsidR="000D3630" w:rsidRPr="000A10A4" w:rsidRDefault="00103514">
      <w:pPr>
        <w:pStyle w:val="ListParagraph"/>
        <w:numPr>
          <w:ilvl w:val="1"/>
          <w:numId w:val="2"/>
        </w:numPr>
        <w:spacing w:after="80"/>
        <w:ind w:left="993" w:hanging="284"/>
        <w:contextualSpacing w:val="0"/>
        <w:jc w:val="both"/>
        <w:rPr>
          <w:rFonts w:ascii="Cambria" w:hAnsi="Cambria" w:cstheme="minorHAnsi"/>
          <w:sz w:val="20"/>
          <w:szCs w:val="20"/>
        </w:rPr>
      </w:pPr>
      <w:r w:rsidRPr="000A10A4">
        <w:rPr>
          <w:rFonts w:ascii="Cambria" w:hAnsi="Cambria" w:cstheme="minorHAnsi"/>
          <w:b/>
          <w:sz w:val="20"/>
          <w:szCs w:val="20"/>
        </w:rPr>
        <w:t>R</w:t>
      </w:r>
      <w:r w:rsidR="00A4745F" w:rsidRPr="000A10A4">
        <w:rPr>
          <w:rFonts w:ascii="Cambria" w:hAnsi="Cambria" w:cstheme="minorHAnsi"/>
          <w:b/>
          <w:sz w:val="20"/>
          <w:szCs w:val="20"/>
        </w:rPr>
        <w:t xml:space="preserve">eview and assess current </w:t>
      </w:r>
      <w:r w:rsidR="00FB3D4D">
        <w:rPr>
          <w:rFonts w:ascii="Cambria" w:hAnsi="Cambria" w:cstheme="minorHAnsi"/>
          <w:b/>
          <w:sz w:val="20"/>
          <w:szCs w:val="20"/>
        </w:rPr>
        <w:t xml:space="preserve">humanitarian </w:t>
      </w:r>
      <w:r w:rsidR="00A4745F" w:rsidRPr="000A10A4">
        <w:rPr>
          <w:rFonts w:ascii="Cambria" w:hAnsi="Cambria" w:cstheme="minorHAnsi"/>
          <w:b/>
          <w:sz w:val="20"/>
          <w:szCs w:val="20"/>
        </w:rPr>
        <w:t>policy, guidance and operational tools</w:t>
      </w:r>
      <w:r w:rsidR="00A4745F" w:rsidRPr="000A10A4">
        <w:rPr>
          <w:rFonts w:ascii="Cambria" w:hAnsi="Cambria" w:cstheme="minorHAnsi"/>
          <w:sz w:val="20"/>
          <w:szCs w:val="20"/>
        </w:rPr>
        <w:t xml:space="preserve"> on common understanding to identify gaps and best practice;</w:t>
      </w:r>
      <w:r w:rsidRPr="000A10A4">
        <w:rPr>
          <w:rFonts w:ascii="Cambria" w:hAnsi="Cambria" w:cstheme="minorHAnsi"/>
          <w:sz w:val="20"/>
          <w:szCs w:val="20"/>
        </w:rPr>
        <w:t xml:space="preserve"> </w:t>
      </w:r>
      <w:proofErr w:type="gramStart"/>
      <w:r w:rsidRPr="000A10A4">
        <w:rPr>
          <w:rFonts w:ascii="Cambria" w:hAnsi="Cambria" w:cstheme="minorHAnsi"/>
          <w:sz w:val="20"/>
          <w:szCs w:val="20"/>
        </w:rPr>
        <w:t>in particular</w:t>
      </w:r>
      <w:proofErr w:type="gramEnd"/>
      <w:r w:rsidRPr="000A10A4">
        <w:rPr>
          <w:rFonts w:ascii="Cambria" w:hAnsi="Cambria" w:cstheme="minorHAnsi"/>
          <w:sz w:val="20"/>
          <w:szCs w:val="20"/>
        </w:rPr>
        <w:t xml:space="preserve"> by</w:t>
      </w:r>
    </w:p>
    <w:p w14:paraId="4B54972F" w14:textId="77777777" w:rsidR="00A973CF" w:rsidRPr="000A10A4" w:rsidRDefault="00A973CF">
      <w:pPr>
        <w:pStyle w:val="ListParagraph"/>
        <w:numPr>
          <w:ilvl w:val="2"/>
          <w:numId w:val="2"/>
        </w:numPr>
        <w:spacing w:after="80"/>
        <w:ind w:left="1843" w:hanging="142"/>
        <w:contextualSpacing w:val="0"/>
        <w:jc w:val="both"/>
        <w:rPr>
          <w:rFonts w:ascii="Cambria" w:hAnsi="Cambria" w:cstheme="minorHAnsi"/>
          <w:sz w:val="20"/>
          <w:szCs w:val="20"/>
        </w:rPr>
      </w:pPr>
      <w:r w:rsidRPr="000A10A4">
        <w:rPr>
          <w:rFonts w:ascii="Cambria" w:hAnsi="Cambria" w:cstheme="minorHAnsi"/>
          <w:sz w:val="20"/>
          <w:szCs w:val="20"/>
        </w:rPr>
        <w:t>Expanding on the typologies of response scenarios. An important element is on how the imperative to protect humanitarian space and principles fit in, particularly in situations of conflict. Different types of settings will require a different blend of planning tools and analysis, as well as to what extent humanitarian actors can and should engage with other actors.</w:t>
      </w:r>
    </w:p>
    <w:p w14:paraId="0738CF81" w14:textId="71D766EB" w:rsidR="00A973CF" w:rsidRPr="000A10A4" w:rsidRDefault="00A973CF">
      <w:pPr>
        <w:pStyle w:val="ListParagraph"/>
        <w:numPr>
          <w:ilvl w:val="2"/>
          <w:numId w:val="2"/>
        </w:numPr>
        <w:spacing w:after="80"/>
        <w:ind w:left="1843" w:hanging="142"/>
        <w:contextualSpacing w:val="0"/>
        <w:jc w:val="both"/>
        <w:rPr>
          <w:rFonts w:ascii="Cambria" w:hAnsi="Cambria" w:cstheme="minorHAnsi"/>
          <w:sz w:val="20"/>
          <w:szCs w:val="20"/>
        </w:rPr>
      </w:pPr>
      <w:r w:rsidRPr="000A10A4">
        <w:rPr>
          <w:rFonts w:ascii="Cambria" w:hAnsi="Cambria" w:cstheme="minorHAnsi"/>
          <w:sz w:val="20"/>
          <w:szCs w:val="20"/>
        </w:rPr>
        <w:t xml:space="preserve">Understanding linkages with sustaining peace and prevention. The Sustaining Peace resolutions stress the importance of coherence and complementarity between the United Nations’ peace and security efforts and its development, human rights and humanitarian work. </w:t>
      </w:r>
      <w:r w:rsidR="00470DCF" w:rsidRPr="000A10A4">
        <w:rPr>
          <w:rFonts w:ascii="Cambria" w:hAnsi="Cambria" w:cstheme="minorHAnsi"/>
          <w:sz w:val="20"/>
          <w:szCs w:val="20"/>
        </w:rPr>
        <w:t xml:space="preserve">The TT will also focus on how the humanitarian-development nexus intersects with the need to </w:t>
      </w:r>
      <w:r w:rsidR="00470DCF" w:rsidRPr="000A10A4">
        <w:rPr>
          <w:rFonts w:ascii="Cambria" w:hAnsi="Cambria" w:cstheme="minorHAnsi"/>
          <w:i/>
          <w:sz w:val="20"/>
          <w:szCs w:val="20"/>
        </w:rPr>
        <w:t>Do No Harm</w:t>
      </w:r>
      <w:r w:rsidR="00470DCF" w:rsidRPr="000A10A4">
        <w:rPr>
          <w:rFonts w:ascii="Cambria" w:hAnsi="Cambria" w:cstheme="minorHAnsi"/>
          <w:sz w:val="20"/>
          <w:szCs w:val="20"/>
        </w:rPr>
        <w:t xml:space="preserve"> and conflict sensitivity requirements</w:t>
      </w:r>
      <w:r w:rsidR="003C4425" w:rsidRPr="000A10A4">
        <w:rPr>
          <w:rFonts w:ascii="Cambria" w:hAnsi="Cambria" w:cstheme="minorHAnsi"/>
          <w:sz w:val="20"/>
          <w:szCs w:val="20"/>
        </w:rPr>
        <w:t xml:space="preserve"> and explore programmatic linkages between the humanitarian-development nexus and the prevention agenda with the aim to find common ground and provide guidance on how the NWoW can contribute to peacebuilding and sustaining peace.</w:t>
      </w:r>
    </w:p>
    <w:p w14:paraId="297D2AC8" w14:textId="77777777" w:rsidR="00A973CF" w:rsidRPr="000A10A4" w:rsidRDefault="00A973CF">
      <w:pPr>
        <w:pStyle w:val="ListParagraph"/>
        <w:numPr>
          <w:ilvl w:val="2"/>
          <w:numId w:val="2"/>
        </w:numPr>
        <w:spacing w:after="80"/>
        <w:ind w:left="1843" w:hanging="142"/>
        <w:contextualSpacing w:val="0"/>
        <w:jc w:val="both"/>
        <w:rPr>
          <w:rFonts w:ascii="Cambria" w:hAnsi="Cambria" w:cstheme="minorHAnsi"/>
          <w:sz w:val="20"/>
          <w:szCs w:val="20"/>
        </w:rPr>
      </w:pPr>
      <w:r w:rsidRPr="000A10A4">
        <w:rPr>
          <w:rFonts w:ascii="Cambria" w:hAnsi="Cambria" w:cstheme="minorHAnsi"/>
          <w:sz w:val="20"/>
          <w:szCs w:val="20"/>
        </w:rPr>
        <w:t>Articulating Collective Outcomes with three areas the TT can help clarify 1) the issues around coordination around collective outcomes and the role of the government in this; 2) the linkages between collective outcomes and area-based approaches; 3) the question of accountability and a clear framework to track and monitor results.</w:t>
      </w:r>
    </w:p>
    <w:p w14:paraId="41DF06DC" w14:textId="5CCD51AC" w:rsidR="00103514" w:rsidRPr="000A10A4" w:rsidRDefault="006B613C">
      <w:pPr>
        <w:pStyle w:val="ListParagraph"/>
        <w:numPr>
          <w:ilvl w:val="2"/>
          <w:numId w:val="2"/>
        </w:numPr>
        <w:spacing w:after="80"/>
        <w:ind w:left="1843" w:hanging="142"/>
        <w:contextualSpacing w:val="0"/>
        <w:jc w:val="both"/>
        <w:rPr>
          <w:rFonts w:ascii="Cambria" w:hAnsi="Cambria" w:cstheme="minorHAnsi"/>
          <w:sz w:val="20"/>
          <w:szCs w:val="20"/>
        </w:rPr>
      </w:pPr>
      <w:r w:rsidRPr="000A10A4">
        <w:rPr>
          <w:rFonts w:ascii="Cambria" w:hAnsi="Cambria" w:cstheme="minorHAnsi"/>
          <w:sz w:val="20"/>
          <w:szCs w:val="20"/>
        </w:rPr>
        <w:t xml:space="preserve">Review of the IASC humanitarian response protocols and related guidance for their application in protracted situations, and supplement this as required. By the end of its lifespan, the TT will present the </w:t>
      </w:r>
      <w:r w:rsidR="005268CB" w:rsidRPr="000A10A4">
        <w:rPr>
          <w:rFonts w:ascii="Cambria" w:hAnsi="Cambria" w:cstheme="minorHAnsi"/>
          <w:sz w:val="20"/>
          <w:szCs w:val="20"/>
        </w:rPr>
        <w:t>WG</w:t>
      </w:r>
      <w:r w:rsidRPr="000A10A4">
        <w:rPr>
          <w:rFonts w:ascii="Cambria" w:hAnsi="Cambria" w:cstheme="minorHAnsi"/>
          <w:sz w:val="20"/>
          <w:szCs w:val="20"/>
        </w:rPr>
        <w:t xml:space="preserve"> with </w:t>
      </w:r>
      <w:r w:rsidR="000A10A4" w:rsidRPr="000A10A4">
        <w:rPr>
          <w:rFonts w:ascii="Cambria" w:hAnsi="Cambria" w:cstheme="minorHAnsi"/>
          <w:sz w:val="20"/>
          <w:szCs w:val="20"/>
        </w:rPr>
        <w:t>system wide</w:t>
      </w:r>
      <w:r w:rsidRPr="000A10A4">
        <w:rPr>
          <w:rFonts w:ascii="Cambria" w:hAnsi="Cambria" w:cstheme="minorHAnsi"/>
          <w:sz w:val="20"/>
          <w:szCs w:val="20"/>
        </w:rPr>
        <w:t xml:space="preserve"> recommendations on what and how operational guidance </w:t>
      </w:r>
      <w:r w:rsidR="00040E4F" w:rsidRPr="000A10A4">
        <w:rPr>
          <w:rFonts w:ascii="Cambria" w:hAnsi="Cambria" w:cstheme="minorHAnsi"/>
          <w:sz w:val="20"/>
          <w:szCs w:val="20"/>
        </w:rPr>
        <w:t xml:space="preserve">may </w:t>
      </w:r>
      <w:r w:rsidRPr="000A10A4">
        <w:rPr>
          <w:rFonts w:ascii="Cambria" w:hAnsi="Cambria" w:cstheme="minorHAnsi"/>
          <w:sz w:val="20"/>
          <w:szCs w:val="20"/>
        </w:rPr>
        <w:t>need to chan</w:t>
      </w:r>
      <w:r w:rsidR="003E62B3" w:rsidRPr="000A10A4">
        <w:rPr>
          <w:rFonts w:ascii="Cambria" w:hAnsi="Cambria" w:cstheme="minorHAnsi"/>
          <w:sz w:val="20"/>
          <w:szCs w:val="20"/>
        </w:rPr>
        <w:t>g</w:t>
      </w:r>
      <w:r w:rsidRPr="000A10A4">
        <w:rPr>
          <w:rFonts w:ascii="Cambria" w:hAnsi="Cambria" w:cstheme="minorHAnsi"/>
          <w:sz w:val="20"/>
          <w:szCs w:val="20"/>
        </w:rPr>
        <w:t>e.</w:t>
      </w:r>
    </w:p>
    <w:p w14:paraId="2416F559" w14:textId="1FCE1AF0" w:rsidR="00C01CAE" w:rsidRPr="000A10A4" w:rsidRDefault="00A973CF">
      <w:pPr>
        <w:pStyle w:val="ListParagraph"/>
        <w:numPr>
          <w:ilvl w:val="1"/>
          <w:numId w:val="2"/>
        </w:numPr>
        <w:spacing w:after="80"/>
        <w:ind w:left="993" w:hanging="284"/>
        <w:contextualSpacing w:val="0"/>
        <w:jc w:val="both"/>
        <w:rPr>
          <w:rFonts w:ascii="Cambria" w:hAnsi="Cambria" w:cstheme="minorHAnsi"/>
          <w:sz w:val="20"/>
          <w:szCs w:val="20"/>
        </w:rPr>
      </w:pPr>
      <w:bookmarkStart w:id="0" w:name="_GoBack"/>
      <w:bookmarkEnd w:id="0"/>
      <w:r w:rsidRPr="000A10A4">
        <w:rPr>
          <w:rFonts w:ascii="Cambria" w:hAnsi="Cambria" w:cstheme="minorHAnsi"/>
          <w:b/>
          <w:sz w:val="20"/>
          <w:szCs w:val="20"/>
        </w:rPr>
        <w:t xml:space="preserve">Support to Country Teams: </w:t>
      </w:r>
      <w:r w:rsidR="006B613C" w:rsidRPr="000A10A4">
        <w:rPr>
          <w:rFonts w:ascii="Cambria" w:hAnsi="Cambria" w:cstheme="minorHAnsi"/>
          <w:sz w:val="20"/>
          <w:szCs w:val="20"/>
        </w:rPr>
        <w:t>Ensure</w:t>
      </w:r>
      <w:r w:rsidR="00A4745F" w:rsidRPr="000A10A4">
        <w:rPr>
          <w:rFonts w:ascii="Cambria" w:hAnsi="Cambria" w:cstheme="minorHAnsi"/>
          <w:sz w:val="20"/>
          <w:szCs w:val="20"/>
        </w:rPr>
        <w:t xml:space="preserve"> coherence in field support towards successful implementation of the </w:t>
      </w:r>
      <w:r w:rsidR="005268CB" w:rsidRPr="000A10A4">
        <w:rPr>
          <w:rFonts w:ascii="Cambria" w:hAnsi="Cambria" w:cstheme="minorHAnsi"/>
          <w:sz w:val="20"/>
          <w:szCs w:val="20"/>
        </w:rPr>
        <w:t>NWoW</w:t>
      </w:r>
      <w:r w:rsidR="00A4745F" w:rsidRPr="000A10A4">
        <w:rPr>
          <w:rFonts w:ascii="Cambria" w:hAnsi="Cambria" w:cstheme="minorHAnsi"/>
          <w:sz w:val="20"/>
          <w:szCs w:val="20"/>
        </w:rPr>
        <w:t xml:space="preserve">.  </w:t>
      </w:r>
      <w:r w:rsidR="00CD1046" w:rsidRPr="000A10A4">
        <w:rPr>
          <w:rFonts w:ascii="Cambria" w:hAnsi="Cambria" w:cstheme="minorHAnsi"/>
          <w:sz w:val="20"/>
          <w:szCs w:val="20"/>
        </w:rPr>
        <w:t>This is an activity with UNDG, through the joint Plan of Action.</w:t>
      </w:r>
    </w:p>
    <w:p w14:paraId="1FCF1F7E" w14:textId="77777777" w:rsidR="006B613C" w:rsidRPr="000A10A4" w:rsidRDefault="006B613C">
      <w:pPr>
        <w:pStyle w:val="ListParagraph"/>
        <w:numPr>
          <w:ilvl w:val="2"/>
          <w:numId w:val="2"/>
        </w:numPr>
        <w:spacing w:after="80"/>
        <w:ind w:left="1843" w:hanging="142"/>
        <w:contextualSpacing w:val="0"/>
        <w:jc w:val="both"/>
        <w:rPr>
          <w:rFonts w:ascii="Cambria" w:hAnsi="Cambria" w:cstheme="minorHAnsi"/>
          <w:sz w:val="20"/>
          <w:szCs w:val="20"/>
        </w:rPr>
      </w:pPr>
      <w:r w:rsidRPr="000A10A4">
        <w:rPr>
          <w:rFonts w:ascii="Cambria" w:hAnsi="Cambria" w:cstheme="minorHAnsi"/>
          <w:sz w:val="20"/>
          <w:szCs w:val="20"/>
        </w:rPr>
        <w:t>Develop generic terms of reference (</w:t>
      </w:r>
      <w:proofErr w:type="spellStart"/>
      <w:r w:rsidRPr="000A10A4">
        <w:rPr>
          <w:rFonts w:ascii="Cambria" w:hAnsi="Cambria" w:cstheme="minorHAnsi"/>
          <w:sz w:val="20"/>
          <w:szCs w:val="20"/>
        </w:rPr>
        <w:t>ToRs</w:t>
      </w:r>
      <w:proofErr w:type="spellEnd"/>
      <w:r w:rsidRPr="000A10A4">
        <w:rPr>
          <w:rFonts w:ascii="Cambria" w:hAnsi="Cambria" w:cstheme="minorHAnsi"/>
          <w:sz w:val="20"/>
          <w:szCs w:val="20"/>
        </w:rPr>
        <w:t xml:space="preserve">) to systematize country and field support. </w:t>
      </w:r>
    </w:p>
    <w:p w14:paraId="67F7D52D" w14:textId="77777777" w:rsidR="00A87BD9" w:rsidRPr="000A10A4" w:rsidRDefault="006F44DD">
      <w:pPr>
        <w:pStyle w:val="ListParagraph"/>
        <w:numPr>
          <w:ilvl w:val="2"/>
          <w:numId w:val="2"/>
        </w:numPr>
        <w:spacing w:after="80"/>
        <w:ind w:left="1843" w:hanging="142"/>
        <w:contextualSpacing w:val="0"/>
        <w:jc w:val="both"/>
        <w:rPr>
          <w:rFonts w:ascii="Cambria" w:hAnsi="Cambria" w:cstheme="minorHAnsi"/>
          <w:sz w:val="20"/>
          <w:szCs w:val="20"/>
        </w:rPr>
      </w:pPr>
      <w:r w:rsidRPr="000A10A4">
        <w:rPr>
          <w:rFonts w:ascii="Cambria" w:hAnsi="Cambria" w:cstheme="minorHAnsi"/>
          <w:bCs/>
          <w:sz w:val="20"/>
          <w:szCs w:val="20"/>
          <w:lang w:val="en-GB"/>
        </w:rPr>
        <w:t xml:space="preserve">Be the port of call for country support requests. This will ensure that RC/HCs have a clearly identified entry point for formulating support requests on behalf of the country team. </w:t>
      </w:r>
      <w:r w:rsidR="002A2521" w:rsidRPr="000A10A4">
        <w:rPr>
          <w:rFonts w:ascii="Cambria" w:hAnsi="Cambria" w:cstheme="minorHAnsi"/>
          <w:bCs/>
          <w:sz w:val="20"/>
          <w:szCs w:val="20"/>
          <w:lang w:val="en-GB"/>
        </w:rPr>
        <w:t>T</w:t>
      </w:r>
      <w:r w:rsidRPr="000A10A4">
        <w:rPr>
          <w:rFonts w:ascii="Cambria" w:hAnsi="Cambria" w:cstheme="minorHAnsi"/>
          <w:sz w:val="20"/>
          <w:szCs w:val="20"/>
        </w:rPr>
        <w:t>he TT wil</w:t>
      </w:r>
      <w:r w:rsidR="00CD1046" w:rsidRPr="000A10A4">
        <w:rPr>
          <w:rFonts w:ascii="Cambria" w:hAnsi="Cambria" w:cstheme="minorHAnsi"/>
          <w:sz w:val="20"/>
          <w:szCs w:val="20"/>
        </w:rPr>
        <w:t>l</w:t>
      </w:r>
      <w:r w:rsidRPr="000A10A4">
        <w:rPr>
          <w:rFonts w:ascii="Cambria" w:hAnsi="Cambria" w:cstheme="minorHAnsi"/>
          <w:sz w:val="20"/>
          <w:szCs w:val="20"/>
        </w:rPr>
        <w:t xml:space="preserve"> re</w:t>
      </w:r>
      <w:r w:rsidR="00A87BD9" w:rsidRPr="000A10A4">
        <w:rPr>
          <w:rFonts w:ascii="Cambria" w:hAnsi="Cambria" w:cstheme="minorHAnsi"/>
          <w:sz w:val="20"/>
          <w:szCs w:val="20"/>
        </w:rPr>
        <w:t>l</w:t>
      </w:r>
      <w:r w:rsidRPr="000A10A4">
        <w:rPr>
          <w:rFonts w:ascii="Cambria" w:hAnsi="Cambria" w:cstheme="minorHAnsi"/>
          <w:sz w:val="20"/>
          <w:szCs w:val="20"/>
        </w:rPr>
        <w:t>ay to and rely</w:t>
      </w:r>
      <w:r w:rsidR="00A87BD9" w:rsidRPr="000A10A4">
        <w:rPr>
          <w:rFonts w:ascii="Cambria" w:hAnsi="Cambria" w:cstheme="minorHAnsi"/>
          <w:sz w:val="20"/>
          <w:szCs w:val="20"/>
        </w:rPr>
        <w:t xml:space="preserve"> on individual </w:t>
      </w:r>
      <w:r w:rsidR="00BA33EC" w:rsidRPr="000A10A4">
        <w:rPr>
          <w:rFonts w:ascii="Cambria" w:hAnsi="Cambria" w:cstheme="minorHAnsi"/>
          <w:sz w:val="20"/>
          <w:szCs w:val="20"/>
        </w:rPr>
        <w:t>TT</w:t>
      </w:r>
      <w:r w:rsidR="00A87BD9" w:rsidRPr="000A10A4">
        <w:rPr>
          <w:rFonts w:ascii="Cambria" w:hAnsi="Cambria" w:cstheme="minorHAnsi"/>
          <w:sz w:val="20"/>
          <w:szCs w:val="20"/>
        </w:rPr>
        <w:t xml:space="preserve"> members to contribute</w:t>
      </w:r>
      <w:r w:rsidR="001D73E8" w:rsidRPr="000A10A4">
        <w:rPr>
          <w:rFonts w:ascii="Cambria" w:hAnsi="Cambria" w:cstheme="minorHAnsi"/>
          <w:sz w:val="20"/>
          <w:szCs w:val="20"/>
        </w:rPr>
        <w:t xml:space="preserve"> their expertise</w:t>
      </w:r>
      <w:r w:rsidR="0049268A" w:rsidRPr="000A10A4">
        <w:rPr>
          <w:rFonts w:ascii="Cambria" w:hAnsi="Cambria" w:cstheme="minorHAnsi"/>
          <w:sz w:val="20"/>
          <w:szCs w:val="20"/>
        </w:rPr>
        <w:t xml:space="preserve"> </w:t>
      </w:r>
      <w:r w:rsidR="00BA33EC" w:rsidRPr="000A10A4">
        <w:rPr>
          <w:rFonts w:ascii="Cambria" w:hAnsi="Cambria" w:cstheme="minorHAnsi"/>
          <w:sz w:val="20"/>
          <w:szCs w:val="20"/>
        </w:rPr>
        <w:t>for</w:t>
      </w:r>
      <w:r w:rsidR="0049268A" w:rsidRPr="000A10A4">
        <w:rPr>
          <w:rFonts w:ascii="Cambria" w:hAnsi="Cambria" w:cstheme="minorHAnsi"/>
          <w:sz w:val="20"/>
          <w:szCs w:val="20"/>
        </w:rPr>
        <w:t xml:space="preserve"> support missions</w:t>
      </w:r>
      <w:r w:rsidR="00A973CF" w:rsidRPr="000A10A4">
        <w:rPr>
          <w:rFonts w:ascii="Cambria" w:hAnsi="Cambria" w:cstheme="minorHAnsi"/>
          <w:sz w:val="20"/>
          <w:szCs w:val="20"/>
        </w:rPr>
        <w:t xml:space="preserve"> and other relevant means</w:t>
      </w:r>
      <w:r w:rsidR="00BA33EC" w:rsidRPr="000A10A4">
        <w:rPr>
          <w:rFonts w:ascii="Cambria" w:hAnsi="Cambria" w:cstheme="minorHAnsi"/>
          <w:sz w:val="20"/>
          <w:szCs w:val="20"/>
        </w:rPr>
        <w:t xml:space="preserve"> to advance this work in a coherent fashion, whether undertaken bilaterally or collectively</w:t>
      </w:r>
      <w:r w:rsidR="0049268A" w:rsidRPr="000A10A4">
        <w:rPr>
          <w:rFonts w:ascii="Cambria" w:hAnsi="Cambria" w:cstheme="minorHAnsi"/>
          <w:sz w:val="20"/>
          <w:szCs w:val="20"/>
        </w:rPr>
        <w:t>.</w:t>
      </w:r>
      <w:r w:rsidR="001D73E8" w:rsidRPr="000A10A4">
        <w:rPr>
          <w:rFonts w:ascii="Cambria" w:hAnsi="Cambria" w:cstheme="minorHAnsi"/>
          <w:sz w:val="20"/>
          <w:szCs w:val="20"/>
        </w:rPr>
        <w:t xml:space="preserve"> </w:t>
      </w:r>
      <w:r w:rsidR="002A2521" w:rsidRPr="000A10A4">
        <w:rPr>
          <w:rFonts w:ascii="Cambria" w:hAnsi="Cambria" w:cstheme="minorHAnsi"/>
          <w:sz w:val="20"/>
          <w:szCs w:val="20"/>
        </w:rPr>
        <w:t>Field support, will be done in conjunction with country teams by coordinating a mechanism which communicates all requests to IASC and UNDG Members and Observers.</w:t>
      </w:r>
    </w:p>
    <w:p w14:paraId="29BA063A" w14:textId="27044127" w:rsidR="00A973CF" w:rsidRPr="000A10A4" w:rsidRDefault="00226503" w:rsidP="00404E53">
      <w:pPr>
        <w:pStyle w:val="ListParagraph"/>
        <w:numPr>
          <w:ilvl w:val="0"/>
          <w:numId w:val="2"/>
        </w:numPr>
        <w:spacing w:after="80"/>
        <w:ind w:left="284" w:hanging="284"/>
        <w:contextualSpacing w:val="0"/>
        <w:jc w:val="both"/>
        <w:rPr>
          <w:rFonts w:ascii="Cambria" w:hAnsi="Cambria" w:cstheme="minorHAnsi"/>
          <w:sz w:val="20"/>
          <w:szCs w:val="20"/>
        </w:rPr>
      </w:pPr>
      <w:r w:rsidRPr="000A10A4">
        <w:rPr>
          <w:rFonts w:ascii="Cambria" w:hAnsi="Cambria" w:cstheme="minorHAnsi"/>
          <w:sz w:val="20"/>
          <w:szCs w:val="20"/>
        </w:rPr>
        <w:lastRenderedPageBreak/>
        <w:t xml:space="preserve">To deliver on the above, </w:t>
      </w:r>
      <w:r w:rsidR="00040E4F" w:rsidRPr="000A10A4">
        <w:rPr>
          <w:rFonts w:ascii="Cambria" w:hAnsi="Cambria" w:cstheme="minorHAnsi"/>
          <w:sz w:val="20"/>
          <w:szCs w:val="20"/>
        </w:rPr>
        <w:t xml:space="preserve">it is suggested </w:t>
      </w:r>
      <w:r w:rsidRPr="000A10A4">
        <w:rPr>
          <w:rFonts w:ascii="Cambria" w:hAnsi="Cambria" w:cstheme="minorHAnsi"/>
          <w:sz w:val="20"/>
          <w:szCs w:val="20"/>
        </w:rPr>
        <w:t xml:space="preserve">the </w:t>
      </w:r>
      <w:r w:rsidR="005268CB" w:rsidRPr="000A10A4">
        <w:rPr>
          <w:rFonts w:ascii="Cambria" w:hAnsi="Cambria" w:cstheme="minorHAnsi"/>
          <w:sz w:val="20"/>
          <w:szCs w:val="20"/>
        </w:rPr>
        <w:t xml:space="preserve">lifespan of the </w:t>
      </w:r>
      <w:r w:rsidRPr="000A10A4">
        <w:rPr>
          <w:rFonts w:ascii="Cambria" w:hAnsi="Cambria" w:cstheme="minorHAnsi"/>
          <w:sz w:val="20"/>
          <w:szCs w:val="20"/>
        </w:rPr>
        <w:t xml:space="preserve">TT </w:t>
      </w:r>
      <w:r w:rsidR="005268CB" w:rsidRPr="000A10A4">
        <w:rPr>
          <w:rFonts w:ascii="Cambria" w:hAnsi="Cambria" w:cstheme="minorHAnsi"/>
          <w:sz w:val="20"/>
          <w:szCs w:val="20"/>
        </w:rPr>
        <w:t xml:space="preserve">is </w:t>
      </w:r>
      <w:r w:rsidRPr="000A10A4">
        <w:rPr>
          <w:rFonts w:ascii="Cambria" w:hAnsi="Cambria" w:cstheme="minorHAnsi"/>
          <w:sz w:val="20"/>
          <w:szCs w:val="20"/>
        </w:rPr>
        <w:t>extend</w:t>
      </w:r>
      <w:r w:rsidR="005268CB" w:rsidRPr="000A10A4">
        <w:rPr>
          <w:rFonts w:ascii="Cambria" w:hAnsi="Cambria" w:cstheme="minorHAnsi"/>
          <w:sz w:val="20"/>
          <w:szCs w:val="20"/>
        </w:rPr>
        <w:t>ed</w:t>
      </w:r>
      <w:r w:rsidRPr="000A10A4">
        <w:rPr>
          <w:rFonts w:ascii="Cambria" w:hAnsi="Cambria" w:cstheme="minorHAnsi"/>
          <w:sz w:val="20"/>
          <w:szCs w:val="20"/>
        </w:rPr>
        <w:t xml:space="preserve"> </w:t>
      </w:r>
      <w:r w:rsidR="005268CB" w:rsidRPr="000A10A4">
        <w:rPr>
          <w:rFonts w:ascii="Cambria" w:hAnsi="Cambria" w:cstheme="minorHAnsi"/>
          <w:sz w:val="20"/>
          <w:szCs w:val="20"/>
        </w:rPr>
        <w:t xml:space="preserve">to </w:t>
      </w:r>
      <w:r w:rsidR="0037456D" w:rsidRPr="000A10A4">
        <w:rPr>
          <w:rFonts w:ascii="Cambria" w:hAnsi="Cambria" w:cstheme="minorHAnsi"/>
          <w:sz w:val="20"/>
          <w:szCs w:val="20"/>
        </w:rPr>
        <w:t>December 2018</w:t>
      </w:r>
      <w:r w:rsidR="00F419B8" w:rsidRPr="000A10A4">
        <w:rPr>
          <w:rStyle w:val="FootnoteReference"/>
          <w:rFonts w:ascii="Cambria" w:hAnsi="Cambria" w:cstheme="minorHAnsi"/>
          <w:sz w:val="20"/>
          <w:szCs w:val="20"/>
        </w:rPr>
        <w:footnoteReference w:id="5"/>
      </w:r>
      <w:r w:rsidR="003C4425" w:rsidRPr="000A10A4">
        <w:rPr>
          <w:rFonts w:ascii="Cambria" w:hAnsi="Cambria" w:cstheme="minorHAnsi"/>
          <w:sz w:val="20"/>
          <w:szCs w:val="20"/>
        </w:rPr>
        <w:t>.</w:t>
      </w:r>
    </w:p>
    <w:p w14:paraId="347D9C8A" w14:textId="77777777" w:rsidR="00C01CAE" w:rsidRPr="000A10A4" w:rsidRDefault="00E95359" w:rsidP="00404E53">
      <w:pPr>
        <w:spacing w:after="80"/>
        <w:rPr>
          <w:rFonts w:ascii="Cambria" w:hAnsi="Cambria" w:cstheme="minorHAnsi"/>
          <w:b/>
          <w:bCs/>
          <w:sz w:val="20"/>
          <w:szCs w:val="20"/>
        </w:rPr>
      </w:pPr>
      <w:r w:rsidRPr="000A10A4">
        <w:rPr>
          <w:rFonts w:ascii="Cambria" w:hAnsi="Cambria" w:cstheme="minorHAnsi"/>
          <w:b/>
          <w:bCs/>
          <w:sz w:val="20"/>
          <w:szCs w:val="20"/>
        </w:rPr>
        <w:t>W</w:t>
      </w:r>
      <w:r w:rsidR="00C01CAE" w:rsidRPr="000A10A4">
        <w:rPr>
          <w:rFonts w:ascii="Cambria" w:hAnsi="Cambria" w:cstheme="minorHAnsi"/>
          <w:b/>
          <w:bCs/>
          <w:sz w:val="20"/>
          <w:szCs w:val="20"/>
        </w:rPr>
        <w:t>here the Task Team fits:</w:t>
      </w:r>
    </w:p>
    <w:p w14:paraId="51EB1CD1" w14:textId="77777777" w:rsidR="00CA65B9" w:rsidRPr="000A10A4" w:rsidRDefault="00040E4F" w:rsidP="00404E53">
      <w:pPr>
        <w:pStyle w:val="ListParagraph"/>
        <w:numPr>
          <w:ilvl w:val="0"/>
          <w:numId w:val="2"/>
        </w:numPr>
        <w:spacing w:after="80"/>
        <w:ind w:left="284" w:hanging="284"/>
        <w:contextualSpacing w:val="0"/>
        <w:jc w:val="both"/>
        <w:rPr>
          <w:rFonts w:ascii="Cambria" w:hAnsi="Cambria" w:cstheme="minorHAnsi"/>
          <w:sz w:val="20"/>
          <w:szCs w:val="20"/>
        </w:rPr>
      </w:pPr>
      <w:r w:rsidRPr="000A10A4">
        <w:rPr>
          <w:rFonts w:ascii="Cambria" w:hAnsi="Cambria" w:cstheme="minorHAnsi"/>
          <w:sz w:val="20"/>
          <w:szCs w:val="20"/>
        </w:rPr>
        <w:t>In</w:t>
      </w:r>
      <w:r w:rsidR="00CA65B9" w:rsidRPr="000A10A4">
        <w:rPr>
          <w:rFonts w:ascii="Cambria" w:hAnsi="Cambria" w:cstheme="minorHAnsi"/>
          <w:sz w:val="20"/>
          <w:szCs w:val="20"/>
        </w:rPr>
        <w:t xml:space="preserve"> </w:t>
      </w:r>
      <w:r w:rsidR="00C37F25" w:rsidRPr="000A10A4">
        <w:rPr>
          <w:rFonts w:ascii="Cambria" w:hAnsi="Cambria" w:cstheme="minorHAnsi"/>
          <w:sz w:val="20"/>
          <w:szCs w:val="20"/>
        </w:rPr>
        <w:t>recogniz</w:t>
      </w:r>
      <w:r w:rsidRPr="000A10A4">
        <w:rPr>
          <w:rFonts w:ascii="Cambria" w:hAnsi="Cambria" w:cstheme="minorHAnsi"/>
          <w:sz w:val="20"/>
          <w:szCs w:val="20"/>
        </w:rPr>
        <w:t>ing</w:t>
      </w:r>
      <w:r w:rsidR="00C37F25" w:rsidRPr="000A10A4">
        <w:rPr>
          <w:rFonts w:ascii="Cambria" w:hAnsi="Cambria" w:cstheme="minorHAnsi"/>
          <w:sz w:val="20"/>
          <w:szCs w:val="20"/>
        </w:rPr>
        <w:t xml:space="preserve"> the</w:t>
      </w:r>
      <w:r w:rsidR="004B08FD" w:rsidRPr="000A10A4">
        <w:rPr>
          <w:rFonts w:ascii="Cambria" w:hAnsi="Cambria" w:cstheme="minorHAnsi"/>
          <w:sz w:val="20"/>
          <w:szCs w:val="20"/>
        </w:rPr>
        <w:t xml:space="preserve"> </w:t>
      </w:r>
      <w:r w:rsidR="00C37F25" w:rsidRPr="000A10A4">
        <w:rPr>
          <w:rFonts w:ascii="Cambria" w:hAnsi="Cambria" w:cstheme="minorHAnsi"/>
          <w:sz w:val="20"/>
          <w:szCs w:val="20"/>
        </w:rPr>
        <w:t xml:space="preserve">larger universe of entities, initiatives, and actors working on the </w:t>
      </w:r>
      <w:r w:rsidRPr="000A10A4">
        <w:rPr>
          <w:rFonts w:ascii="Cambria" w:hAnsi="Cambria" w:cstheme="minorHAnsi"/>
          <w:sz w:val="20"/>
          <w:szCs w:val="20"/>
        </w:rPr>
        <w:t>NW</w:t>
      </w:r>
      <w:r w:rsidR="004B08FD" w:rsidRPr="000A10A4">
        <w:rPr>
          <w:rFonts w:ascii="Cambria" w:hAnsi="Cambria" w:cstheme="minorHAnsi"/>
          <w:sz w:val="20"/>
          <w:szCs w:val="20"/>
        </w:rPr>
        <w:t>o</w:t>
      </w:r>
      <w:r w:rsidRPr="000A10A4">
        <w:rPr>
          <w:rFonts w:ascii="Cambria" w:hAnsi="Cambria" w:cstheme="minorHAnsi"/>
          <w:sz w:val="20"/>
          <w:szCs w:val="20"/>
        </w:rPr>
        <w:t>W</w:t>
      </w:r>
      <w:r w:rsidR="004D0E31" w:rsidRPr="000A10A4">
        <w:rPr>
          <w:rFonts w:ascii="Cambria" w:hAnsi="Cambria" w:cstheme="minorHAnsi"/>
          <w:sz w:val="20"/>
          <w:szCs w:val="20"/>
        </w:rPr>
        <w:t xml:space="preserve"> and that </w:t>
      </w:r>
      <w:r w:rsidR="00C37F25" w:rsidRPr="000A10A4">
        <w:rPr>
          <w:rFonts w:ascii="Cambria" w:hAnsi="Cambria" w:cstheme="minorHAnsi"/>
          <w:sz w:val="20"/>
          <w:szCs w:val="20"/>
        </w:rPr>
        <w:t xml:space="preserve">some of </w:t>
      </w:r>
      <w:proofErr w:type="gramStart"/>
      <w:r w:rsidR="00C37F25" w:rsidRPr="000A10A4">
        <w:rPr>
          <w:rFonts w:ascii="Cambria" w:hAnsi="Cambria" w:cstheme="minorHAnsi"/>
          <w:sz w:val="20"/>
          <w:szCs w:val="20"/>
        </w:rPr>
        <w:t>these fall</w:t>
      </w:r>
      <w:proofErr w:type="gramEnd"/>
      <w:r w:rsidR="00C37F25" w:rsidRPr="000A10A4">
        <w:rPr>
          <w:rFonts w:ascii="Cambria" w:hAnsi="Cambria" w:cstheme="minorHAnsi"/>
          <w:sz w:val="20"/>
          <w:szCs w:val="20"/>
        </w:rPr>
        <w:t xml:space="preserve"> outside the remit of the IASC, the</w:t>
      </w:r>
      <w:r w:rsidR="00CA65B9" w:rsidRPr="000A10A4">
        <w:rPr>
          <w:rFonts w:ascii="Cambria" w:hAnsi="Cambria" w:cstheme="minorHAnsi"/>
          <w:sz w:val="20"/>
          <w:szCs w:val="20"/>
        </w:rPr>
        <w:t>y nonetheless</w:t>
      </w:r>
      <w:r w:rsidR="00C37F25" w:rsidRPr="000A10A4">
        <w:rPr>
          <w:rFonts w:ascii="Cambria" w:hAnsi="Cambria" w:cstheme="minorHAnsi"/>
          <w:sz w:val="20"/>
          <w:szCs w:val="20"/>
        </w:rPr>
        <w:t xml:space="preserve"> require coherent contribution by the IASC as a collective, in addition to individual agency/sectoral injects. Among these </w:t>
      </w:r>
      <w:r w:rsidR="00F46F5D" w:rsidRPr="000A10A4">
        <w:rPr>
          <w:rFonts w:ascii="Cambria" w:hAnsi="Cambria" w:cstheme="minorHAnsi"/>
          <w:sz w:val="20"/>
          <w:szCs w:val="20"/>
        </w:rPr>
        <w:t>are the current reforms</w:t>
      </w:r>
      <w:r w:rsidR="00C37F25" w:rsidRPr="000A10A4">
        <w:rPr>
          <w:rFonts w:ascii="Cambria" w:hAnsi="Cambria" w:cstheme="minorHAnsi"/>
          <w:sz w:val="20"/>
          <w:szCs w:val="20"/>
        </w:rPr>
        <w:t xml:space="preserve"> of the UNDG, the Grand Bargain</w:t>
      </w:r>
      <w:r w:rsidR="004D0E31" w:rsidRPr="000A10A4">
        <w:rPr>
          <w:rFonts w:ascii="Cambria" w:hAnsi="Cambria" w:cstheme="minorHAnsi"/>
          <w:sz w:val="20"/>
          <w:szCs w:val="20"/>
        </w:rPr>
        <w:t xml:space="preserve"> and its Workstream 10</w:t>
      </w:r>
      <w:r w:rsidR="00C37F25" w:rsidRPr="000A10A4">
        <w:rPr>
          <w:rFonts w:ascii="Cambria" w:hAnsi="Cambria" w:cstheme="minorHAnsi"/>
          <w:sz w:val="20"/>
          <w:szCs w:val="20"/>
        </w:rPr>
        <w:t xml:space="preserve">, the Good Humanitarian </w:t>
      </w:r>
      <w:proofErr w:type="spellStart"/>
      <w:r w:rsidR="00C37F25" w:rsidRPr="000A10A4">
        <w:rPr>
          <w:rFonts w:ascii="Cambria" w:hAnsi="Cambria" w:cstheme="minorHAnsi"/>
          <w:sz w:val="20"/>
          <w:szCs w:val="20"/>
        </w:rPr>
        <w:t>Donorship</w:t>
      </w:r>
      <w:proofErr w:type="spellEnd"/>
      <w:r w:rsidR="00C37F25" w:rsidRPr="000A10A4">
        <w:rPr>
          <w:rFonts w:ascii="Cambria" w:hAnsi="Cambria" w:cstheme="minorHAnsi"/>
          <w:sz w:val="20"/>
          <w:szCs w:val="20"/>
        </w:rPr>
        <w:t xml:space="preserve"> Group (sub-working group on humanitarian development nexus), the </w:t>
      </w:r>
      <w:r w:rsidR="00A37133" w:rsidRPr="000A10A4">
        <w:rPr>
          <w:rFonts w:ascii="Cambria" w:hAnsi="Cambria" w:cstheme="minorHAnsi"/>
          <w:sz w:val="20"/>
          <w:szCs w:val="20"/>
        </w:rPr>
        <w:t xml:space="preserve">UN - </w:t>
      </w:r>
      <w:r w:rsidR="00C37F25" w:rsidRPr="000A10A4">
        <w:rPr>
          <w:rFonts w:ascii="Cambria" w:hAnsi="Cambria" w:cstheme="minorHAnsi"/>
          <w:sz w:val="20"/>
          <w:szCs w:val="20"/>
        </w:rPr>
        <w:t xml:space="preserve">World Bank Group’s </w:t>
      </w:r>
      <w:r w:rsidR="00A37133" w:rsidRPr="000A10A4">
        <w:rPr>
          <w:rFonts w:ascii="Cambria" w:hAnsi="Cambria" w:cstheme="minorHAnsi"/>
          <w:sz w:val="20"/>
          <w:szCs w:val="20"/>
        </w:rPr>
        <w:t xml:space="preserve">partnership on the </w:t>
      </w:r>
      <w:r w:rsidR="00C37F25" w:rsidRPr="000A10A4">
        <w:rPr>
          <w:rFonts w:ascii="Cambria" w:hAnsi="Cambria" w:cstheme="minorHAnsi"/>
          <w:sz w:val="20"/>
          <w:szCs w:val="20"/>
        </w:rPr>
        <w:t xml:space="preserve">Humanitarian Development Peace Initiative, the Senior Transformative Agenda Implementation Team, the Humanitarian Development Action Group (HDAG) supported </w:t>
      </w:r>
      <w:r w:rsidR="00F46F5D" w:rsidRPr="000A10A4">
        <w:rPr>
          <w:rFonts w:ascii="Cambria" w:hAnsi="Cambria" w:cstheme="minorHAnsi"/>
          <w:sz w:val="20"/>
          <w:szCs w:val="20"/>
        </w:rPr>
        <w:t xml:space="preserve">by </w:t>
      </w:r>
      <w:r w:rsidR="004D0E31" w:rsidRPr="000A10A4">
        <w:rPr>
          <w:rFonts w:ascii="Cambria" w:hAnsi="Cambria" w:cstheme="minorHAnsi"/>
          <w:sz w:val="20"/>
          <w:szCs w:val="20"/>
        </w:rPr>
        <w:t xml:space="preserve">the NYC </w:t>
      </w:r>
      <w:r w:rsidR="00F46F5D" w:rsidRPr="000A10A4">
        <w:rPr>
          <w:rFonts w:ascii="Cambria" w:hAnsi="Cambria" w:cstheme="minorHAnsi"/>
          <w:sz w:val="20"/>
          <w:szCs w:val="20"/>
        </w:rPr>
        <w:t>Centre</w:t>
      </w:r>
      <w:r w:rsidR="00C37F25" w:rsidRPr="000A10A4">
        <w:rPr>
          <w:rFonts w:ascii="Cambria" w:hAnsi="Cambria" w:cstheme="minorHAnsi"/>
          <w:sz w:val="20"/>
          <w:szCs w:val="20"/>
        </w:rPr>
        <w:t xml:space="preserve"> on International Cooperation (CIC), the IASC Clusters, </w:t>
      </w:r>
      <w:r w:rsidR="00F46F5D" w:rsidRPr="000A10A4">
        <w:rPr>
          <w:rFonts w:ascii="Cambria" w:hAnsi="Cambria" w:cstheme="minorHAnsi"/>
          <w:sz w:val="20"/>
          <w:szCs w:val="20"/>
        </w:rPr>
        <w:t>Professionals in Humanitarian Assistance and Protection (</w:t>
      </w:r>
      <w:r w:rsidR="00C37F25" w:rsidRPr="000A10A4">
        <w:rPr>
          <w:rFonts w:ascii="Cambria" w:hAnsi="Cambria" w:cstheme="minorHAnsi"/>
          <w:sz w:val="20"/>
          <w:szCs w:val="20"/>
        </w:rPr>
        <w:t>PHAP</w:t>
      </w:r>
      <w:r w:rsidR="00F46F5D" w:rsidRPr="000A10A4">
        <w:rPr>
          <w:rFonts w:ascii="Cambria" w:hAnsi="Cambria" w:cstheme="minorHAnsi"/>
          <w:sz w:val="20"/>
          <w:szCs w:val="20"/>
        </w:rPr>
        <w:t>), as well as other IASC subsidiary bodies</w:t>
      </w:r>
      <w:r w:rsidR="004B08FD" w:rsidRPr="000A10A4">
        <w:rPr>
          <w:rFonts w:ascii="Cambria" w:hAnsi="Cambria" w:cstheme="minorHAnsi"/>
          <w:sz w:val="20"/>
          <w:szCs w:val="20"/>
        </w:rPr>
        <w:t>,</w:t>
      </w:r>
      <w:r w:rsidR="00F46F5D" w:rsidRPr="000A10A4">
        <w:rPr>
          <w:rFonts w:ascii="Cambria" w:hAnsi="Cambria" w:cstheme="minorHAnsi"/>
          <w:sz w:val="20"/>
          <w:szCs w:val="20"/>
        </w:rPr>
        <w:t xml:space="preserve"> </w:t>
      </w:r>
      <w:r w:rsidR="00C37F25" w:rsidRPr="000A10A4">
        <w:rPr>
          <w:rFonts w:ascii="Cambria" w:hAnsi="Cambria" w:cstheme="minorHAnsi"/>
          <w:sz w:val="20"/>
          <w:szCs w:val="20"/>
        </w:rPr>
        <w:t>etc</w:t>
      </w:r>
      <w:r w:rsidR="005614DD" w:rsidRPr="000A10A4">
        <w:rPr>
          <w:rFonts w:ascii="Cambria" w:hAnsi="Cambria" w:cstheme="minorHAnsi"/>
          <w:sz w:val="20"/>
          <w:szCs w:val="20"/>
        </w:rPr>
        <w:t>.</w:t>
      </w:r>
      <w:r w:rsidR="00F46F5D" w:rsidRPr="000A10A4">
        <w:rPr>
          <w:rStyle w:val="FootnoteReference"/>
          <w:rFonts w:ascii="Cambria" w:hAnsi="Cambria" w:cstheme="minorHAnsi"/>
          <w:sz w:val="20"/>
          <w:szCs w:val="20"/>
        </w:rPr>
        <w:footnoteReference w:id="6"/>
      </w:r>
      <w:r w:rsidR="00C37F25" w:rsidRPr="000A10A4">
        <w:rPr>
          <w:rFonts w:ascii="Cambria" w:hAnsi="Cambria" w:cstheme="minorHAnsi"/>
          <w:sz w:val="20"/>
          <w:szCs w:val="20"/>
        </w:rPr>
        <w:t>.</w:t>
      </w:r>
    </w:p>
    <w:p w14:paraId="43BD7117" w14:textId="69443ED2" w:rsidR="006B613C" w:rsidRPr="000A10A4" w:rsidRDefault="00F46F5D" w:rsidP="00404E53">
      <w:pPr>
        <w:pStyle w:val="ListParagraph"/>
        <w:numPr>
          <w:ilvl w:val="0"/>
          <w:numId w:val="2"/>
        </w:numPr>
        <w:spacing w:after="80"/>
        <w:ind w:left="284" w:hanging="284"/>
        <w:contextualSpacing w:val="0"/>
        <w:jc w:val="both"/>
        <w:rPr>
          <w:rFonts w:ascii="Cambria" w:hAnsi="Cambria" w:cstheme="minorHAnsi"/>
          <w:sz w:val="20"/>
          <w:szCs w:val="20"/>
        </w:rPr>
      </w:pPr>
      <w:r w:rsidRPr="000A10A4">
        <w:rPr>
          <w:rFonts w:ascii="Cambria" w:hAnsi="Cambria" w:cstheme="minorHAnsi"/>
          <w:sz w:val="20"/>
          <w:szCs w:val="20"/>
        </w:rPr>
        <w:t>Against these different initiative</w:t>
      </w:r>
      <w:r w:rsidR="003C4425" w:rsidRPr="000A10A4">
        <w:rPr>
          <w:rFonts w:ascii="Cambria" w:hAnsi="Cambria" w:cstheme="minorHAnsi"/>
          <w:sz w:val="20"/>
          <w:szCs w:val="20"/>
        </w:rPr>
        <w:t>s</w:t>
      </w:r>
      <w:r w:rsidRPr="000A10A4">
        <w:rPr>
          <w:rFonts w:ascii="Cambria" w:hAnsi="Cambria" w:cstheme="minorHAnsi"/>
          <w:sz w:val="20"/>
          <w:szCs w:val="20"/>
        </w:rPr>
        <w:t xml:space="preserve">, </w:t>
      </w:r>
      <w:r w:rsidR="00CA65B9" w:rsidRPr="000A10A4">
        <w:rPr>
          <w:rFonts w:ascii="Cambria" w:hAnsi="Cambria" w:cstheme="minorHAnsi"/>
          <w:sz w:val="20"/>
          <w:szCs w:val="20"/>
        </w:rPr>
        <w:t xml:space="preserve">where collective input on the issue of humanitarian development nexus is required, </w:t>
      </w:r>
      <w:r w:rsidRPr="000A10A4">
        <w:rPr>
          <w:rFonts w:ascii="Cambria" w:hAnsi="Cambria" w:cstheme="minorHAnsi"/>
          <w:sz w:val="20"/>
          <w:szCs w:val="20"/>
        </w:rPr>
        <w:t xml:space="preserve">we acknowledge the value added of the IASC </w:t>
      </w:r>
      <w:r w:rsidR="004B08FD" w:rsidRPr="000A10A4">
        <w:rPr>
          <w:rFonts w:ascii="Cambria" w:hAnsi="Cambria" w:cstheme="minorHAnsi"/>
          <w:sz w:val="20"/>
          <w:szCs w:val="20"/>
        </w:rPr>
        <w:t>WG</w:t>
      </w:r>
      <w:r w:rsidRPr="000A10A4">
        <w:rPr>
          <w:rFonts w:ascii="Cambria" w:hAnsi="Cambria" w:cstheme="minorHAnsi"/>
          <w:sz w:val="20"/>
          <w:szCs w:val="20"/>
        </w:rPr>
        <w:t xml:space="preserve"> in contributing and shaping this agenda</w:t>
      </w:r>
      <w:r w:rsidR="00CA65B9" w:rsidRPr="000A10A4">
        <w:rPr>
          <w:rFonts w:ascii="Cambria" w:hAnsi="Cambria" w:cstheme="minorHAnsi"/>
          <w:sz w:val="20"/>
          <w:szCs w:val="20"/>
        </w:rPr>
        <w:t xml:space="preserve">. </w:t>
      </w:r>
      <w:r w:rsidR="004B08FD" w:rsidRPr="000A10A4">
        <w:rPr>
          <w:rFonts w:ascii="Cambria" w:hAnsi="Cambria" w:cstheme="minorHAnsi"/>
          <w:sz w:val="20"/>
          <w:szCs w:val="20"/>
        </w:rPr>
        <w:t>To this end, t</w:t>
      </w:r>
      <w:r w:rsidRPr="000A10A4">
        <w:rPr>
          <w:rFonts w:ascii="Cambria" w:hAnsi="Cambria" w:cstheme="minorHAnsi"/>
          <w:sz w:val="20"/>
          <w:szCs w:val="20"/>
        </w:rPr>
        <w:t xml:space="preserve">he value added </w:t>
      </w:r>
      <w:r w:rsidR="004D0E31" w:rsidRPr="000A10A4">
        <w:rPr>
          <w:rFonts w:ascii="Cambria" w:hAnsi="Cambria" w:cstheme="minorHAnsi"/>
          <w:sz w:val="20"/>
          <w:szCs w:val="20"/>
        </w:rPr>
        <w:t xml:space="preserve">drawn from </w:t>
      </w:r>
      <w:r w:rsidRPr="000A10A4">
        <w:rPr>
          <w:rFonts w:ascii="Cambria" w:hAnsi="Cambria" w:cstheme="minorHAnsi"/>
          <w:sz w:val="20"/>
          <w:szCs w:val="20"/>
        </w:rPr>
        <w:t>the</w:t>
      </w:r>
      <w:r w:rsidR="006B613C" w:rsidRPr="000A10A4">
        <w:rPr>
          <w:rFonts w:ascii="Cambria" w:hAnsi="Cambria" w:cstheme="minorHAnsi"/>
          <w:sz w:val="20"/>
          <w:szCs w:val="20"/>
        </w:rPr>
        <w:t xml:space="preserve"> </w:t>
      </w:r>
      <w:r w:rsidR="00226503" w:rsidRPr="000A10A4">
        <w:rPr>
          <w:rFonts w:ascii="Cambria" w:hAnsi="Cambria" w:cstheme="minorHAnsi"/>
          <w:sz w:val="20"/>
          <w:szCs w:val="20"/>
        </w:rPr>
        <w:t>HDN TT</w:t>
      </w:r>
      <w:r w:rsidR="006B613C" w:rsidRPr="000A10A4">
        <w:rPr>
          <w:rFonts w:ascii="Cambria" w:hAnsi="Cambria" w:cstheme="minorHAnsi"/>
          <w:sz w:val="20"/>
          <w:szCs w:val="20"/>
        </w:rPr>
        <w:t xml:space="preserve"> </w:t>
      </w:r>
      <w:r w:rsidR="00A973CF" w:rsidRPr="000A10A4">
        <w:rPr>
          <w:rFonts w:ascii="Cambria" w:hAnsi="Cambria" w:cstheme="minorHAnsi"/>
          <w:sz w:val="20"/>
          <w:szCs w:val="20"/>
        </w:rPr>
        <w:t>is:</w:t>
      </w:r>
    </w:p>
    <w:p w14:paraId="55A86029" w14:textId="77777777" w:rsidR="00210677" w:rsidRPr="000A10A4" w:rsidRDefault="00A973CF" w:rsidP="00404E53">
      <w:pPr>
        <w:pStyle w:val="ListParagraph"/>
        <w:numPr>
          <w:ilvl w:val="1"/>
          <w:numId w:val="2"/>
        </w:numPr>
        <w:spacing w:after="80"/>
        <w:ind w:left="993" w:hanging="284"/>
        <w:contextualSpacing w:val="0"/>
        <w:jc w:val="both"/>
        <w:rPr>
          <w:rFonts w:ascii="Cambria" w:hAnsi="Cambria" w:cstheme="minorHAnsi"/>
          <w:sz w:val="20"/>
          <w:szCs w:val="20"/>
        </w:rPr>
      </w:pPr>
      <w:r w:rsidRPr="000A10A4">
        <w:rPr>
          <w:rFonts w:ascii="Cambria" w:hAnsi="Cambria" w:cstheme="minorHAnsi"/>
          <w:sz w:val="20"/>
          <w:szCs w:val="20"/>
        </w:rPr>
        <w:t xml:space="preserve">To be </w:t>
      </w:r>
      <w:r w:rsidR="00210677" w:rsidRPr="000A10A4">
        <w:rPr>
          <w:rFonts w:ascii="Cambria" w:hAnsi="Cambria" w:cstheme="minorHAnsi"/>
          <w:sz w:val="20"/>
          <w:szCs w:val="20"/>
        </w:rPr>
        <w:t xml:space="preserve">a substantive, </w:t>
      </w:r>
      <w:r w:rsidR="004D0E31" w:rsidRPr="000A10A4">
        <w:rPr>
          <w:rFonts w:ascii="Cambria" w:hAnsi="Cambria" w:cstheme="minorHAnsi"/>
          <w:sz w:val="20"/>
          <w:szCs w:val="20"/>
        </w:rPr>
        <w:t xml:space="preserve">interagency </w:t>
      </w:r>
      <w:r w:rsidR="00210677" w:rsidRPr="000A10A4">
        <w:rPr>
          <w:rFonts w:ascii="Cambria" w:hAnsi="Cambria" w:cstheme="minorHAnsi"/>
          <w:sz w:val="20"/>
          <w:szCs w:val="20"/>
        </w:rPr>
        <w:t>policy oriented forum with linkages to the IASC Principals, through the Working Group.</w:t>
      </w:r>
    </w:p>
    <w:p w14:paraId="377DF8CF" w14:textId="77777777" w:rsidR="006B613C" w:rsidRPr="000A10A4" w:rsidRDefault="00A973CF" w:rsidP="00404E53">
      <w:pPr>
        <w:pStyle w:val="ListParagraph"/>
        <w:numPr>
          <w:ilvl w:val="1"/>
          <w:numId w:val="2"/>
        </w:numPr>
        <w:spacing w:after="80"/>
        <w:ind w:left="993" w:hanging="284"/>
        <w:contextualSpacing w:val="0"/>
        <w:jc w:val="both"/>
        <w:rPr>
          <w:rFonts w:ascii="Cambria" w:hAnsi="Cambria" w:cstheme="minorHAnsi"/>
          <w:sz w:val="20"/>
          <w:szCs w:val="20"/>
        </w:rPr>
      </w:pPr>
      <w:r w:rsidRPr="000A10A4">
        <w:rPr>
          <w:rFonts w:ascii="Cambria" w:hAnsi="Cambria" w:cstheme="minorHAnsi"/>
          <w:sz w:val="20"/>
          <w:szCs w:val="20"/>
        </w:rPr>
        <w:t xml:space="preserve">To </w:t>
      </w:r>
      <w:r w:rsidR="005614DD" w:rsidRPr="000A10A4">
        <w:rPr>
          <w:rFonts w:ascii="Cambria" w:hAnsi="Cambria" w:cstheme="minorHAnsi"/>
          <w:sz w:val="20"/>
          <w:szCs w:val="20"/>
        </w:rPr>
        <w:t xml:space="preserve">be the </w:t>
      </w:r>
      <w:r w:rsidR="00226503" w:rsidRPr="000A10A4">
        <w:rPr>
          <w:rFonts w:ascii="Cambria" w:hAnsi="Cambria" w:cstheme="minorHAnsi"/>
          <w:sz w:val="20"/>
          <w:szCs w:val="20"/>
        </w:rPr>
        <w:t>technical working</w:t>
      </w:r>
      <w:r w:rsidR="00210677" w:rsidRPr="000A10A4">
        <w:rPr>
          <w:rFonts w:ascii="Cambria" w:hAnsi="Cambria" w:cstheme="minorHAnsi"/>
          <w:sz w:val="20"/>
          <w:szCs w:val="20"/>
        </w:rPr>
        <w:t xml:space="preserve">-level counterpart to the UNDG: Through the </w:t>
      </w:r>
      <w:r w:rsidR="00A8587C" w:rsidRPr="000A10A4">
        <w:rPr>
          <w:rFonts w:ascii="Cambria" w:hAnsi="Cambria" w:cstheme="minorHAnsi"/>
          <w:sz w:val="20"/>
          <w:szCs w:val="20"/>
        </w:rPr>
        <w:t xml:space="preserve">already established </w:t>
      </w:r>
      <w:r w:rsidR="00210677" w:rsidRPr="000A10A4">
        <w:rPr>
          <w:rFonts w:ascii="Cambria" w:hAnsi="Cambria" w:cstheme="minorHAnsi"/>
          <w:sz w:val="20"/>
          <w:szCs w:val="20"/>
        </w:rPr>
        <w:t>joint IASC HDN TT and the UN WG on the Transitions</w:t>
      </w:r>
      <w:r w:rsidR="004B08FD" w:rsidRPr="000A10A4">
        <w:rPr>
          <w:rStyle w:val="FootnoteReference"/>
          <w:rFonts w:ascii="Cambria" w:hAnsi="Cambria" w:cstheme="minorHAnsi"/>
          <w:sz w:val="20"/>
          <w:szCs w:val="20"/>
        </w:rPr>
        <w:footnoteReference w:id="7"/>
      </w:r>
      <w:r w:rsidR="00210677" w:rsidRPr="000A10A4">
        <w:rPr>
          <w:rFonts w:ascii="Cambria" w:hAnsi="Cambria" w:cstheme="minorHAnsi"/>
          <w:sz w:val="20"/>
          <w:szCs w:val="20"/>
        </w:rPr>
        <w:t xml:space="preserve"> Plan of Action, building on the successful joint workshop in New York in October of 2016.</w:t>
      </w:r>
    </w:p>
    <w:p w14:paraId="76BEF6F6" w14:textId="77777777" w:rsidR="00683C54" w:rsidRPr="000A10A4" w:rsidRDefault="00A973CF">
      <w:pPr>
        <w:pStyle w:val="ListParagraph"/>
        <w:numPr>
          <w:ilvl w:val="1"/>
          <w:numId w:val="2"/>
        </w:numPr>
        <w:spacing w:after="80"/>
        <w:ind w:left="993" w:hanging="284"/>
        <w:contextualSpacing w:val="0"/>
        <w:jc w:val="both"/>
        <w:rPr>
          <w:rFonts w:ascii="Cambria" w:hAnsi="Cambria" w:cstheme="minorHAnsi"/>
          <w:sz w:val="20"/>
          <w:szCs w:val="20"/>
        </w:rPr>
      </w:pPr>
      <w:r w:rsidRPr="000A10A4">
        <w:rPr>
          <w:rFonts w:ascii="Cambria" w:hAnsi="Cambria" w:cstheme="minorHAnsi"/>
          <w:sz w:val="20"/>
          <w:szCs w:val="20"/>
        </w:rPr>
        <w:t xml:space="preserve">To have </w:t>
      </w:r>
      <w:r w:rsidR="00210677" w:rsidRPr="000A10A4">
        <w:rPr>
          <w:rFonts w:ascii="Cambria" w:hAnsi="Cambria" w:cstheme="minorHAnsi"/>
          <w:sz w:val="20"/>
          <w:szCs w:val="20"/>
        </w:rPr>
        <w:t>a b</w:t>
      </w:r>
      <w:r w:rsidR="004D0E31" w:rsidRPr="000A10A4">
        <w:rPr>
          <w:rFonts w:ascii="Cambria" w:hAnsi="Cambria" w:cstheme="minorHAnsi"/>
          <w:sz w:val="20"/>
          <w:szCs w:val="20"/>
        </w:rPr>
        <w:t>r</w:t>
      </w:r>
      <w:r w:rsidR="00210677" w:rsidRPr="000A10A4">
        <w:rPr>
          <w:rFonts w:ascii="Cambria" w:hAnsi="Cambria" w:cstheme="minorHAnsi"/>
          <w:sz w:val="20"/>
          <w:szCs w:val="20"/>
        </w:rPr>
        <w:t>oad</w:t>
      </w:r>
      <w:r w:rsidR="00CA65B9" w:rsidRPr="000A10A4">
        <w:rPr>
          <w:rFonts w:ascii="Cambria" w:hAnsi="Cambria" w:cstheme="minorHAnsi"/>
          <w:sz w:val="20"/>
          <w:szCs w:val="20"/>
        </w:rPr>
        <w:t xml:space="preserve"> representation </w:t>
      </w:r>
      <w:r w:rsidR="00A8587C" w:rsidRPr="000A10A4">
        <w:rPr>
          <w:rFonts w:ascii="Cambria" w:hAnsi="Cambria" w:cstheme="minorHAnsi"/>
          <w:sz w:val="20"/>
          <w:szCs w:val="20"/>
        </w:rPr>
        <w:t xml:space="preserve">and is inclusive </w:t>
      </w:r>
      <w:r w:rsidR="00CA65B9" w:rsidRPr="000A10A4">
        <w:rPr>
          <w:rFonts w:ascii="Cambria" w:hAnsi="Cambria" w:cstheme="minorHAnsi"/>
          <w:sz w:val="20"/>
          <w:szCs w:val="20"/>
        </w:rPr>
        <w:t>of non-UN organization</w:t>
      </w:r>
      <w:r w:rsidRPr="000A10A4">
        <w:rPr>
          <w:rFonts w:ascii="Cambria" w:hAnsi="Cambria" w:cstheme="minorHAnsi"/>
          <w:sz w:val="20"/>
          <w:szCs w:val="20"/>
        </w:rPr>
        <w:t xml:space="preserve"> through the NGO consortia present in the IASC, </w:t>
      </w:r>
      <w:r w:rsidR="00CA65B9" w:rsidRPr="000A10A4">
        <w:rPr>
          <w:rFonts w:ascii="Cambria" w:hAnsi="Cambria" w:cstheme="minorHAnsi"/>
          <w:sz w:val="20"/>
          <w:szCs w:val="20"/>
        </w:rPr>
        <w:t xml:space="preserve">some of them also </w:t>
      </w:r>
      <w:r w:rsidR="004D0E31" w:rsidRPr="000A10A4">
        <w:rPr>
          <w:rFonts w:ascii="Cambria" w:hAnsi="Cambria" w:cstheme="minorHAnsi"/>
          <w:sz w:val="20"/>
          <w:szCs w:val="20"/>
        </w:rPr>
        <w:t xml:space="preserve">with </w:t>
      </w:r>
      <w:r w:rsidR="00CA65B9" w:rsidRPr="000A10A4">
        <w:rPr>
          <w:rFonts w:ascii="Cambria" w:hAnsi="Cambria" w:cstheme="minorHAnsi"/>
          <w:sz w:val="20"/>
          <w:szCs w:val="20"/>
        </w:rPr>
        <w:t>peacebuilding expertise.</w:t>
      </w:r>
      <w:r w:rsidR="00210677" w:rsidRPr="000A10A4">
        <w:rPr>
          <w:rFonts w:ascii="Cambria" w:hAnsi="Cambria" w:cstheme="minorHAnsi"/>
          <w:sz w:val="20"/>
          <w:szCs w:val="20"/>
        </w:rPr>
        <w:t xml:space="preserve"> </w:t>
      </w:r>
      <w:r w:rsidR="004B08FD" w:rsidRPr="000A10A4">
        <w:rPr>
          <w:rFonts w:ascii="Cambria" w:hAnsi="Cambria" w:cstheme="minorHAnsi"/>
          <w:sz w:val="20"/>
          <w:szCs w:val="20"/>
        </w:rPr>
        <w:t>Expanding this participation, its scope and linkages in the timespan of the work of the TT is essential to the NWoW</w:t>
      </w:r>
      <w:r w:rsidR="00210677" w:rsidRPr="000A10A4">
        <w:rPr>
          <w:rFonts w:ascii="Cambria" w:hAnsi="Cambria" w:cstheme="minorHAnsi"/>
          <w:sz w:val="20"/>
          <w:szCs w:val="20"/>
        </w:rPr>
        <w:t>.</w:t>
      </w:r>
    </w:p>
    <w:p w14:paraId="17152C70" w14:textId="77777777" w:rsidR="00683C54" w:rsidRPr="000A10A4" w:rsidRDefault="00683C54">
      <w:pPr>
        <w:rPr>
          <w:rFonts w:ascii="Cambria" w:hAnsi="Cambria" w:cstheme="minorHAnsi"/>
          <w:sz w:val="20"/>
          <w:szCs w:val="20"/>
        </w:rPr>
      </w:pPr>
      <w:r w:rsidRPr="000A10A4">
        <w:rPr>
          <w:rFonts w:ascii="Cambria" w:hAnsi="Cambria" w:cstheme="minorHAnsi"/>
          <w:sz w:val="20"/>
          <w:szCs w:val="20"/>
        </w:rPr>
        <w:br w:type="page"/>
      </w:r>
    </w:p>
    <w:p w14:paraId="22567BE9" w14:textId="77777777" w:rsidR="00683C54" w:rsidRPr="000A10A4" w:rsidRDefault="00683C54" w:rsidP="00683C54">
      <w:pPr>
        <w:pStyle w:val="ListParagraph"/>
        <w:spacing w:after="80"/>
        <w:ind w:left="993"/>
        <w:contextualSpacing w:val="0"/>
        <w:jc w:val="both"/>
        <w:rPr>
          <w:rFonts w:ascii="Cambria" w:hAnsi="Cambria" w:cstheme="minorHAnsi"/>
          <w:sz w:val="20"/>
          <w:szCs w:val="20"/>
        </w:rPr>
        <w:sectPr w:rsidR="00683C54" w:rsidRPr="000A10A4" w:rsidSect="004A19D6">
          <w:headerReference w:type="default" r:id="rId8"/>
          <w:footerReference w:type="default" r:id="rId9"/>
          <w:pgSz w:w="12240" w:h="15840"/>
          <w:pgMar w:top="1137" w:right="1440" w:bottom="1440" w:left="1440" w:header="708" w:footer="708" w:gutter="0"/>
          <w:cols w:space="708"/>
          <w:docGrid w:linePitch="360"/>
        </w:sectPr>
      </w:pPr>
    </w:p>
    <w:p w14:paraId="6ADC6E76" w14:textId="531393CF" w:rsidR="00C01CAE" w:rsidRPr="000A10A4" w:rsidRDefault="00DF56F6" w:rsidP="00683C54">
      <w:pPr>
        <w:pStyle w:val="ListParagraph"/>
        <w:spacing w:after="80"/>
        <w:ind w:left="993"/>
        <w:contextualSpacing w:val="0"/>
        <w:jc w:val="both"/>
        <w:rPr>
          <w:rFonts w:ascii="Cambria" w:hAnsi="Cambria" w:cstheme="minorHAnsi"/>
          <w:sz w:val="20"/>
          <w:szCs w:val="20"/>
        </w:rPr>
      </w:pPr>
      <w:r>
        <w:rPr>
          <w:noProof/>
          <w:lang w:val="en-GB" w:eastAsia="en-GB"/>
        </w:rPr>
        <w:lastRenderedPageBreak/>
        <w:drawing>
          <wp:inline distT="0" distB="0" distL="0" distR="0" wp14:anchorId="311A3B1A" wp14:editId="377AAEFD">
            <wp:extent cx="8420100" cy="5928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420100" cy="5928995"/>
                    </a:xfrm>
                    <a:prstGeom prst="rect">
                      <a:avLst/>
                    </a:prstGeom>
                  </pic:spPr>
                </pic:pic>
              </a:graphicData>
            </a:graphic>
          </wp:inline>
        </w:drawing>
      </w:r>
    </w:p>
    <w:sectPr w:rsidR="00C01CAE" w:rsidRPr="000A10A4" w:rsidSect="00683C54">
      <w:pgSz w:w="15840" w:h="12240" w:orient="landscape"/>
      <w:pgMar w:top="1440" w:right="11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747A0" w14:textId="77777777" w:rsidR="009E3B8F" w:rsidRDefault="009E3B8F" w:rsidP="00A96663">
      <w:pPr>
        <w:spacing w:after="0" w:line="240" w:lineRule="auto"/>
      </w:pPr>
      <w:r>
        <w:separator/>
      </w:r>
    </w:p>
  </w:endnote>
  <w:endnote w:type="continuationSeparator" w:id="0">
    <w:p w14:paraId="6CF8DAF5" w14:textId="77777777" w:rsidR="009E3B8F" w:rsidRDefault="009E3B8F" w:rsidP="00A9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618264"/>
      <w:docPartObj>
        <w:docPartGallery w:val="Page Numbers (Bottom of Page)"/>
        <w:docPartUnique/>
      </w:docPartObj>
    </w:sdtPr>
    <w:sdtEndPr>
      <w:rPr>
        <w:noProof/>
      </w:rPr>
    </w:sdtEndPr>
    <w:sdtContent>
      <w:p w14:paraId="7D92A935" w14:textId="32253B23" w:rsidR="00A3620E" w:rsidRDefault="00A3620E">
        <w:pPr>
          <w:pStyle w:val="Footer"/>
          <w:jc w:val="right"/>
        </w:pPr>
        <w:r>
          <w:fldChar w:fldCharType="begin"/>
        </w:r>
        <w:r>
          <w:instrText xml:space="preserve"> PAGE   \* MERGEFORMAT </w:instrText>
        </w:r>
        <w:r>
          <w:fldChar w:fldCharType="separate"/>
        </w:r>
        <w:r w:rsidR="00FB3D4D">
          <w:rPr>
            <w:noProof/>
          </w:rPr>
          <w:t>5</w:t>
        </w:r>
        <w:r>
          <w:rPr>
            <w:noProof/>
          </w:rPr>
          <w:fldChar w:fldCharType="end"/>
        </w:r>
      </w:p>
    </w:sdtContent>
  </w:sdt>
  <w:p w14:paraId="3C985FE4" w14:textId="77777777" w:rsidR="00A3620E" w:rsidRDefault="00A36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DC082" w14:textId="77777777" w:rsidR="009E3B8F" w:rsidRDefault="009E3B8F" w:rsidP="00A96663">
      <w:pPr>
        <w:spacing w:after="0" w:line="240" w:lineRule="auto"/>
      </w:pPr>
      <w:r>
        <w:separator/>
      </w:r>
    </w:p>
  </w:footnote>
  <w:footnote w:type="continuationSeparator" w:id="0">
    <w:p w14:paraId="46B716A5" w14:textId="77777777" w:rsidR="009E3B8F" w:rsidRDefault="009E3B8F" w:rsidP="00A96663">
      <w:pPr>
        <w:spacing w:after="0" w:line="240" w:lineRule="auto"/>
      </w:pPr>
      <w:r>
        <w:continuationSeparator/>
      </w:r>
    </w:p>
  </w:footnote>
  <w:footnote w:id="1">
    <w:p w14:paraId="61D6DC8D" w14:textId="77777777" w:rsidR="00E95359" w:rsidRPr="00404E53" w:rsidRDefault="00E95359">
      <w:pPr>
        <w:pStyle w:val="FootnoteText"/>
        <w:rPr>
          <w:rFonts w:asciiTheme="majorHAnsi" w:hAnsiTheme="majorHAnsi"/>
          <w:sz w:val="16"/>
          <w:szCs w:val="16"/>
          <w:lang w:val="en-GB"/>
        </w:rPr>
      </w:pPr>
      <w:r w:rsidRPr="00404E53">
        <w:rPr>
          <w:rStyle w:val="FootnoteReference"/>
          <w:rFonts w:asciiTheme="majorHAnsi" w:hAnsiTheme="majorHAnsi"/>
          <w:sz w:val="16"/>
          <w:szCs w:val="16"/>
        </w:rPr>
        <w:footnoteRef/>
      </w:r>
      <w:r w:rsidRPr="00404E53">
        <w:rPr>
          <w:rFonts w:asciiTheme="majorHAnsi" w:hAnsiTheme="majorHAnsi"/>
          <w:sz w:val="16"/>
          <w:szCs w:val="16"/>
        </w:rPr>
        <w:t xml:space="preserve"> </w:t>
      </w:r>
      <w:r w:rsidRPr="00404E53">
        <w:rPr>
          <w:rFonts w:asciiTheme="majorHAnsi" w:hAnsiTheme="majorHAnsi"/>
          <w:sz w:val="16"/>
          <w:szCs w:val="16"/>
          <w:lang w:val="en-GB"/>
        </w:rPr>
        <w:t>See HC/RC Survey Results</w:t>
      </w:r>
    </w:p>
  </w:footnote>
  <w:footnote w:id="2">
    <w:p w14:paraId="0AD7EDA9" w14:textId="4B3F5663" w:rsidR="00932601" w:rsidRPr="00404E53" w:rsidRDefault="00932601" w:rsidP="00932601">
      <w:pPr>
        <w:pStyle w:val="FootnoteText"/>
        <w:rPr>
          <w:rFonts w:asciiTheme="majorHAnsi" w:hAnsiTheme="majorHAnsi"/>
          <w:sz w:val="16"/>
          <w:szCs w:val="16"/>
          <w:lang w:val="en-GB"/>
        </w:rPr>
      </w:pPr>
      <w:r w:rsidRPr="00404E53">
        <w:rPr>
          <w:rStyle w:val="FootnoteReference"/>
          <w:rFonts w:asciiTheme="majorHAnsi" w:hAnsiTheme="majorHAnsi"/>
          <w:sz w:val="16"/>
          <w:szCs w:val="16"/>
        </w:rPr>
        <w:footnoteRef/>
      </w:r>
      <w:r w:rsidRPr="00404E53">
        <w:rPr>
          <w:rFonts w:asciiTheme="majorHAnsi" w:hAnsiTheme="majorHAnsi"/>
          <w:sz w:val="16"/>
          <w:szCs w:val="16"/>
        </w:rPr>
        <w:t xml:space="preserve"> For full articulation of these </w:t>
      </w:r>
      <w:r w:rsidR="002521AA">
        <w:rPr>
          <w:rFonts w:asciiTheme="majorHAnsi" w:hAnsiTheme="majorHAnsi"/>
          <w:sz w:val="16"/>
          <w:szCs w:val="16"/>
        </w:rPr>
        <w:t>lines of thought</w:t>
      </w:r>
      <w:r w:rsidRPr="00404E53">
        <w:rPr>
          <w:rFonts w:asciiTheme="majorHAnsi" w:hAnsiTheme="majorHAnsi"/>
          <w:sz w:val="16"/>
          <w:szCs w:val="16"/>
        </w:rPr>
        <w:t>, refer to Analysis Peace on the Intersection between NWoW and Sustaining Peace</w:t>
      </w:r>
      <w:r w:rsidR="00A420B5">
        <w:rPr>
          <w:rFonts w:asciiTheme="majorHAnsi" w:hAnsiTheme="majorHAnsi"/>
          <w:sz w:val="16"/>
          <w:szCs w:val="16"/>
        </w:rPr>
        <w:t>.</w:t>
      </w:r>
    </w:p>
  </w:footnote>
  <w:footnote w:id="3">
    <w:p w14:paraId="18C5171B" w14:textId="63DEBE67" w:rsidR="003D3351" w:rsidRPr="00404E53" w:rsidRDefault="003D3351">
      <w:pPr>
        <w:pStyle w:val="FootnoteText"/>
        <w:rPr>
          <w:rFonts w:asciiTheme="majorHAnsi" w:hAnsiTheme="majorHAnsi"/>
          <w:sz w:val="16"/>
          <w:szCs w:val="16"/>
          <w:lang w:val="en-GB"/>
        </w:rPr>
      </w:pPr>
      <w:r w:rsidRPr="00404E53">
        <w:rPr>
          <w:rStyle w:val="FootnoteReference"/>
          <w:rFonts w:asciiTheme="majorHAnsi" w:hAnsiTheme="majorHAnsi"/>
          <w:sz w:val="16"/>
          <w:szCs w:val="16"/>
        </w:rPr>
        <w:footnoteRef/>
      </w:r>
      <w:r w:rsidRPr="00404E53">
        <w:rPr>
          <w:rFonts w:asciiTheme="majorHAnsi" w:hAnsiTheme="majorHAnsi"/>
          <w:sz w:val="16"/>
          <w:szCs w:val="16"/>
        </w:rPr>
        <w:t xml:space="preserve"> </w:t>
      </w:r>
      <w:r w:rsidRPr="00404E53">
        <w:rPr>
          <w:rFonts w:asciiTheme="majorHAnsi" w:hAnsiTheme="majorHAnsi"/>
          <w:sz w:val="16"/>
          <w:szCs w:val="16"/>
          <w:lang w:val="en-GB"/>
        </w:rPr>
        <w:t xml:space="preserve">This is drawn from </w:t>
      </w:r>
      <w:r w:rsidR="00280DA4" w:rsidRPr="00404E53">
        <w:rPr>
          <w:rFonts w:asciiTheme="majorHAnsi" w:hAnsiTheme="majorHAnsi"/>
          <w:sz w:val="16"/>
          <w:szCs w:val="16"/>
          <w:lang w:val="en-GB"/>
        </w:rPr>
        <w:t xml:space="preserve">TT meeting summaries, </w:t>
      </w:r>
      <w:r w:rsidRPr="00404E53">
        <w:rPr>
          <w:rFonts w:asciiTheme="majorHAnsi" w:hAnsiTheme="majorHAnsi"/>
          <w:sz w:val="16"/>
          <w:szCs w:val="16"/>
          <w:lang w:val="en-GB"/>
        </w:rPr>
        <w:t>a series of bilateral conversations with TT members, as well as strategic discussion</w:t>
      </w:r>
      <w:r w:rsidR="00A420B5">
        <w:rPr>
          <w:rFonts w:asciiTheme="majorHAnsi" w:hAnsiTheme="majorHAnsi"/>
          <w:sz w:val="16"/>
          <w:szCs w:val="16"/>
          <w:lang w:val="en-GB"/>
        </w:rPr>
        <w:t>s with co-chairs of other IASC References Groups and Task T</w:t>
      </w:r>
      <w:r w:rsidRPr="00404E53">
        <w:rPr>
          <w:rFonts w:asciiTheme="majorHAnsi" w:hAnsiTheme="majorHAnsi"/>
          <w:sz w:val="16"/>
          <w:szCs w:val="16"/>
          <w:lang w:val="en-GB"/>
        </w:rPr>
        <w:t xml:space="preserve">eams </w:t>
      </w:r>
      <w:r w:rsidR="00280DA4" w:rsidRPr="00404E53">
        <w:rPr>
          <w:rFonts w:asciiTheme="majorHAnsi" w:hAnsiTheme="majorHAnsi"/>
          <w:sz w:val="16"/>
          <w:szCs w:val="16"/>
          <w:lang w:val="en-GB"/>
        </w:rPr>
        <w:t>and</w:t>
      </w:r>
      <w:r w:rsidRPr="00404E53">
        <w:rPr>
          <w:rFonts w:asciiTheme="majorHAnsi" w:hAnsiTheme="majorHAnsi"/>
          <w:sz w:val="16"/>
          <w:szCs w:val="16"/>
          <w:lang w:val="en-GB"/>
        </w:rPr>
        <w:t xml:space="preserve"> subsidiary bodies in the UNDG.</w:t>
      </w:r>
      <w:r w:rsidR="00A4745F" w:rsidRPr="00404E53">
        <w:rPr>
          <w:rFonts w:asciiTheme="majorHAnsi" w:hAnsiTheme="majorHAnsi"/>
          <w:sz w:val="16"/>
          <w:szCs w:val="16"/>
          <w:lang w:val="en-GB"/>
        </w:rPr>
        <w:t xml:space="preserve"> (undertaken by TT Co-chairs in the period Dec 16-March 17).</w:t>
      </w:r>
    </w:p>
  </w:footnote>
  <w:footnote w:id="4">
    <w:p w14:paraId="5C142ED0" w14:textId="77777777" w:rsidR="00280DA4" w:rsidRPr="00404E53" w:rsidRDefault="00280DA4">
      <w:pPr>
        <w:pStyle w:val="FootnoteText"/>
        <w:rPr>
          <w:rFonts w:asciiTheme="majorHAnsi" w:hAnsiTheme="majorHAnsi"/>
          <w:sz w:val="16"/>
          <w:szCs w:val="16"/>
        </w:rPr>
      </w:pPr>
      <w:r w:rsidRPr="00404E53">
        <w:rPr>
          <w:rStyle w:val="FootnoteReference"/>
          <w:rFonts w:asciiTheme="majorHAnsi" w:hAnsiTheme="majorHAnsi"/>
          <w:sz w:val="16"/>
          <w:szCs w:val="16"/>
        </w:rPr>
        <w:footnoteRef/>
      </w:r>
      <w:r w:rsidRPr="00404E53">
        <w:rPr>
          <w:rFonts w:asciiTheme="majorHAnsi" w:hAnsiTheme="majorHAnsi"/>
          <w:sz w:val="16"/>
          <w:szCs w:val="16"/>
        </w:rPr>
        <w:t xml:space="preserve"> Subsidiary bodies of the IASC are not limited to the official membership of the IASC. </w:t>
      </w:r>
    </w:p>
  </w:footnote>
  <w:footnote w:id="5">
    <w:p w14:paraId="0D54D0C2" w14:textId="77777777" w:rsidR="00F419B8" w:rsidRPr="00404E53" w:rsidRDefault="00F419B8" w:rsidP="00F419B8">
      <w:pPr>
        <w:pStyle w:val="FootnoteText"/>
        <w:rPr>
          <w:rFonts w:asciiTheme="majorHAnsi" w:hAnsiTheme="majorHAnsi"/>
          <w:sz w:val="16"/>
          <w:szCs w:val="16"/>
          <w:lang w:val="en-GB"/>
        </w:rPr>
      </w:pPr>
      <w:r w:rsidRPr="00404E53">
        <w:rPr>
          <w:rStyle w:val="FootnoteReference"/>
          <w:rFonts w:asciiTheme="majorHAnsi" w:hAnsiTheme="majorHAnsi"/>
          <w:sz w:val="16"/>
          <w:szCs w:val="16"/>
        </w:rPr>
        <w:footnoteRef/>
      </w:r>
      <w:r w:rsidRPr="00404E53">
        <w:rPr>
          <w:rFonts w:asciiTheme="majorHAnsi" w:hAnsiTheme="majorHAnsi"/>
          <w:sz w:val="16"/>
          <w:szCs w:val="16"/>
        </w:rPr>
        <w:t xml:space="preserve"> </w:t>
      </w:r>
      <w:r w:rsidRPr="00404E53">
        <w:rPr>
          <w:rFonts w:asciiTheme="majorHAnsi" w:hAnsiTheme="majorHAnsi"/>
          <w:sz w:val="16"/>
          <w:szCs w:val="16"/>
          <w:lang w:val="en-GB"/>
        </w:rPr>
        <w:t>See workplan of activities for full details on concrete activities.</w:t>
      </w:r>
    </w:p>
  </w:footnote>
  <w:footnote w:id="6">
    <w:p w14:paraId="09D96B3C" w14:textId="77777777" w:rsidR="00226503" w:rsidRPr="00404E53" w:rsidRDefault="00F46F5D">
      <w:pPr>
        <w:pStyle w:val="FootnoteText"/>
        <w:rPr>
          <w:rFonts w:asciiTheme="majorHAnsi" w:hAnsiTheme="majorHAnsi"/>
          <w:sz w:val="16"/>
          <w:szCs w:val="16"/>
          <w:lang w:val="en-GB"/>
        </w:rPr>
      </w:pPr>
      <w:r w:rsidRPr="00404E53">
        <w:rPr>
          <w:rStyle w:val="FootnoteReference"/>
          <w:rFonts w:asciiTheme="majorHAnsi" w:hAnsiTheme="majorHAnsi"/>
          <w:sz w:val="16"/>
          <w:szCs w:val="16"/>
        </w:rPr>
        <w:footnoteRef/>
      </w:r>
      <w:r w:rsidRPr="00404E53">
        <w:rPr>
          <w:rFonts w:asciiTheme="majorHAnsi" w:hAnsiTheme="majorHAnsi"/>
          <w:sz w:val="16"/>
          <w:szCs w:val="16"/>
        </w:rPr>
        <w:t xml:space="preserve"> </w:t>
      </w:r>
      <w:r w:rsidRPr="00404E53">
        <w:rPr>
          <w:rFonts w:asciiTheme="majorHAnsi" w:hAnsiTheme="majorHAnsi"/>
          <w:sz w:val="16"/>
          <w:szCs w:val="16"/>
          <w:lang w:val="en-GB"/>
        </w:rPr>
        <w:t>See full value added mapping in annex</w:t>
      </w:r>
    </w:p>
  </w:footnote>
  <w:footnote w:id="7">
    <w:p w14:paraId="74F39E95" w14:textId="77777777" w:rsidR="004B08FD" w:rsidRPr="00404E53" w:rsidRDefault="004B08FD">
      <w:pPr>
        <w:pStyle w:val="FootnoteText"/>
        <w:rPr>
          <w:rFonts w:asciiTheme="majorHAnsi" w:hAnsiTheme="majorHAnsi"/>
          <w:sz w:val="16"/>
          <w:szCs w:val="16"/>
          <w:lang w:val="en-GB"/>
        </w:rPr>
      </w:pPr>
      <w:r w:rsidRPr="00404E53">
        <w:rPr>
          <w:rStyle w:val="FootnoteReference"/>
          <w:rFonts w:asciiTheme="majorHAnsi" w:hAnsiTheme="majorHAnsi"/>
          <w:sz w:val="16"/>
          <w:szCs w:val="16"/>
        </w:rPr>
        <w:footnoteRef/>
      </w:r>
      <w:r w:rsidRPr="00404E53">
        <w:rPr>
          <w:rFonts w:asciiTheme="majorHAnsi" w:hAnsiTheme="majorHAnsi"/>
          <w:sz w:val="16"/>
          <w:szCs w:val="16"/>
        </w:rPr>
        <w:t xml:space="preserve"> </w:t>
      </w:r>
      <w:r w:rsidRPr="00404E53">
        <w:rPr>
          <w:rFonts w:asciiTheme="majorHAnsi" w:hAnsiTheme="majorHAnsi"/>
          <w:sz w:val="16"/>
          <w:szCs w:val="16"/>
          <w:lang w:val="en-GB"/>
        </w:rPr>
        <w:t>and its successor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6585" w14:textId="0299397E" w:rsidR="00A96663" w:rsidRPr="00A96663" w:rsidRDefault="009E3B8F" w:rsidP="00A32FDC">
    <w:pPr>
      <w:pStyle w:val="Header"/>
      <w:jc w:val="right"/>
      <w:rPr>
        <w:lang w:val="en-GB"/>
      </w:rPr>
    </w:pPr>
    <w:sdt>
      <w:sdtPr>
        <w:rPr>
          <w:lang w:val="en-GB"/>
        </w:rPr>
        <w:id w:val="-486860165"/>
        <w:docPartObj>
          <w:docPartGallery w:val="Watermarks"/>
          <w:docPartUnique/>
        </w:docPartObj>
      </w:sdtPr>
      <w:sdtEndPr/>
      <w:sdtContent>
        <w:r>
          <w:rPr>
            <w:noProof/>
            <w:lang w:val="en-GB" w:eastAsia="en-US"/>
          </w:rPr>
          <w:pict w14:anchorId="16E81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32FDC">
      <w:rPr>
        <w:lang w:val="en-GB"/>
      </w:rPr>
      <w:t>As of</w:t>
    </w:r>
    <w:r w:rsidR="00A96663">
      <w:rPr>
        <w:lang w:val="en-GB"/>
      </w:rPr>
      <w:t xml:space="preserve"> </w:t>
    </w:r>
    <w:r w:rsidR="00A96663" w:rsidRPr="00404E53">
      <w:rPr>
        <w:color w:val="FF0000"/>
        <w:lang w:val="en-GB"/>
      </w:rPr>
      <w:t>2</w:t>
    </w:r>
    <w:r w:rsidR="000236EE">
      <w:rPr>
        <w:color w:val="FF0000"/>
        <w:lang w:val="en-GB"/>
      </w:rPr>
      <w:t>7</w:t>
    </w:r>
    <w:r w:rsidR="00A96663" w:rsidRPr="00404E53">
      <w:rPr>
        <w:color w:val="FF0000"/>
        <w:lang w:val="en-GB"/>
      </w:rPr>
      <w:t>.06.2017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6ACA"/>
    <w:multiLevelType w:val="hybridMultilevel"/>
    <w:tmpl w:val="C658C676"/>
    <w:lvl w:ilvl="0" w:tplc="08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067465"/>
    <w:multiLevelType w:val="hybridMultilevel"/>
    <w:tmpl w:val="30C0A1DE"/>
    <w:lvl w:ilvl="0" w:tplc="08090017">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30D45"/>
    <w:multiLevelType w:val="hybridMultilevel"/>
    <w:tmpl w:val="7360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A5731"/>
    <w:multiLevelType w:val="hybridMultilevel"/>
    <w:tmpl w:val="375AE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4242C7"/>
    <w:multiLevelType w:val="hybridMultilevel"/>
    <w:tmpl w:val="1FBA8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E33BE"/>
    <w:multiLevelType w:val="hybridMultilevel"/>
    <w:tmpl w:val="8ED897FE"/>
    <w:lvl w:ilvl="0" w:tplc="B734E30C">
      <w:start w:val="74"/>
      <w:numFmt w:val="bullet"/>
      <w:lvlText w:val="-"/>
      <w:lvlJc w:val="left"/>
      <w:pPr>
        <w:ind w:left="1080" w:hanging="360"/>
      </w:pPr>
      <w:rPr>
        <w:rFonts w:ascii="Cambria" w:eastAsiaTheme="minorEastAsia"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8182D"/>
    <w:multiLevelType w:val="hybridMultilevel"/>
    <w:tmpl w:val="67F81B36"/>
    <w:lvl w:ilvl="0" w:tplc="B734E30C">
      <w:start w:val="74"/>
      <w:numFmt w:val="bullet"/>
      <w:lvlText w:val="-"/>
      <w:lvlJc w:val="left"/>
      <w:pPr>
        <w:ind w:left="1080" w:hanging="360"/>
      </w:pPr>
      <w:rPr>
        <w:rFonts w:ascii="Cambria" w:eastAsiaTheme="minorEastAsia"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63"/>
    <w:rsid w:val="000236EE"/>
    <w:rsid w:val="00040E4F"/>
    <w:rsid w:val="00086981"/>
    <w:rsid w:val="00092CD2"/>
    <w:rsid w:val="000A10A4"/>
    <w:rsid w:val="000B14D4"/>
    <w:rsid w:val="000D3630"/>
    <w:rsid w:val="000D7C62"/>
    <w:rsid w:val="000E14D7"/>
    <w:rsid w:val="00103514"/>
    <w:rsid w:val="00104809"/>
    <w:rsid w:val="00133A24"/>
    <w:rsid w:val="00145AC9"/>
    <w:rsid w:val="00177599"/>
    <w:rsid w:val="001D73E8"/>
    <w:rsid w:val="001F5A46"/>
    <w:rsid w:val="00210677"/>
    <w:rsid w:val="00210793"/>
    <w:rsid w:val="00226503"/>
    <w:rsid w:val="00227672"/>
    <w:rsid w:val="00232CFF"/>
    <w:rsid w:val="002331A2"/>
    <w:rsid w:val="0023768E"/>
    <w:rsid w:val="0024332C"/>
    <w:rsid w:val="002521AA"/>
    <w:rsid w:val="00275181"/>
    <w:rsid w:val="00280DA4"/>
    <w:rsid w:val="002A2521"/>
    <w:rsid w:val="002D292C"/>
    <w:rsid w:val="002E5C41"/>
    <w:rsid w:val="0035037D"/>
    <w:rsid w:val="0035534C"/>
    <w:rsid w:val="0037456D"/>
    <w:rsid w:val="003C0B62"/>
    <w:rsid w:val="003C4425"/>
    <w:rsid w:val="003D3351"/>
    <w:rsid w:val="003E62B3"/>
    <w:rsid w:val="00404E53"/>
    <w:rsid w:val="00460777"/>
    <w:rsid w:val="00470DCF"/>
    <w:rsid w:val="0049268A"/>
    <w:rsid w:val="004A19D6"/>
    <w:rsid w:val="004B08FD"/>
    <w:rsid w:val="004B2B97"/>
    <w:rsid w:val="004D0E31"/>
    <w:rsid w:val="005268CB"/>
    <w:rsid w:val="0054025F"/>
    <w:rsid w:val="00540DDC"/>
    <w:rsid w:val="005614DD"/>
    <w:rsid w:val="005A2F7E"/>
    <w:rsid w:val="005A6BA6"/>
    <w:rsid w:val="005C7DCC"/>
    <w:rsid w:val="00627818"/>
    <w:rsid w:val="00662DD2"/>
    <w:rsid w:val="00683C54"/>
    <w:rsid w:val="006A2CB7"/>
    <w:rsid w:val="006B14D7"/>
    <w:rsid w:val="006B613C"/>
    <w:rsid w:val="006F44DD"/>
    <w:rsid w:val="007106D6"/>
    <w:rsid w:val="0071261D"/>
    <w:rsid w:val="007349CD"/>
    <w:rsid w:val="00761C08"/>
    <w:rsid w:val="00865EBD"/>
    <w:rsid w:val="008A6413"/>
    <w:rsid w:val="008B6619"/>
    <w:rsid w:val="008C201C"/>
    <w:rsid w:val="008E656E"/>
    <w:rsid w:val="00932601"/>
    <w:rsid w:val="00932751"/>
    <w:rsid w:val="00970A2F"/>
    <w:rsid w:val="0098276D"/>
    <w:rsid w:val="009860E3"/>
    <w:rsid w:val="009A3F3F"/>
    <w:rsid w:val="009C7D0A"/>
    <w:rsid w:val="009D6001"/>
    <w:rsid w:val="009E3B8F"/>
    <w:rsid w:val="009F148F"/>
    <w:rsid w:val="00A32FDC"/>
    <w:rsid w:val="00A3620E"/>
    <w:rsid w:val="00A37133"/>
    <w:rsid w:val="00A420B5"/>
    <w:rsid w:val="00A4745F"/>
    <w:rsid w:val="00A65143"/>
    <w:rsid w:val="00A8587C"/>
    <w:rsid w:val="00A87BD9"/>
    <w:rsid w:val="00A96663"/>
    <w:rsid w:val="00A968E5"/>
    <w:rsid w:val="00A973CF"/>
    <w:rsid w:val="00AB7923"/>
    <w:rsid w:val="00AC3004"/>
    <w:rsid w:val="00B214FA"/>
    <w:rsid w:val="00B331B9"/>
    <w:rsid w:val="00B54C76"/>
    <w:rsid w:val="00B609B7"/>
    <w:rsid w:val="00B643BF"/>
    <w:rsid w:val="00BA33EC"/>
    <w:rsid w:val="00BE7870"/>
    <w:rsid w:val="00C01CAE"/>
    <w:rsid w:val="00C02FCE"/>
    <w:rsid w:val="00C17EB0"/>
    <w:rsid w:val="00C30D9E"/>
    <w:rsid w:val="00C37F25"/>
    <w:rsid w:val="00C42988"/>
    <w:rsid w:val="00CA65B9"/>
    <w:rsid w:val="00CB03D7"/>
    <w:rsid w:val="00CC154E"/>
    <w:rsid w:val="00CD1046"/>
    <w:rsid w:val="00CD4259"/>
    <w:rsid w:val="00CF5DBA"/>
    <w:rsid w:val="00CF78B6"/>
    <w:rsid w:val="00D03444"/>
    <w:rsid w:val="00D057B4"/>
    <w:rsid w:val="00D26B5F"/>
    <w:rsid w:val="00D43786"/>
    <w:rsid w:val="00DA118E"/>
    <w:rsid w:val="00DA6A1C"/>
    <w:rsid w:val="00DF56F6"/>
    <w:rsid w:val="00E15CD1"/>
    <w:rsid w:val="00E345FC"/>
    <w:rsid w:val="00E770FB"/>
    <w:rsid w:val="00E87BE4"/>
    <w:rsid w:val="00E95359"/>
    <w:rsid w:val="00EB50E3"/>
    <w:rsid w:val="00EC59FD"/>
    <w:rsid w:val="00F24279"/>
    <w:rsid w:val="00F31682"/>
    <w:rsid w:val="00F419B8"/>
    <w:rsid w:val="00F41D97"/>
    <w:rsid w:val="00F46F5D"/>
    <w:rsid w:val="00F47C67"/>
    <w:rsid w:val="00FB3D4D"/>
    <w:rsid w:val="00FD09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4F33F4"/>
  <w15:docId w15:val="{CF3EE6F0-8991-47E4-9186-425A4440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6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663"/>
  </w:style>
  <w:style w:type="paragraph" w:styleId="Footer">
    <w:name w:val="footer"/>
    <w:basedOn w:val="Normal"/>
    <w:link w:val="FooterChar"/>
    <w:uiPriority w:val="99"/>
    <w:unhideWhenUsed/>
    <w:rsid w:val="00A96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663"/>
  </w:style>
  <w:style w:type="paragraph" w:styleId="ListParagraph">
    <w:name w:val="List Paragraph"/>
    <w:basedOn w:val="Normal"/>
    <w:uiPriority w:val="34"/>
    <w:qFormat/>
    <w:rsid w:val="00A96663"/>
    <w:pPr>
      <w:ind w:left="720"/>
      <w:contextualSpacing/>
    </w:pPr>
  </w:style>
  <w:style w:type="paragraph" w:styleId="FootnoteText">
    <w:name w:val="footnote text"/>
    <w:basedOn w:val="Normal"/>
    <w:link w:val="FootnoteTextChar"/>
    <w:uiPriority w:val="99"/>
    <w:semiHidden/>
    <w:unhideWhenUsed/>
    <w:rsid w:val="003D3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351"/>
    <w:rPr>
      <w:sz w:val="20"/>
      <w:szCs w:val="20"/>
    </w:rPr>
  </w:style>
  <w:style w:type="character" w:styleId="FootnoteReference">
    <w:name w:val="footnote reference"/>
    <w:basedOn w:val="DefaultParagraphFont"/>
    <w:uiPriority w:val="99"/>
    <w:semiHidden/>
    <w:unhideWhenUsed/>
    <w:rsid w:val="003D3351"/>
    <w:rPr>
      <w:vertAlign w:val="superscript"/>
    </w:rPr>
  </w:style>
  <w:style w:type="paragraph" w:styleId="BalloonText">
    <w:name w:val="Balloon Text"/>
    <w:basedOn w:val="Normal"/>
    <w:link w:val="BalloonTextChar"/>
    <w:uiPriority w:val="99"/>
    <w:semiHidden/>
    <w:unhideWhenUsed/>
    <w:rsid w:val="00275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81"/>
    <w:rPr>
      <w:rFonts w:ascii="Segoe UI" w:hAnsi="Segoe UI" w:cs="Segoe UI"/>
      <w:sz w:val="18"/>
      <w:szCs w:val="18"/>
    </w:rPr>
  </w:style>
  <w:style w:type="character" w:styleId="CommentReference">
    <w:name w:val="annotation reference"/>
    <w:basedOn w:val="DefaultParagraphFont"/>
    <w:uiPriority w:val="99"/>
    <w:semiHidden/>
    <w:unhideWhenUsed/>
    <w:rsid w:val="004A19D6"/>
    <w:rPr>
      <w:sz w:val="16"/>
      <w:szCs w:val="16"/>
    </w:rPr>
  </w:style>
  <w:style w:type="paragraph" w:styleId="CommentText">
    <w:name w:val="annotation text"/>
    <w:basedOn w:val="Normal"/>
    <w:link w:val="CommentTextChar"/>
    <w:uiPriority w:val="99"/>
    <w:semiHidden/>
    <w:unhideWhenUsed/>
    <w:rsid w:val="004A19D6"/>
    <w:pPr>
      <w:spacing w:line="240" w:lineRule="auto"/>
    </w:pPr>
    <w:rPr>
      <w:sz w:val="20"/>
      <w:szCs w:val="20"/>
    </w:rPr>
  </w:style>
  <w:style w:type="character" w:customStyle="1" w:styleId="CommentTextChar">
    <w:name w:val="Comment Text Char"/>
    <w:basedOn w:val="DefaultParagraphFont"/>
    <w:link w:val="CommentText"/>
    <w:uiPriority w:val="99"/>
    <w:semiHidden/>
    <w:rsid w:val="004A19D6"/>
    <w:rPr>
      <w:sz w:val="20"/>
      <w:szCs w:val="20"/>
    </w:rPr>
  </w:style>
  <w:style w:type="paragraph" w:styleId="CommentSubject">
    <w:name w:val="annotation subject"/>
    <w:basedOn w:val="CommentText"/>
    <w:next w:val="CommentText"/>
    <w:link w:val="CommentSubjectChar"/>
    <w:uiPriority w:val="99"/>
    <w:semiHidden/>
    <w:unhideWhenUsed/>
    <w:rsid w:val="004A19D6"/>
    <w:rPr>
      <w:b/>
      <w:bCs/>
    </w:rPr>
  </w:style>
  <w:style w:type="character" w:customStyle="1" w:styleId="CommentSubjectChar">
    <w:name w:val="Comment Subject Char"/>
    <w:basedOn w:val="CommentTextChar"/>
    <w:link w:val="CommentSubject"/>
    <w:uiPriority w:val="99"/>
    <w:semiHidden/>
    <w:rsid w:val="004A1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6373">
      <w:bodyDiv w:val="1"/>
      <w:marLeft w:val="0"/>
      <w:marRight w:val="0"/>
      <w:marTop w:val="0"/>
      <w:marBottom w:val="0"/>
      <w:divBdr>
        <w:top w:val="none" w:sz="0" w:space="0" w:color="auto"/>
        <w:left w:val="none" w:sz="0" w:space="0" w:color="auto"/>
        <w:bottom w:val="none" w:sz="0" w:space="0" w:color="auto"/>
        <w:right w:val="none" w:sz="0" w:space="0" w:color="auto"/>
      </w:divBdr>
    </w:div>
    <w:div w:id="567035810">
      <w:bodyDiv w:val="1"/>
      <w:marLeft w:val="0"/>
      <w:marRight w:val="0"/>
      <w:marTop w:val="0"/>
      <w:marBottom w:val="0"/>
      <w:divBdr>
        <w:top w:val="none" w:sz="0" w:space="0" w:color="auto"/>
        <w:left w:val="none" w:sz="0" w:space="0" w:color="auto"/>
        <w:bottom w:val="none" w:sz="0" w:space="0" w:color="auto"/>
        <w:right w:val="none" w:sz="0" w:space="0" w:color="auto"/>
      </w:divBdr>
    </w:div>
    <w:div w:id="1025907862">
      <w:bodyDiv w:val="1"/>
      <w:marLeft w:val="0"/>
      <w:marRight w:val="0"/>
      <w:marTop w:val="0"/>
      <w:marBottom w:val="0"/>
      <w:divBdr>
        <w:top w:val="none" w:sz="0" w:space="0" w:color="auto"/>
        <w:left w:val="none" w:sz="0" w:space="0" w:color="auto"/>
        <w:bottom w:val="none" w:sz="0" w:space="0" w:color="auto"/>
        <w:right w:val="none" w:sz="0" w:space="0" w:color="auto"/>
      </w:divBdr>
    </w:div>
    <w:div w:id="1449932208">
      <w:bodyDiv w:val="1"/>
      <w:marLeft w:val="0"/>
      <w:marRight w:val="0"/>
      <w:marTop w:val="0"/>
      <w:marBottom w:val="0"/>
      <w:divBdr>
        <w:top w:val="none" w:sz="0" w:space="0" w:color="auto"/>
        <w:left w:val="none" w:sz="0" w:space="0" w:color="auto"/>
        <w:bottom w:val="none" w:sz="0" w:space="0" w:color="auto"/>
        <w:right w:val="none" w:sz="0" w:space="0" w:color="auto"/>
      </w:divBdr>
    </w:div>
    <w:div w:id="18875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AC2D-7A5C-4C88-A2B0-5C522E93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POKU, Kwame</dc:creator>
  <cp:lastModifiedBy>Sara SEKKENES</cp:lastModifiedBy>
  <cp:revision>6</cp:revision>
  <cp:lastPrinted>2017-06-27T13:45:00Z</cp:lastPrinted>
  <dcterms:created xsi:type="dcterms:W3CDTF">2017-06-28T07:57:00Z</dcterms:created>
  <dcterms:modified xsi:type="dcterms:W3CDTF">2017-06-29T07:55:00Z</dcterms:modified>
</cp:coreProperties>
</file>