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9C" w:rsidRPr="001A3DF5" w:rsidRDefault="00A6599C" w:rsidP="00A6599C">
      <w:pPr>
        <w:pStyle w:val="NoSpacing"/>
        <w:rPr>
          <w:rFonts w:asciiTheme="majorHAnsi" w:hAnsiTheme="majorHAnsi"/>
        </w:rPr>
      </w:pPr>
      <w:bookmarkStart w:id="0" w:name="_GoBack"/>
      <w:bookmarkEnd w:id="0"/>
      <w:r w:rsidRPr="001A3DF5">
        <w:rPr>
          <w:rFonts w:asciiTheme="majorHAnsi" w:hAnsiTheme="majorHAnsi"/>
        </w:rPr>
        <w:t>Inter-agency Standing Committee Task Team on strengthening the humanitarian development nexus in protracted settings</w:t>
      </w:r>
      <w:r w:rsidR="00FA18C3" w:rsidRPr="001A3DF5">
        <w:rPr>
          <w:rStyle w:val="FootnoteReference"/>
          <w:rFonts w:asciiTheme="majorHAnsi" w:hAnsiTheme="majorHAnsi"/>
        </w:rPr>
        <w:footnoteReference w:id="1"/>
      </w:r>
    </w:p>
    <w:tbl>
      <w:tblPr>
        <w:tblStyle w:val="TableGrid"/>
        <w:tblpPr w:leftFromText="180" w:rightFromText="180" w:vertAnchor="page" w:horzAnchor="margin" w:tblpY="2821"/>
        <w:tblW w:w="20946" w:type="dxa"/>
        <w:tblLayout w:type="fixed"/>
        <w:tblLook w:val="04A0" w:firstRow="1" w:lastRow="0" w:firstColumn="1" w:lastColumn="0" w:noHBand="0" w:noVBand="1"/>
      </w:tblPr>
      <w:tblGrid>
        <w:gridCol w:w="1936"/>
        <w:gridCol w:w="7953"/>
        <w:gridCol w:w="2232"/>
        <w:gridCol w:w="4752"/>
        <w:gridCol w:w="1946"/>
        <w:gridCol w:w="2127"/>
      </w:tblGrid>
      <w:tr w:rsidR="00A600B0" w:rsidRPr="001A3DF5" w:rsidTr="00307641">
        <w:trPr>
          <w:trHeight w:val="536"/>
        </w:trPr>
        <w:tc>
          <w:tcPr>
            <w:tcW w:w="1936" w:type="dxa"/>
            <w:shd w:val="clear" w:color="auto" w:fill="C4BC96" w:themeFill="background2" w:themeFillShade="BF"/>
            <w:vAlign w:val="center"/>
          </w:tcPr>
          <w:p w:rsidR="00A600B0" w:rsidRPr="001A3DF5" w:rsidRDefault="00A600B0" w:rsidP="00307641">
            <w:pPr>
              <w:jc w:val="center"/>
              <w:rPr>
                <w:rFonts w:asciiTheme="majorHAnsi" w:hAnsiTheme="majorHAnsi"/>
                <w:b/>
              </w:rPr>
            </w:pPr>
            <w:r w:rsidRPr="001A3DF5">
              <w:rPr>
                <w:rFonts w:asciiTheme="majorHAnsi" w:hAnsiTheme="majorHAnsi"/>
                <w:b/>
              </w:rPr>
              <w:t>Objective</w:t>
            </w:r>
          </w:p>
        </w:tc>
        <w:tc>
          <w:tcPr>
            <w:tcW w:w="7953" w:type="dxa"/>
            <w:shd w:val="clear" w:color="auto" w:fill="C4BC96" w:themeFill="background2" w:themeFillShade="BF"/>
            <w:vAlign w:val="center"/>
          </w:tcPr>
          <w:p w:rsidR="00A600B0" w:rsidRPr="001A3DF5" w:rsidRDefault="00A600B0" w:rsidP="00307641">
            <w:pPr>
              <w:jc w:val="center"/>
              <w:rPr>
                <w:rFonts w:asciiTheme="majorHAnsi" w:hAnsiTheme="majorHAnsi"/>
                <w:b/>
              </w:rPr>
            </w:pPr>
            <w:r w:rsidRPr="001A3DF5">
              <w:rPr>
                <w:rFonts w:asciiTheme="majorHAnsi" w:hAnsiTheme="majorHAnsi"/>
                <w:b/>
              </w:rPr>
              <w:t>Activities</w:t>
            </w:r>
          </w:p>
        </w:tc>
        <w:tc>
          <w:tcPr>
            <w:tcW w:w="2232" w:type="dxa"/>
            <w:shd w:val="clear" w:color="auto" w:fill="C4BC96" w:themeFill="background2" w:themeFillShade="BF"/>
            <w:vAlign w:val="center"/>
          </w:tcPr>
          <w:p w:rsidR="00A600B0" w:rsidRPr="001A3DF5" w:rsidRDefault="00626999" w:rsidP="00307641">
            <w:pPr>
              <w:jc w:val="center"/>
              <w:rPr>
                <w:rFonts w:asciiTheme="majorHAnsi" w:hAnsiTheme="majorHAnsi"/>
                <w:b/>
              </w:rPr>
            </w:pPr>
            <w:r w:rsidRPr="001A3DF5">
              <w:rPr>
                <w:rFonts w:asciiTheme="majorHAnsi" w:hAnsiTheme="majorHAnsi"/>
                <w:b/>
              </w:rPr>
              <w:t xml:space="preserve">Agency commitment </w:t>
            </w:r>
          </w:p>
        </w:tc>
        <w:tc>
          <w:tcPr>
            <w:tcW w:w="4752" w:type="dxa"/>
            <w:shd w:val="clear" w:color="auto" w:fill="C4BC96" w:themeFill="background2" w:themeFillShade="BF"/>
            <w:vAlign w:val="center"/>
          </w:tcPr>
          <w:p w:rsidR="00A600B0" w:rsidRPr="001A3DF5" w:rsidRDefault="00A600B0" w:rsidP="00307641">
            <w:pPr>
              <w:jc w:val="center"/>
              <w:rPr>
                <w:rFonts w:asciiTheme="majorHAnsi" w:hAnsiTheme="majorHAnsi"/>
                <w:b/>
              </w:rPr>
            </w:pPr>
            <w:r w:rsidRPr="001A3DF5">
              <w:rPr>
                <w:rFonts w:asciiTheme="majorHAnsi" w:hAnsiTheme="majorHAnsi"/>
                <w:b/>
              </w:rPr>
              <w:t xml:space="preserve">Expected Product </w:t>
            </w:r>
          </w:p>
        </w:tc>
        <w:tc>
          <w:tcPr>
            <w:tcW w:w="1946" w:type="dxa"/>
            <w:shd w:val="clear" w:color="auto" w:fill="C4BC96" w:themeFill="background2" w:themeFillShade="BF"/>
            <w:vAlign w:val="center"/>
          </w:tcPr>
          <w:p w:rsidR="00A600B0" w:rsidRDefault="00A600B0" w:rsidP="00307641">
            <w:pPr>
              <w:jc w:val="center"/>
              <w:rPr>
                <w:rFonts w:asciiTheme="majorHAnsi" w:hAnsiTheme="majorHAnsi"/>
                <w:b/>
              </w:rPr>
            </w:pPr>
            <w:r w:rsidRPr="001A3DF5">
              <w:rPr>
                <w:rFonts w:asciiTheme="majorHAnsi" w:hAnsiTheme="majorHAnsi"/>
                <w:b/>
              </w:rPr>
              <w:t xml:space="preserve">Time Frame </w:t>
            </w:r>
          </w:p>
          <w:p w:rsidR="008954E3" w:rsidRPr="001A3DF5" w:rsidRDefault="008954E3" w:rsidP="00307641">
            <w:pPr>
              <w:jc w:val="center"/>
              <w:rPr>
                <w:rFonts w:asciiTheme="majorHAnsi" w:hAnsiTheme="majorHAnsi"/>
                <w:b/>
              </w:rPr>
            </w:pPr>
            <w:r>
              <w:rPr>
                <w:rFonts w:asciiTheme="majorHAnsi" w:hAnsiTheme="majorHAnsi"/>
                <w:b/>
              </w:rPr>
              <w:t>*dd.mm.yyyy</w:t>
            </w:r>
          </w:p>
        </w:tc>
        <w:tc>
          <w:tcPr>
            <w:tcW w:w="2127" w:type="dxa"/>
            <w:shd w:val="clear" w:color="auto" w:fill="C4BC96" w:themeFill="background2" w:themeFillShade="BF"/>
            <w:vAlign w:val="center"/>
          </w:tcPr>
          <w:p w:rsidR="00A600B0" w:rsidRPr="001A3DF5" w:rsidRDefault="00A600B0" w:rsidP="00307641">
            <w:pPr>
              <w:jc w:val="center"/>
              <w:rPr>
                <w:rFonts w:asciiTheme="majorHAnsi" w:hAnsiTheme="majorHAnsi"/>
                <w:b/>
              </w:rPr>
            </w:pPr>
            <w:r w:rsidRPr="001A3DF5">
              <w:rPr>
                <w:rFonts w:asciiTheme="majorHAnsi" w:hAnsiTheme="majorHAnsi"/>
                <w:b/>
              </w:rPr>
              <w:t>Linkages</w:t>
            </w:r>
          </w:p>
        </w:tc>
      </w:tr>
      <w:tr w:rsidR="007F2786" w:rsidRPr="001A3DF5" w:rsidTr="00307641">
        <w:trPr>
          <w:trHeight w:val="429"/>
        </w:trPr>
        <w:tc>
          <w:tcPr>
            <w:tcW w:w="1936" w:type="dxa"/>
            <w:vMerge w:val="restart"/>
            <w:shd w:val="clear" w:color="auto" w:fill="CCC0D9" w:themeFill="accent4" w:themeFillTint="66"/>
            <w:vAlign w:val="center"/>
          </w:tcPr>
          <w:p w:rsidR="007F2786" w:rsidRPr="001A3DF5" w:rsidRDefault="007F2786" w:rsidP="00307641">
            <w:pPr>
              <w:rPr>
                <w:rFonts w:asciiTheme="majorHAnsi" w:hAnsiTheme="majorHAnsi"/>
              </w:rPr>
            </w:pPr>
            <w:r w:rsidRPr="001A3DF5">
              <w:rPr>
                <w:rFonts w:asciiTheme="majorHAnsi" w:hAnsiTheme="majorHAnsi"/>
              </w:rPr>
              <w:t xml:space="preserve">1. </w:t>
            </w:r>
            <w:r w:rsidRPr="001A3DF5">
              <w:rPr>
                <w:rFonts w:asciiTheme="majorHAnsi" w:hAnsiTheme="majorHAnsi"/>
                <w:b/>
              </w:rPr>
              <w:t>Shape and contribute to Common Understanding</w:t>
            </w:r>
            <w:r w:rsidRPr="001A3DF5">
              <w:rPr>
                <w:rFonts w:asciiTheme="majorHAnsi" w:hAnsiTheme="majorHAnsi"/>
              </w:rPr>
              <w:t xml:space="preserve"> of what is required to strengthen the humanitarian development and peacebuilding nexus</w:t>
            </w:r>
          </w:p>
          <w:p w:rsidR="007F2786" w:rsidRPr="001A3DF5" w:rsidRDefault="007F2786" w:rsidP="00307641">
            <w:pPr>
              <w:jc w:val="center"/>
              <w:rPr>
                <w:rFonts w:asciiTheme="majorHAnsi" w:hAnsiTheme="majorHAnsi"/>
              </w:rPr>
            </w:pPr>
          </w:p>
        </w:tc>
        <w:tc>
          <w:tcPr>
            <w:tcW w:w="7953" w:type="dxa"/>
            <w:vMerge w:val="restart"/>
            <w:shd w:val="clear" w:color="auto" w:fill="auto"/>
            <w:vAlign w:val="center"/>
          </w:tcPr>
          <w:p w:rsidR="007F2786" w:rsidRPr="001A3DF5" w:rsidRDefault="007F2786" w:rsidP="00307641">
            <w:pPr>
              <w:rPr>
                <w:rFonts w:asciiTheme="majorHAnsi" w:hAnsiTheme="majorHAnsi"/>
                <w:b/>
                <w:bCs/>
              </w:rPr>
            </w:pPr>
            <w:r w:rsidRPr="001A3DF5">
              <w:rPr>
                <w:rFonts w:asciiTheme="majorHAnsi" w:hAnsiTheme="majorHAnsi"/>
                <w:b/>
              </w:rPr>
              <w:t>1.1 -</w:t>
            </w:r>
            <w:r w:rsidRPr="001A3DF5">
              <w:rPr>
                <w:rFonts w:asciiTheme="majorHAnsi" w:hAnsiTheme="majorHAnsi"/>
              </w:rPr>
              <w:t xml:space="preserve"> </w:t>
            </w:r>
            <w:r w:rsidRPr="001A3DF5">
              <w:rPr>
                <w:rFonts w:asciiTheme="majorHAnsi" w:hAnsiTheme="majorHAnsi"/>
                <w:b/>
              </w:rPr>
              <w:t>Mapping of Existing Global processes and mechanisms</w:t>
            </w:r>
            <w:r w:rsidRPr="001A3DF5">
              <w:rPr>
                <w:rFonts w:asciiTheme="majorHAnsi" w:hAnsiTheme="majorHAnsi"/>
              </w:rPr>
              <w:t xml:space="preserve">: </w:t>
            </w:r>
            <w:r w:rsidRPr="001A3DF5">
              <w:rPr>
                <w:rFonts w:asciiTheme="majorHAnsi" w:hAnsiTheme="majorHAnsi"/>
                <w:i/>
                <w:iCs/>
              </w:rPr>
              <w:t xml:space="preserve">Establish and maintain a living document showing progress, workstreams, outputs from the UN system and beyond related to humanitarian develop nexus. This will be refined by the retreat - </w:t>
            </w:r>
            <w:r w:rsidRPr="001A3DF5">
              <w:rPr>
                <w:rFonts w:asciiTheme="majorHAnsi" w:hAnsiTheme="majorHAnsi"/>
                <w:b/>
                <w:i/>
                <w:iCs/>
                <w:color w:val="FF0000"/>
              </w:rPr>
              <w:t>ONGOING</w:t>
            </w:r>
          </w:p>
        </w:tc>
        <w:tc>
          <w:tcPr>
            <w:tcW w:w="2232" w:type="dxa"/>
            <w:vMerge w:val="restart"/>
            <w:vAlign w:val="center"/>
          </w:tcPr>
          <w:p w:rsidR="007F2786" w:rsidRPr="001A3DF5" w:rsidRDefault="007F2786" w:rsidP="00307641">
            <w:pPr>
              <w:rPr>
                <w:rFonts w:asciiTheme="majorHAnsi" w:hAnsiTheme="majorHAnsi"/>
              </w:rPr>
            </w:pPr>
            <w:r w:rsidRPr="001A3DF5">
              <w:rPr>
                <w:rFonts w:asciiTheme="majorHAnsi" w:hAnsiTheme="majorHAnsi"/>
              </w:rPr>
              <w:t>All Agencies, UNDP + WHO to consolidate and maintain live document</w:t>
            </w:r>
          </w:p>
        </w:tc>
        <w:tc>
          <w:tcPr>
            <w:tcW w:w="4752" w:type="dxa"/>
            <w:vMerge w:val="restart"/>
            <w:shd w:val="clear" w:color="auto" w:fill="E5DFEC" w:themeFill="accent4" w:themeFillTint="33"/>
            <w:vAlign w:val="center"/>
          </w:tcPr>
          <w:p w:rsidR="007F2786" w:rsidRPr="001A3DF5" w:rsidRDefault="007F2786" w:rsidP="00307641">
            <w:pPr>
              <w:rPr>
                <w:rFonts w:asciiTheme="majorHAnsi" w:hAnsiTheme="majorHAnsi"/>
                <w:bCs/>
              </w:rPr>
            </w:pPr>
            <w:r w:rsidRPr="001A3DF5">
              <w:rPr>
                <w:rFonts w:asciiTheme="majorHAnsi" w:hAnsiTheme="majorHAnsi"/>
                <w:b/>
                <w:bCs/>
              </w:rPr>
              <w:t>Mapping</w:t>
            </w:r>
            <w:r w:rsidRPr="001A3DF5">
              <w:rPr>
                <w:rFonts w:asciiTheme="majorHAnsi" w:hAnsiTheme="majorHAnsi"/>
                <w:bCs/>
              </w:rPr>
              <w:t xml:space="preserve"> of Global processes and mechanisms related to the Humanitarian-Development and Peacebuilding Nexus</w:t>
            </w:r>
          </w:p>
        </w:tc>
        <w:tc>
          <w:tcPr>
            <w:tcW w:w="1946" w:type="dxa"/>
            <w:shd w:val="clear" w:color="auto" w:fill="00B050"/>
            <w:vAlign w:val="center"/>
          </w:tcPr>
          <w:p w:rsidR="007F2786" w:rsidRPr="001A3DF5" w:rsidRDefault="008954E3" w:rsidP="001A3DF5">
            <w:pPr>
              <w:jc w:val="both"/>
              <w:rPr>
                <w:rFonts w:asciiTheme="majorHAnsi" w:hAnsiTheme="majorHAnsi"/>
              </w:rPr>
            </w:pPr>
            <w:r>
              <w:rPr>
                <w:rFonts w:asciiTheme="majorHAnsi" w:hAnsiTheme="majorHAnsi"/>
              </w:rPr>
              <w:t>v.03</w:t>
            </w:r>
            <w:r w:rsidR="007F2786" w:rsidRPr="001A3DF5">
              <w:rPr>
                <w:rFonts w:asciiTheme="majorHAnsi" w:hAnsiTheme="majorHAnsi"/>
              </w:rPr>
              <w:t xml:space="preserve"> – </w:t>
            </w:r>
            <w:r>
              <w:rPr>
                <w:rFonts w:asciiTheme="majorHAnsi" w:hAnsiTheme="majorHAnsi"/>
              </w:rPr>
              <w:t>06</w:t>
            </w:r>
            <w:r w:rsidR="0030290D" w:rsidRPr="001A3DF5">
              <w:rPr>
                <w:rFonts w:asciiTheme="majorHAnsi" w:hAnsiTheme="majorHAnsi"/>
              </w:rPr>
              <w:t>.06.2016</w:t>
            </w:r>
          </w:p>
        </w:tc>
        <w:tc>
          <w:tcPr>
            <w:tcW w:w="2127" w:type="dxa"/>
            <w:vMerge w:val="restart"/>
            <w:vAlign w:val="center"/>
          </w:tcPr>
          <w:p w:rsidR="007F2786" w:rsidRPr="001A3DF5" w:rsidRDefault="003E1880" w:rsidP="00307641">
            <w:pPr>
              <w:jc w:val="center"/>
              <w:rPr>
                <w:rFonts w:asciiTheme="majorHAnsi" w:hAnsiTheme="majorHAnsi"/>
              </w:rPr>
            </w:pPr>
            <w:r>
              <w:rPr>
                <w:rFonts w:asciiTheme="majorHAnsi" w:hAnsiTheme="majorHAnsi"/>
              </w:rPr>
              <w:t>UN Working Group on Transitions</w:t>
            </w:r>
          </w:p>
        </w:tc>
      </w:tr>
      <w:tr w:rsidR="007F2786" w:rsidRPr="001A3DF5" w:rsidTr="00307641">
        <w:trPr>
          <w:trHeight w:val="427"/>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00B050"/>
            <w:vAlign w:val="center"/>
          </w:tcPr>
          <w:p w:rsidR="007F2786" w:rsidRPr="001A3DF5" w:rsidRDefault="008954E3" w:rsidP="001A3DF5">
            <w:pPr>
              <w:jc w:val="both"/>
              <w:rPr>
                <w:rFonts w:asciiTheme="majorHAnsi" w:hAnsiTheme="majorHAnsi"/>
              </w:rPr>
            </w:pPr>
            <w:r>
              <w:rPr>
                <w:rFonts w:asciiTheme="majorHAnsi" w:hAnsiTheme="majorHAnsi"/>
              </w:rPr>
              <w:t>v.04</w:t>
            </w:r>
            <w:r w:rsidR="007F2786" w:rsidRPr="001A3DF5">
              <w:rPr>
                <w:rFonts w:asciiTheme="majorHAnsi" w:hAnsiTheme="majorHAnsi"/>
              </w:rPr>
              <w:t xml:space="preserve"> – </w:t>
            </w:r>
            <w:r>
              <w:rPr>
                <w:rFonts w:asciiTheme="majorHAnsi" w:hAnsiTheme="majorHAnsi"/>
              </w:rPr>
              <w:t>2</w:t>
            </w:r>
            <w:r w:rsidR="0030290D" w:rsidRPr="001A3DF5">
              <w:rPr>
                <w:rFonts w:asciiTheme="majorHAnsi" w:hAnsiTheme="majorHAnsi"/>
              </w:rPr>
              <w:t>0.06.2016</w:t>
            </w: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307641">
        <w:trPr>
          <w:trHeight w:val="427"/>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00B050"/>
            <w:vAlign w:val="center"/>
          </w:tcPr>
          <w:p w:rsidR="007F2786" w:rsidRPr="001A3DF5" w:rsidRDefault="008954E3" w:rsidP="008954E3">
            <w:pPr>
              <w:jc w:val="both"/>
              <w:rPr>
                <w:rFonts w:asciiTheme="majorHAnsi" w:hAnsiTheme="majorHAnsi"/>
              </w:rPr>
            </w:pPr>
            <w:r>
              <w:rPr>
                <w:rFonts w:asciiTheme="majorHAnsi" w:hAnsiTheme="majorHAnsi"/>
              </w:rPr>
              <w:t>v.05</w:t>
            </w:r>
            <w:r w:rsidR="007F2786" w:rsidRPr="001A3DF5">
              <w:rPr>
                <w:rFonts w:asciiTheme="majorHAnsi" w:hAnsiTheme="majorHAnsi"/>
              </w:rPr>
              <w:t xml:space="preserve"> – </w:t>
            </w:r>
            <w:r>
              <w:rPr>
                <w:rFonts w:asciiTheme="majorHAnsi" w:hAnsiTheme="majorHAnsi"/>
              </w:rPr>
              <w:t>14.10</w:t>
            </w:r>
            <w:r w:rsidR="0030290D" w:rsidRPr="001A3DF5">
              <w:rPr>
                <w:rFonts w:asciiTheme="majorHAnsi" w:hAnsiTheme="majorHAnsi"/>
              </w:rPr>
              <w:t>.2016</w:t>
            </w: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307641">
        <w:trPr>
          <w:trHeight w:val="393"/>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00B050"/>
            <w:vAlign w:val="center"/>
          </w:tcPr>
          <w:p w:rsidR="007F2786" w:rsidRPr="001A3DF5" w:rsidRDefault="008954E3" w:rsidP="008954E3">
            <w:pPr>
              <w:jc w:val="both"/>
              <w:rPr>
                <w:rFonts w:asciiTheme="majorHAnsi" w:hAnsiTheme="majorHAnsi"/>
              </w:rPr>
            </w:pPr>
            <w:r>
              <w:rPr>
                <w:rFonts w:asciiTheme="majorHAnsi" w:hAnsiTheme="majorHAnsi"/>
              </w:rPr>
              <w:t>v.06</w:t>
            </w:r>
            <w:r w:rsidR="007F2786" w:rsidRPr="001A3DF5">
              <w:rPr>
                <w:rFonts w:asciiTheme="majorHAnsi" w:hAnsiTheme="majorHAnsi"/>
              </w:rPr>
              <w:t xml:space="preserve"> – </w:t>
            </w:r>
            <w:r>
              <w:rPr>
                <w:rFonts w:asciiTheme="majorHAnsi" w:hAnsiTheme="majorHAnsi"/>
              </w:rPr>
              <w:t>07.03</w:t>
            </w:r>
            <w:r w:rsidR="0030290D" w:rsidRPr="001A3DF5">
              <w:rPr>
                <w:rFonts w:asciiTheme="majorHAnsi" w:hAnsiTheme="majorHAnsi"/>
              </w:rPr>
              <w:t>.2016</w:t>
            </w: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1A3DF5">
        <w:trPr>
          <w:trHeight w:val="431"/>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00B050"/>
            <w:vAlign w:val="center"/>
          </w:tcPr>
          <w:p w:rsidR="007F2786" w:rsidRPr="001A3DF5" w:rsidRDefault="001A3DF5" w:rsidP="008954E3">
            <w:pPr>
              <w:jc w:val="both"/>
              <w:rPr>
                <w:rFonts w:asciiTheme="majorHAnsi" w:hAnsiTheme="majorHAnsi"/>
              </w:rPr>
            </w:pPr>
            <w:r>
              <w:rPr>
                <w:rFonts w:asciiTheme="majorHAnsi" w:hAnsiTheme="majorHAnsi"/>
              </w:rPr>
              <w:t>v.</w:t>
            </w:r>
            <w:r w:rsidR="008954E3">
              <w:rPr>
                <w:rFonts w:asciiTheme="majorHAnsi" w:hAnsiTheme="majorHAnsi"/>
              </w:rPr>
              <w:t>07</w:t>
            </w:r>
            <w:r w:rsidR="007F2786" w:rsidRPr="001A3DF5">
              <w:rPr>
                <w:rFonts w:asciiTheme="majorHAnsi" w:hAnsiTheme="majorHAnsi"/>
              </w:rPr>
              <w:t xml:space="preserve"> </w:t>
            </w:r>
            <w:r w:rsidR="00307641" w:rsidRPr="001A3DF5">
              <w:rPr>
                <w:rFonts w:asciiTheme="majorHAnsi" w:hAnsiTheme="majorHAnsi"/>
              </w:rPr>
              <w:t>–</w:t>
            </w:r>
            <w:r w:rsidR="007F2786" w:rsidRPr="001A3DF5">
              <w:rPr>
                <w:rFonts w:asciiTheme="majorHAnsi" w:hAnsiTheme="majorHAnsi"/>
              </w:rPr>
              <w:t xml:space="preserve"> </w:t>
            </w:r>
            <w:r w:rsidR="008954E3">
              <w:rPr>
                <w:rFonts w:asciiTheme="majorHAnsi" w:hAnsiTheme="majorHAnsi"/>
              </w:rPr>
              <w:t>13.03</w:t>
            </w:r>
            <w:r w:rsidR="0030290D" w:rsidRPr="001A3DF5">
              <w:rPr>
                <w:rFonts w:asciiTheme="majorHAnsi" w:hAnsiTheme="majorHAnsi"/>
              </w:rPr>
              <w:t>.2017</w:t>
            </w: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8954E3">
        <w:trPr>
          <w:trHeight w:val="387"/>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FFFFFF" w:themeFill="background1"/>
            <w:vAlign w:val="center"/>
          </w:tcPr>
          <w:p w:rsidR="007F2786" w:rsidRPr="001A3DF5" w:rsidRDefault="007F2786" w:rsidP="001A3DF5">
            <w:pPr>
              <w:jc w:val="both"/>
              <w:rPr>
                <w:rFonts w:asciiTheme="majorHAnsi" w:hAnsiTheme="majorHAnsi"/>
              </w:rPr>
            </w:pP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1A3DF5">
        <w:trPr>
          <w:trHeight w:val="441"/>
        </w:trPr>
        <w:tc>
          <w:tcPr>
            <w:tcW w:w="1936" w:type="dxa"/>
            <w:vMerge/>
            <w:shd w:val="clear" w:color="auto" w:fill="CCC0D9" w:themeFill="accent4"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752" w:type="dxa"/>
            <w:vMerge/>
            <w:shd w:val="clear" w:color="auto" w:fill="E5DFEC" w:themeFill="accent4" w:themeFillTint="33"/>
            <w:vAlign w:val="center"/>
          </w:tcPr>
          <w:p w:rsidR="007F2786" w:rsidRPr="001A3DF5" w:rsidRDefault="007F2786" w:rsidP="00307641">
            <w:pPr>
              <w:rPr>
                <w:rFonts w:asciiTheme="majorHAnsi" w:hAnsiTheme="majorHAnsi"/>
                <w:bCs/>
              </w:rPr>
            </w:pPr>
          </w:p>
        </w:tc>
        <w:tc>
          <w:tcPr>
            <w:tcW w:w="1946" w:type="dxa"/>
            <w:shd w:val="clear" w:color="auto" w:fill="auto"/>
            <w:vAlign w:val="center"/>
          </w:tcPr>
          <w:p w:rsidR="007F2786" w:rsidRPr="001A3DF5" w:rsidRDefault="007F2786" w:rsidP="001A3DF5">
            <w:pPr>
              <w:jc w:val="both"/>
              <w:rPr>
                <w:rFonts w:asciiTheme="majorHAnsi" w:hAnsiTheme="majorHAnsi"/>
              </w:rPr>
            </w:pPr>
          </w:p>
        </w:tc>
        <w:tc>
          <w:tcPr>
            <w:tcW w:w="2127" w:type="dxa"/>
            <w:vMerge/>
            <w:vAlign w:val="center"/>
          </w:tcPr>
          <w:p w:rsidR="007F2786" w:rsidRPr="001A3DF5" w:rsidRDefault="007F2786" w:rsidP="00307641">
            <w:pPr>
              <w:jc w:val="center"/>
              <w:rPr>
                <w:rFonts w:asciiTheme="majorHAnsi" w:hAnsiTheme="majorHAnsi"/>
              </w:rPr>
            </w:pPr>
          </w:p>
        </w:tc>
      </w:tr>
      <w:tr w:rsidR="00A600B0" w:rsidRPr="001A3DF5" w:rsidTr="00307641">
        <w:trPr>
          <w:trHeight w:val="429"/>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vMerge w:val="restart"/>
            <w:shd w:val="clear" w:color="auto" w:fill="auto"/>
            <w:vAlign w:val="center"/>
          </w:tcPr>
          <w:p w:rsidR="00A600B0" w:rsidRPr="001A3DF5" w:rsidRDefault="00A600B0" w:rsidP="00307641">
            <w:pPr>
              <w:rPr>
                <w:rFonts w:asciiTheme="majorHAnsi" w:hAnsiTheme="majorHAnsi"/>
              </w:rPr>
            </w:pPr>
            <w:r w:rsidRPr="001A3DF5">
              <w:rPr>
                <w:rFonts w:asciiTheme="majorHAnsi" w:hAnsiTheme="majorHAnsi"/>
                <w:b/>
              </w:rPr>
              <w:t xml:space="preserve">1.2 </w:t>
            </w:r>
            <w:r w:rsidR="00701D02" w:rsidRPr="001A3DF5">
              <w:rPr>
                <w:rFonts w:asciiTheme="majorHAnsi" w:hAnsiTheme="majorHAnsi"/>
                <w:b/>
              </w:rPr>
              <w:t>-</w:t>
            </w:r>
            <w:r w:rsidR="00701D02" w:rsidRPr="001A3DF5">
              <w:rPr>
                <w:rFonts w:asciiTheme="majorHAnsi" w:hAnsiTheme="majorHAnsi"/>
              </w:rPr>
              <w:t xml:space="preserve"> </w:t>
            </w:r>
            <w:r w:rsidRPr="001A3DF5">
              <w:rPr>
                <w:rFonts w:asciiTheme="majorHAnsi" w:hAnsiTheme="majorHAnsi"/>
                <w:b/>
              </w:rPr>
              <w:t>Key Messages and Common Narrative on Humanitarian Development Nexus</w:t>
            </w:r>
            <w:r w:rsidRPr="001A3DF5">
              <w:rPr>
                <w:rFonts w:asciiTheme="majorHAnsi" w:hAnsiTheme="majorHAnsi"/>
              </w:rPr>
              <w:t xml:space="preserve">: </w:t>
            </w:r>
            <w:r w:rsidRPr="001A3DF5">
              <w:rPr>
                <w:rFonts w:asciiTheme="majorHAnsi" w:hAnsiTheme="majorHAnsi"/>
                <w:i/>
                <w:iCs/>
              </w:rPr>
              <w:t>Key messages of the new way for working</w:t>
            </w:r>
            <w:r w:rsidR="003D43A1" w:rsidRPr="001A3DF5">
              <w:rPr>
                <w:rFonts w:asciiTheme="majorHAnsi" w:hAnsiTheme="majorHAnsi"/>
                <w:i/>
                <w:iCs/>
              </w:rPr>
              <w:t xml:space="preserve"> under the co-chairs of IASC TT and UNDG Secr. collective drafting - </w:t>
            </w:r>
            <w:r w:rsidR="00EE3B77" w:rsidRPr="001A3DF5">
              <w:rPr>
                <w:rFonts w:asciiTheme="majorHAnsi" w:hAnsiTheme="majorHAnsi"/>
                <w:b/>
                <w:i/>
                <w:iCs/>
                <w:color w:val="FF0000"/>
              </w:rPr>
              <w:t xml:space="preserve"> ONGOING</w:t>
            </w:r>
          </w:p>
        </w:tc>
        <w:tc>
          <w:tcPr>
            <w:tcW w:w="2232" w:type="dxa"/>
            <w:vMerge w:val="restart"/>
            <w:vAlign w:val="center"/>
          </w:tcPr>
          <w:p w:rsidR="00A600B0" w:rsidRPr="001A3DF5" w:rsidRDefault="00A600B0" w:rsidP="00307641">
            <w:pPr>
              <w:rPr>
                <w:rFonts w:asciiTheme="majorHAnsi" w:hAnsiTheme="majorHAnsi"/>
              </w:rPr>
            </w:pPr>
            <w:r w:rsidRPr="001A3DF5">
              <w:rPr>
                <w:rFonts w:asciiTheme="majorHAnsi" w:hAnsiTheme="majorHAnsi"/>
              </w:rPr>
              <w:t xml:space="preserve">All </w:t>
            </w:r>
            <w:r w:rsidR="00EE3B77" w:rsidRPr="001A3DF5">
              <w:rPr>
                <w:rFonts w:asciiTheme="majorHAnsi" w:hAnsiTheme="majorHAnsi"/>
              </w:rPr>
              <w:t>Agencies, UNDP + WHO to consolidate and maintain live document</w:t>
            </w:r>
          </w:p>
        </w:tc>
        <w:tc>
          <w:tcPr>
            <w:tcW w:w="4752" w:type="dxa"/>
            <w:vMerge w:val="restart"/>
            <w:shd w:val="clear" w:color="auto" w:fill="E5DFEC" w:themeFill="accent4" w:themeFillTint="33"/>
            <w:vAlign w:val="center"/>
          </w:tcPr>
          <w:p w:rsidR="00A600B0" w:rsidRPr="001A3DF5" w:rsidRDefault="00A600B0" w:rsidP="00307641">
            <w:pPr>
              <w:rPr>
                <w:rFonts w:asciiTheme="majorHAnsi" w:hAnsiTheme="majorHAnsi"/>
                <w:bCs/>
              </w:rPr>
            </w:pPr>
            <w:r w:rsidRPr="001A3DF5">
              <w:rPr>
                <w:rFonts w:asciiTheme="majorHAnsi" w:hAnsiTheme="majorHAnsi"/>
                <w:b/>
                <w:bCs/>
              </w:rPr>
              <w:t>Key Messages</w:t>
            </w:r>
            <w:r w:rsidRPr="001A3DF5">
              <w:rPr>
                <w:rFonts w:asciiTheme="majorHAnsi" w:hAnsiTheme="majorHAnsi"/>
                <w:bCs/>
              </w:rPr>
              <w:t xml:space="preserve">: </w:t>
            </w:r>
            <w:r w:rsidRPr="001A3DF5">
              <w:rPr>
                <w:rFonts w:asciiTheme="majorHAnsi" w:hAnsiTheme="majorHAnsi"/>
              </w:rPr>
              <w:t xml:space="preserve"> </w:t>
            </w:r>
            <w:r w:rsidRPr="001A3DF5">
              <w:rPr>
                <w:rFonts w:asciiTheme="majorHAnsi" w:hAnsiTheme="majorHAnsi"/>
                <w:bCs/>
              </w:rPr>
              <w:t xml:space="preserve">Advancing greater coherence and complementarity </w:t>
            </w:r>
            <w:r w:rsidR="002F2FEB" w:rsidRPr="001A3DF5">
              <w:rPr>
                <w:rFonts w:asciiTheme="majorHAnsi" w:hAnsiTheme="majorHAnsi"/>
                <w:bCs/>
              </w:rPr>
              <w:t>across Humanitarian</w:t>
            </w:r>
            <w:r w:rsidRPr="001A3DF5">
              <w:rPr>
                <w:rFonts w:asciiTheme="majorHAnsi" w:hAnsiTheme="majorHAnsi"/>
                <w:bCs/>
              </w:rPr>
              <w:t>, Development and Peacebuilding Efforts</w:t>
            </w:r>
          </w:p>
        </w:tc>
        <w:tc>
          <w:tcPr>
            <w:tcW w:w="1946" w:type="dxa"/>
            <w:shd w:val="clear" w:color="auto" w:fill="00B050"/>
            <w:vAlign w:val="center"/>
          </w:tcPr>
          <w:p w:rsidR="00A600B0" w:rsidRPr="001A3DF5" w:rsidRDefault="008771A8" w:rsidP="0030290D">
            <w:pPr>
              <w:rPr>
                <w:rFonts w:asciiTheme="majorHAnsi" w:hAnsiTheme="majorHAnsi"/>
              </w:rPr>
            </w:pPr>
            <w:r w:rsidRPr="001A3DF5">
              <w:rPr>
                <w:rFonts w:asciiTheme="majorHAnsi" w:hAnsiTheme="majorHAnsi"/>
              </w:rPr>
              <w:t xml:space="preserve">v.01 – </w:t>
            </w:r>
            <w:r w:rsidR="0030290D" w:rsidRPr="001A3DF5">
              <w:rPr>
                <w:rFonts w:asciiTheme="majorHAnsi" w:hAnsiTheme="majorHAnsi"/>
              </w:rPr>
              <w:t>01.03.2017</w:t>
            </w:r>
          </w:p>
        </w:tc>
        <w:tc>
          <w:tcPr>
            <w:tcW w:w="2127" w:type="dxa"/>
            <w:vMerge w:val="restart"/>
            <w:vAlign w:val="center"/>
          </w:tcPr>
          <w:p w:rsidR="00A600B0" w:rsidRPr="001A3DF5" w:rsidRDefault="00A600B0" w:rsidP="00307641">
            <w:pPr>
              <w:jc w:val="center"/>
              <w:rPr>
                <w:rFonts w:asciiTheme="majorHAnsi" w:hAnsiTheme="majorHAnsi"/>
              </w:rPr>
            </w:pPr>
            <w:r w:rsidRPr="001A3DF5">
              <w:rPr>
                <w:rFonts w:asciiTheme="majorHAnsi" w:hAnsiTheme="majorHAnsi"/>
              </w:rPr>
              <w:t>Sustaining Peace/Sustainable Development Results Group</w:t>
            </w:r>
          </w:p>
        </w:tc>
      </w:tr>
      <w:tr w:rsidR="00A600B0" w:rsidRPr="001A3DF5" w:rsidTr="00307641">
        <w:trPr>
          <w:trHeight w:val="427"/>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vMerge/>
            <w:shd w:val="clear" w:color="auto" w:fill="auto"/>
            <w:vAlign w:val="center"/>
          </w:tcPr>
          <w:p w:rsidR="00A600B0" w:rsidRPr="001A3DF5" w:rsidRDefault="00A600B0" w:rsidP="00307641">
            <w:pPr>
              <w:rPr>
                <w:rFonts w:asciiTheme="majorHAnsi" w:hAnsiTheme="majorHAnsi"/>
              </w:rPr>
            </w:pPr>
          </w:p>
        </w:tc>
        <w:tc>
          <w:tcPr>
            <w:tcW w:w="2232" w:type="dxa"/>
            <w:vMerge/>
            <w:vAlign w:val="center"/>
          </w:tcPr>
          <w:p w:rsidR="00A600B0" w:rsidRPr="001A3DF5" w:rsidRDefault="00A600B0" w:rsidP="00307641">
            <w:pPr>
              <w:rPr>
                <w:rFonts w:asciiTheme="majorHAnsi" w:hAnsiTheme="majorHAnsi"/>
              </w:rPr>
            </w:pPr>
          </w:p>
        </w:tc>
        <w:tc>
          <w:tcPr>
            <w:tcW w:w="4752" w:type="dxa"/>
            <w:vMerge/>
            <w:shd w:val="clear" w:color="auto" w:fill="E5DFEC" w:themeFill="accent4" w:themeFillTint="33"/>
            <w:vAlign w:val="center"/>
          </w:tcPr>
          <w:p w:rsidR="00A600B0" w:rsidRPr="001A3DF5" w:rsidRDefault="00A600B0" w:rsidP="00307641">
            <w:pPr>
              <w:rPr>
                <w:rFonts w:asciiTheme="majorHAnsi" w:hAnsiTheme="majorHAnsi"/>
                <w:bCs/>
              </w:rPr>
            </w:pPr>
          </w:p>
        </w:tc>
        <w:tc>
          <w:tcPr>
            <w:tcW w:w="1946" w:type="dxa"/>
            <w:shd w:val="clear" w:color="auto" w:fill="00B050"/>
            <w:vAlign w:val="center"/>
          </w:tcPr>
          <w:p w:rsidR="00A600B0" w:rsidRPr="001A3DF5" w:rsidRDefault="00307641" w:rsidP="0030290D">
            <w:pPr>
              <w:rPr>
                <w:rFonts w:asciiTheme="majorHAnsi" w:hAnsiTheme="majorHAnsi"/>
              </w:rPr>
            </w:pPr>
            <w:r w:rsidRPr="001A3DF5">
              <w:rPr>
                <w:rFonts w:asciiTheme="majorHAnsi" w:hAnsiTheme="majorHAnsi"/>
              </w:rPr>
              <w:t xml:space="preserve">v.02 – </w:t>
            </w:r>
            <w:r w:rsidR="0030290D" w:rsidRPr="001A3DF5">
              <w:rPr>
                <w:rFonts w:asciiTheme="majorHAnsi" w:hAnsiTheme="majorHAnsi"/>
              </w:rPr>
              <w:t>26.06.2017</w:t>
            </w:r>
          </w:p>
        </w:tc>
        <w:tc>
          <w:tcPr>
            <w:tcW w:w="2127" w:type="dxa"/>
            <w:vMerge/>
            <w:vAlign w:val="center"/>
          </w:tcPr>
          <w:p w:rsidR="00A600B0" w:rsidRPr="001A3DF5" w:rsidRDefault="00A600B0" w:rsidP="00307641">
            <w:pPr>
              <w:jc w:val="center"/>
              <w:rPr>
                <w:rFonts w:asciiTheme="majorHAnsi" w:hAnsiTheme="majorHAnsi"/>
              </w:rPr>
            </w:pPr>
          </w:p>
        </w:tc>
      </w:tr>
      <w:tr w:rsidR="00A600B0" w:rsidRPr="001A3DF5" w:rsidTr="00307641">
        <w:trPr>
          <w:trHeight w:val="427"/>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vMerge/>
            <w:shd w:val="clear" w:color="auto" w:fill="auto"/>
            <w:vAlign w:val="center"/>
          </w:tcPr>
          <w:p w:rsidR="00A600B0" w:rsidRPr="001A3DF5" w:rsidRDefault="00A600B0" w:rsidP="00307641">
            <w:pPr>
              <w:rPr>
                <w:rFonts w:asciiTheme="majorHAnsi" w:hAnsiTheme="majorHAnsi"/>
              </w:rPr>
            </w:pPr>
          </w:p>
        </w:tc>
        <w:tc>
          <w:tcPr>
            <w:tcW w:w="2232" w:type="dxa"/>
            <w:vMerge/>
            <w:vAlign w:val="center"/>
          </w:tcPr>
          <w:p w:rsidR="00A600B0" w:rsidRPr="001A3DF5" w:rsidRDefault="00A600B0" w:rsidP="00307641">
            <w:pPr>
              <w:rPr>
                <w:rFonts w:asciiTheme="majorHAnsi" w:hAnsiTheme="majorHAnsi"/>
              </w:rPr>
            </w:pPr>
          </w:p>
        </w:tc>
        <w:tc>
          <w:tcPr>
            <w:tcW w:w="4752" w:type="dxa"/>
            <w:vMerge/>
            <w:shd w:val="clear" w:color="auto" w:fill="E5DFEC" w:themeFill="accent4" w:themeFillTint="33"/>
            <w:vAlign w:val="center"/>
          </w:tcPr>
          <w:p w:rsidR="00A600B0" w:rsidRPr="001A3DF5" w:rsidRDefault="00A600B0" w:rsidP="00307641">
            <w:pPr>
              <w:rPr>
                <w:rFonts w:asciiTheme="majorHAnsi" w:hAnsiTheme="majorHAnsi"/>
                <w:bCs/>
              </w:rPr>
            </w:pPr>
          </w:p>
        </w:tc>
        <w:tc>
          <w:tcPr>
            <w:tcW w:w="1946" w:type="dxa"/>
            <w:shd w:val="clear" w:color="auto" w:fill="auto"/>
            <w:vAlign w:val="center"/>
          </w:tcPr>
          <w:p w:rsidR="00A600B0" w:rsidRPr="001A3DF5" w:rsidRDefault="00A600B0" w:rsidP="00307641">
            <w:pPr>
              <w:rPr>
                <w:rFonts w:asciiTheme="majorHAnsi" w:hAnsiTheme="majorHAnsi"/>
              </w:rPr>
            </w:pPr>
            <w:r w:rsidRPr="001A3DF5">
              <w:rPr>
                <w:rFonts w:asciiTheme="majorHAnsi" w:hAnsiTheme="majorHAnsi"/>
              </w:rPr>
              <w:t>v.03 – Q3 2017</w:t>
            </w:r>
          </w:p>
        </w:tc>
        <w:tc>
          <w:tcPr>
            <w:tcW w:w="2127" w:type="dxa"/>
            <w:vMerge/>
            <w:vAlign w:val="center"/>
          </w:tcPr>
          <w:p w:rsidR="00A600B0" w:rsidRPr="001A3DF5" w:rsidRDefault="00A600B0" w:rsidP="00307641">
            <w:pPr>
              <w:jc w:val="center"/>
              <w:rPr>
                <w:rFonts w:asciiTheme="majorHAnsi" w:hAnsiTheme="majorHAnsi"/>
              </w:rPr>
            </w:pPr>
          </w:p>
        </w:tc>
      </w:tr>
      <w:tr w:rsidR="00A600B0" w:rsidRPr="001A3DF5" w:rsidTr="00307641">
        <w:trPr>
          <w:trHeight w:val="370"/>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vMerge/>
            <w:shd w:val="clear" w:color="auto" w:fill="auto"/>
            <w:vAlign w:val="center"/>
          </w:tcPr>
          <w:p w:rsidR="00A600B0" w:rsidRPr="001A3DF5" w:rsidRDefault="00A600B0" w:rsidP="00307641">
            <w:pPr>
              <w:rPr>
                <w:rFonts w:asciiTheme="majorHAnsi" w:hAnsiTheme="majorHAnsi"/>
              </w:rPr>
            </w:pPr>
          </w:p>
        </w:tc>
        <w:tc>
          <w:tcPr>
            <w:tcW w:w="2232" w:type="dxa"/>
            <w:vMerge/>
            <w:vAlign w:val="center"/>
          </w:tcPr>
          <w:p w:rsidR="00A600B0" w:rsidRPr="001A3DF5" w:rsidRDefault="00A600B0" w:rsidP="00307641">
            <w:pPr>
              <w:rPr>
                <w:rFonts w:asciiTheme="majorHAnsi" w:hAnsiTheme="majorHAnsi"/>
              </w:rPr>
            </w:pPr>
          </w:p>
        </w:tc>
        <w:tc>
          <w:tcPr>
            <w:tcW w:w="4752" w:type="dxa"/>
            <w:vMerge/>
            <w:shd w:val="clear" w:color="auto" w:fill="E5DFEC" w:themeFill="accent4" w:themeFillTint="33"/>
            <w:vAlign w:val="center"/>
          </w:tcPr>
          <w:p w:rsidR="00A600B0" w:rsidRPr="001A3DF5" w:rsidRDefault="00A600B0" w:rsidP="00307641">
            <w:pPr>
              <w:rPr>
                <w:rFonts w:asciiTheme="majorHAnsi" w:hAnsiTheme="majorHAnsi"/>
                <w:bCs/>
              </w:rPr>
            </w:pPr>
          </w:p>
        </w:tc>
        <w:tc>
          <w:tcPr>
            <w:tcW w:w="1946" w:type="dxa"/>
            <w:shd w:val="clear" w:color="auto" w:fill="auto"/>
            <w:vAlign w:val="center"/>
          </w:tcPr>
          <w:p w:rsidR="00A600B0" w:rsidRPr="001A3DF5" w:rsidRDefault="00A600B0" w:rsidP="00307641">
            <w:pPr>
              <w:rPr>
                <w:rFonts w:asciiTheme="majorHAnsi" w:hAnsiTheme="majorHAnsi"/>
              </w:rPr>
            </w:pPr>
          </w:p>
        </w:tc>
        <w:tc>
          <w:tcPr>
            <w:tcW w:w="2127" w:type="dxa"/>
            <w:vMerge/>
            <w:vAlign w:val="center"/>
          </w:tcPr>
          <w:p w:rsidR="00A600B0" w:rsidRPr="001A3DF5" w:rsidRDefault="00A600B0" w:rsidP="00307641">
            <w:pPr>
              <w:jc w:val="center"/>
              <w:rPr>
                <w:rFonts w:asciiTheme="majorHAnsi" w:hAnsiTheme="majorHAnsi"/>
              </w:rPr>
            </w:pPr>
          </w:p>
        </w:tc>
      </w:tr>
      <w:tr w:rsidR="008771A8" w:rsidRPr="001A3DF5" w:rsidTr="00307641">
        <w:trPr>
          <w:trHeight w:val="339"/>
        </w:trPr>
        <w:tc>
          <w:tcPr>
            <w:tcW w:w="1936" w:type="dxa"/>
            <w:vMerge/>
            <w:shd w:val="clear" w:color="auto" w:fill="CCC0D9" w:themeFill="accent4" w:themeFillTint="66"/>
            <w:vAlign w:val="center"/>
          </w:tcPr>
          <w:p w:rsidR="008771A8" w:rsidRPr="001A3DF5" w:rsidRDefault="008771A8" w:rsidP="00307641">
            <w:pPr>
              <w:jc w:val="center"/>
              <w:rPr>
                <w:rFonts w:asciiTheme="majorHAnsi" w:hAnsiTheme="majorHAnsi"/>
              </w:rPr>
            </w:pPr>
          </w:p>
        </w:tc>
        <w:tc>
          <w:tcPr>
            <w:tcW w:w="7953" w:type="dxa"/>
            <w:vMerge w:val="restart"/>
            <w:shd w:val="clear" w:color="auto" w:fill="auto"/>
            <w:vAlign w:val="center"/>
          </w:tcPr>
          <w:p w:rsidR="008771A8" w:rsidRPr="001A3DF5" w:rsidRDefault="008771A8" w:rsidP="00307641">
            <w:pPr>
              <w:rPr>
                <w:rFonts w:asciiTheme="majorHAnsi" w:hAnsiTheme="majorHAnsi"/>
              </w:rPr>
            </w:pPr>
            <w:r w:rsidRPr="001A3DF5">
              <w:rPr>
                <w:rFonts w:asciiTheme="majorHAnsi" w:hAnsiTheme="majorHAnsi"/>
                <w:b/>
              </w:rPr>
              <w:t>1.3 -</w:t>
            </w:r>
            <w:r w:rsidRPr="001A3DF5">
              <w:rPr>
                <w:rFonts w:asciiTheme="majorHAnsi" w:hAnsiTheme="majorHAnsi"/>
              </w:rPr>
              <w:t xml:space="preserve"> </w:t>
            </w:r>
            <w:r w:rsidRPr="001A3DF5">
              <w:rPr>
                <w:rFonts w:asciiTheme="majorHAnsi" w:hAnsiTheme="majorHAnsi"/>
                <w:b/>
              </w:rPr>
              <w:t>Understanding linkages with Sustaining Peace and Prevention</w:t>
            </w:r>
            <w:r w:rsidRPr="001A3DF5">
              <w:rPr>
                <w:rFonts w:asciiTheme="majorHAnsi" w:hAnsiTheme="majorHAnsi"/>
              </w:rPr>
              <w:t>:</w:t>
            </w:r>
            <w:r w:rsidRPr="001A3DF5">
              <w:rPr>
                <w:rFonts w:asciiTheme="majorHAnsi" w:hAnsiTheme="majorHAnsi"/>
                <w:i/>
                <w:iCs/>
              </w:rPr>
              <w:t xml:space="preserve"> Clarify the relationship between the new way of working and the sustaining peace and prevention agenda to understand where and when HDPN is possible, keeping in mind humanitarian principles - </w:t>
            </w:r>
            <w:r w:rsidRPr="001A3DF5">
              <w:rPr>
                <w:rFonts w:asciiTheme="majorHAnsi" w:hAnsiTheme="majorHAnsi"/>
                <w:b/>
                <w:i/>
                <w:iCs/>
                <w:color w:val="FF0000"/>
              </w:rPr>
              <w:t xml:space="preserve"> ONGOING</w:t>
            </w:r>
          </w:p>
        </w:tc>
        <w:tc>
          <w:tcPr>
            <w:tcW w:w="2232" w:type="dxa"/>
            <w:vMerge w:val="restart"/>
            <w:vAlign w:val="center"/>
          </w:tcPr>
          <w:p w:rsidR="008771A8" w:rsidRPr="001A3DF5" w:rsidRDefault="008771A8" w:rsidP="00307641">
            <w:pPr>
              <w:rPr>
                <w:rFonts w:asciiTheme="majorHAnsi" w:hAnsiTheme="majorHAnsi"/>
              </w:rPr>
            </w:pPr>
            <w:r w:rsidRPr="001A3DF5">
              <w:rPr>
                <w:rFonts w:asciiTheme="majorHAnsi" w:hAnsiTheme="majorHAnsi"/>
              </w:rPr>
              <w:t>Interaction (peacebuilding members)</w:t>
            </w:r>
          </w:p>
        </w:tc>
        <w:tc>
          <w:tcPr>
            <w:tcW w:w="4752" w:type="dxa"/>
            <w:vMerge w:val="restart"/>
            <w:shd w:val="clear" w:color="auto" w:fill="E5DFEC" w:themeFill="accent4" w:themeFillTint="33"/>
            <w:vAlign w:val="center"/>
          </w:tcPr>
          <w:p w:rsidR="008771A8" w:rsidRPr="001A3DF5" w:rsidRDefault="008771A8" w:rsidP="00307641">
            <w:pPr>
              <w:rPr>
                <w:rFonts w:asciiTheme="majorHAnsi" w:hAnsiTheme="majorHAnsi"/>
                <w:b/>
                <w:bCs/>
              </w:rPr>
            </w:pPr>
            <w:r w:rsidRPr="001A3DF5">
              <w:rPr>
                <w:rFonts w:asciiTheme="majorHAnsi" w:hAnsiTheme="majorHAnsi"/>
                <w:b/>
                <w:bCs/>
              </w:rPr>
              <w:t>Position paper</w:t>
            </w:r>
          </w:p>
        </w:tc>
        <w:tc>
          <w:tcPr>
            <w:tcW w:w="1946" w:type="dxa"/>
            <w:shd w:val="clear" w:color="auto" w:fill="00B050"/>
            <w:vAlign w:val="center"/>
          </w:tcPr>
          <w:p w:rsidR="008771A8" w:rsidRPr="001A3DF5" w:rsidRDefault="00307641" w:rsidP="0030290D">
            <w:pPr>
              <w:jc w:val="center"/>
              <w:rPr>
                <w:rFonts w:asciiTheme="majorHAnsi" w:hAnsiTheme="majorHAnsi"/>
              </w:rPr>
            </w:pPr>
            <w:r w:rsidRPr="001A3DF5">
              <w:rPr>
                <w:rFonts w:asciiTheme="majorHAnsi" w:hAnsiTheme="majorHAnsi"/>
              </w:rPr>
              <w:t>V1.</w:t>
            </w:r>
            <w:r w:rsidR="0030290D" w:rsidRPr="001A3DF5">
              <w:rPr>
                <w:rFonts w:asciiTheme="majorHAnsi" w:hAnsiTheme="majorHAnsi"/>
              </w:rPr>
              <w:t xml:space="preserve"> 10.03.2017</w:t>
            </w:r>
          </w:p>
        </w:tc>
        <w:tc>
          <w:tcPr>
            <w:tcW w:w="2127" w:type="dxa"/>
            <w:vMerge w:val="restart"/>
            <w:vAlign w:val="center"/>
          </w:tcPr>
          <w:p w:rsidR="008771A8" w:rsidRPr="001A3DF5" w:rsidRDefault="008771A8" w:rsidP="00307641">
            <w:pPr>
              <w:jc w:val="center"/>
              <w:rPr>
                <w:rFonts w:asciiTheme="majorHAnsi" w:hAnsiTheme="majorHAnsi"/>
              </w:rPr>
            </w:pPr>
            <w:r w:rsidRPr="001A3DF5">
              <w:rPr>
                <w:rFonts w:asciiTheme="majorHAnsi" w:hAnsiTheme="majorHAnsi"/>
              </w:rPr>
              <w:t>Sustaining Peace/Sustainable Development Results Group</w:t>
            </w:r>
          </w:p>
        </w:tc>
      </w:tr>
      <w:tr w:rsidR="008771A8" w:rsidRPr="001A3DF5" w:rsidTr="00307641">
        <w:trPr>
          <w:trHeight w:val="1032"/>
        </w:trPr>
        <w:tc>
          <w:tcPr>
            <w:tcW w:w="1936" w:type="dxa"/>
            <w:vMerge/>
            <w:shd w:val="clear" w:color="auto" w:fill="CCC0D9" w:themeFill="accent4" w:themeFillTint="66"/>
            <w:vAlign w:val="center"/>
          </w:tcPr>
          <w:p w:rsidR="008771A8" w:rsidRPr="001A3DF5" w:rsidRDefault="008771A8" w:rsidP="00307641">
            <w:pPr>
              <w:jc w:val="center"/>
              <w:rPr>
                <w:rFonts w:asciiTheme="majorHAnsi" w:hAnsiTheme="majorHAnsi"/>
              </w:rPr>
            </w:pPr>
          </w:p>
        </w:tc>
        <w:tc>
          <w:tcPr>
            <w:tcW w:w="7953" w:type="dxa"/>
            <w:vMerge/>
            <w:shd w:val="clear" w:color="auto" w:fill="auto"/>
            <w:vAlign w:val="center"/>
          </w:tcPr>
          <w:p w:rsidR="008771A8" w:rsidRPr="001A3DF5" w:rsidRDefault="008771A8" w:rsidP="00307641">
            <w:pPr>
              <w:rPr>
                <w:rFonts w:asciiTheme="majorHAnsi" w:hAnsiTheme="majorHAnsi"/>
                <w:b/>
              </w:rPr>
            </w:pPr>
          </w:p>
        </w:tc>
        <w:tc>
          <w:tcPr>
            <w:tcW w:w="2232" w:type="dxa"/>
            <w:vMerge/>
            <w:vAlign w:val="center"/>
          </w:tcPr>
          <w:p w:rsidR="008771A8" w:rsidRPr="001A3DF5" w:rsidRDefault="008771A8" w:rsidP="00307641">
            <w:pPr>
              <w:rPr>
                <w:rFonts w:asciiTheme="majorHAnsi" w:hAnsiTheme="majorHAnsi"/>
              </w:rPr>
            </w:pPr>
          </w:p>
        </w:tc>
        <w:tc>
          <w:tcPr>
            <w:tcW w:w="4752" w:type="dxa"/>
            <w:vMerge/>
            <w:shd w:val="clear" w:color="auto" w:fill="E5DFEC" w:themeFill="accent4" w:themeFillTint="33"/>
            <w:vAlign w:val="center"/>
          </w:tcPr>
          <w:p w:rsidR="008771A8" w:rsidRPr="001A3DF5" w:rsidRDefault="008771A8" w:rsidP="00307641">
            <w:pPr>
              <w:rPr>
                <w:rFonts w:asciiTheme="majorHAnsi" w:hAnsiTheme="majorHAnsi"/>
                <w:b/>
                <w:bCs/>
              </w:rPr>
            </w:pPr>
          </w:p>
        </w:tc>
        <w:tc>
          <w:tcPr>
            <w:tcW w:w="1946" w:type="dxa"/>
            <w:shd w:val="clear" w:color="auto" w:fill="auto"/>
            <w:vAlign w:val="center"/>
          </w:tcPr>
          <w:p w:rsidR="008771A8" w:rsidRPr="001A3DF5" w:rsidRDefault="008771A8" w:rsidP="00307641">
            <w:pPr>
              <w:jc w:val="center"/>
              <w:rPr>
                <w:rFonts w:asciiTheme="majorHAnsi" w:hAnsiTheme="majorHAnsi"/>
              </w:rPr>
            </w:pPr>
            <w:r w:rsidRPr="001A3DF5">
              <w:rPr>
                <w:rFonts w:asciiTheme="majorHAnsi" w:hAnsiTheme="majorHAnsi"/>
              </w:rPr>
              <w:t>Q3 2017</w:t>
            </w:r>
          </w:p>
        </w:tc>
        <w:tc>
          <w:tcPr>
            <w:tcW w:w="2127" w:type="dxa"/>
            <w:vMerge/>
            <w:vAlign w:val="center"/>
          </w:tcPr>
          <w:p w:rsidR="008771A8" w:rsidRPr="001A3DF5" w:rsidRDefault="008771A8" w:rsidP="00307641">
            <w:pPr>
              <w:jc w:val="center"/>
              <w:rPr>
                <w:rFonts w:asciiTheme="majorHAnsi" w:hAnsiTheme="majorHAnsi"/>
              </w:rPr>
            </w:pPr>
          </w:p>
        </w:tc>
      </w:tr>
      <w:tr w:rsidR="00307641" w:rsidRPr="001A3DF5" w:rsidTr="00307641">
        <w:trPr>
          <w:trHeight w:val="266"/>
        </w:trPr>
        <w:tc>
          <w:tcPr>
            <w:tcW w:w="1936" w:type="dxa"/>
            <w:vMerge/>
            <w:shd w:val="clear" w:color="auto" w:fill="CCC0D9" w:themeFill="accent4" w:themeFillTint="66"/>
            <w:vAlign w:val="center"/>
          </w:tcPr>
          <w:p w:rsidR="00307641" w:rsidRPr="001A3DF5" w:rsidRDefault="00307641" w:rsidP="00307641">
            <w:pPr>
              <w:jc w:val="center"/>
              <w:rPr>
                <w:rFonts w:asciiTheme="majorHAnsi" w:hAnsiTheme="majorHAnsi"/>
              </w:rPr>
            </w:pPr>
          </w:p>
        </w:tc>
        <w:tc>
          <w:tcPr>
            <w:tcW w:w="7953" w:type="dxa"/>
            <w:vMerge w:val="restart"/>
            <w:shd w:val="clear" w:color="auto" w:fill="auto"/>
            <w:vAlign w:val="center"/>
          </w:tcPr>
          <w:p w:rsidR="00307641" w:rsidRPr="001A3DF5" w:rsidRDefault="00307641" w:rsidP="00307641">
            <w:pPr>
              <w:rPr>
                <w:rFonts w:asciiTheme="majorHAnsi" w:hAnsiTheme="majorHAnsi"/>
                <w:i/>
                <w:iCs/>
              </w:rPr>
            </w:pPr>
            <w:r w:rsidRPr="001A3DF5">
              <w:rPr>
                <w:rFonts w:asciiTheme="majorHAnsi" w:hAnsiTheme="majorHAnsi"/>
                <w:b/>
              </w:rPr>
              <w:t>1.4 -</w:t>
            </w:r>
            <w:r w:rsidRPr="001A3DF5">
              <w:rPr>
                <w:rFonts w:asciiTheme="majorHAnsi" w:hAnsiTheme="majorHAnsi"/>
              </w:rPr>
              <w:t xml:space="preserve"> </w:t>
            </w:r>
            <w:r w:rsidRPr="001A3DF5">
              <w:rPr>
                <w:rFonts w:asciiTheme="majorHAnsi" w:hAnsiTheme="majorHAnsi"/>
                <w:b/>
              </w:rPr>
              <w:t>Expand on Typologies of Response Scenarios:</w:t>
            </w:r>
            <w:r w:rsidRPr="001A3DF5">
              <w:rPr>
                <w:rFonts w:asciiTheme="majorHAnsi" w:hAnsiTheme="majorHAnsi"/>
              </w:rPr>
              <w:t xml:space="preserve"> </w:t>
            </w:r>
            <w:r w:rsidRPr="001A3DF5">
              <w:rPr>
                <w:rFonts w:asciiTheme="majorHAnsi" w:hAnsiTheme="majorHAnsi"/>
                <w:i/>
                <w:iCs/>
              </w:rPr>
              <w:t xml:space="preserve">Acknowledging that the full extent of collaboration between humanitarian, development, peacebuilding and government partners cannot be achieve in all contexts. Building on typologies presented at joint IASC TT – UNDG Workshop Oct 2016, this activity will aim to develop a typology of response scenarios based on the work done by the HDAG - </w:t>
            </w:r>
            <w:r w:rsidRPr="001A3DF5">
              <w:rPr>
                <w:rFonts w:asciiTheme="majorHAnsi" w:hAnsiTheme="majorHAnsi"/>
                <w:b/>
                <w:i/>
                <w:iCs/>
                <w:color w:val="FF0000"/>
              </w:rPr>
              <w:t xml:space="preserve"> ONGOING</w:t>
            </w:r>
          </w:p>
        </w:tc>
        <w:tc>
          <w:tcPr>
            <w:tcW w:w="2232" w:type="dxa"/>
            <w:vMerge w:val="restart"/>
            <w:vAlign w:val="center"/>
          </w:tcPr>
          <w:p w:rsidR="00307641" w:rsidRPr="001A3DF5" w:rsidRDefault="00307641" w:rsidP="00307641">
            <w:pPr>
              <w:rPr>
                <w:rFonts w:asciiTheme="majorHAnsi" w:hAnsiTheme="majorHAnsi"/>
              </w:rPr>
            </w:pPr>
            <w:r w:rsidRPr="001A3DF5">
              <w:rPr>
                <w:rFonts w:asciiTheme="majorHAnsi" w:hAnsiTheme="majorHAnsi"/>
              </w:rPr>
              <w:t>WHO, InterAction, IOM</w:t>
            </w:r>
          </w:p>
        </w:tc>
        <w:tc>
          <w:tcPr>
            <w:tcW w:w="4752" w:type="dxa"/>
            <w:vMerge w:val="restart"/>
            <w:shd w:val="clear" w:color="auto" w:fill="E5DFEC" w:themeFill="accent4" w:themeFillTint="33"/>
            <w:vAlign w:val="center"/>
          </w:tcPr>
          <w:p w:rsidR="00307641" w:rsidRPr="001A3DF5" w:rsidRDefault="00307641" w:rsidP="00307641">
            <w:pPr>
              <w:rPr>
                <w:rFonts w:asciiTheme="majorHAnsi" w:hAnsiTheme="majorHAnsi"/>
                <w:bCs/>
              </w:rPr>
            </w:pPr>
            <w:r w:rsidRPr="001A3DF5">
              <w:rPr>
                <w:rFonts w:asciiTheme="majorHAnsi" w:hAnsiTheme="majorHAnsi"/>
                <w:b/>
                <w:bCs/>
              </w:rPr>
              <w:t>Typologies</w:t>
            </w:r>
            <w:r w:rsidRPr="001A3DF5">
              <w:rPr>
                <w:rFonts w:asciiTheme="majorHAnsi" w:hAnsiTheme="majorHAnsi"/>
                <w:bCs/>
              </w:rPr>
              <w:t>: Contextualizing Collective Humanitarian, Development and Peacebuilding Approaches</w:t>
            </w:r>
          </w:p>
          <w:p w:rsidR="00307641" w:rsidRPr="001A3DF5" w:rsidRDefault="00307641" w:rsidP="00307641">
            <w:pPr>
              <w:rPr>
                <w:rFonts w:asciiTheme="majorHAnsi" w:hAnsiTheme="majorHAnsi"/>
              </w:rPr>
            </w:pPr>
          </w:p>
        </w:tc>
        <w:tc>
          <w:tcPr>
            <w:tcW w:w="1946" w:type="dxa"/>
            <w:shd w:val="clear" w:color="auto" w:fill="00B050"/>
            <w:vAlign w:val="center"/>
          </w:tcPr>
          <w:p w:rsidR="00307641" w:rsidRPr="001A3DF5" w:rsidRDefault="00307641" w:rsidP="008954E3">
            <w:pPr>
              <w:jc w:val="center"/>
              <w:rPr>
                <w:rFonts w:asciiTheme="majorHAnsi" w:hAnsiTheme="majorHAnsi"/>
              </w:rPr>
            </w:pPr>
            <w:r w:rsidRPr="001A3DF5">
              <w:rPr>
                <w:rFonts w:asciiTheme="majorHAnsi" w:hAnsiTheme="majorHAnsi"/>
              </w:rPr>
              <w:t xml:space="preserve">v.01 – </w:t>
            </w:r>
            <w:r w:rsidR="008954E3">
              <w:rPr>
                <w:rFonts w:asciiTheme="majorHAnsi" w:hAnsiTheme="majorHAnsi"/>
              </w:rPr>
              <w:t>14.10</w:t>
            </w:r>
            <w:r w:rsidR="0030290D" w:rsidRPr="001A3DF5">
              <w:rPr>
                <w:rFonts w:asciiTheme="majorHAnsi" w:hAnsiTheme="majorHAnsi"/>
              </w:rPr>
              <w:t>.2016</w:t>
            </w:r>
          </w:p>
          <w:p w:rsidR="00307641" w:rsidRPr="001A3DF5" w:rsidRDefault="00307641" w:rsidP="00307641">
            <w:pPr>
              <w:jc w:val="center"/>
              <w:rPr>
                <w:rFonts w:asciiTheme="majorHAnsi" w:hAnsiTheme="majorHAnsi"/>
              </w:rPr>
            </w:pPr>
            <w:r w:rsidRPr="001A3DF5">
              <w:rPr>
                <w:rFonts w:asciiTheme="majorHAnsi" w:hAnsiTheme="majorHAnsi"/>
              </w:rPr>
              <w:t>building on HDAG paper</w:t>
            </w:r>
          </w:p>
        </w:tc>
        <w:tc>
          <w:tcPr>
            <w:tcW w:w="2127" w:type="dxa"/>
            <w:vMerge w:val="restart"/>
            <w:vAlign w:val="center"/>
          </w:tcPr>
          <w:p w:rsidR="00307641" w:rsidRPr="001A3DF5" w:rsidRDefault="00307641" w:rsidP="00307641">
            <w:pPr>
              <w:jc w:val="center"/>
              <w:rPr>
                <w:rFonts w:asciiTheme="majorHAnsi" w:hAnsiTheme="majorHAnsi"/>
              </w:rPr>
            </w:pPr>
            <w:r w:rsidRPr="001A3DF5">
              <w:rPr>
                <w:rFonts w:asciiTheme="majorHAnsi" w:hAnsiTheme="majorHAnsi"/>
              </w:rPr>
              <w:t>xxx</w:t>
            </w:r>
          </w:p>
        </w:tc>
      </w:tr>
      <w:tr w:rsidR="00307641" w:rsidRPr="001A3DF5" w:rsidTr="00307641">
        <w:trPr>
          <w:trHeight w:val="1569"/>
        </w:trPr>
        <w:tc>
          <w:tcPr>
            <w:tcW w:w="1936" w:type="dxa"/>
            <w:vMerge/>
            <w:shd w:val="clear" w:color="auto" w:fill="CCC0D9" w:themeFill="accent4" w:themeFillTint="66"/>
            <w:vAlign w:val="center"/>
          </w:tcPr>
          <w:p w:rsidR="00307641" w:rsidRPr="001A3DF5" w:rsidRDefault="00307641" w:rsidP="00307641">
            <w:pPr>
              <w:jc w:val="center"/>
              <w:rPr>
                <w:rFonts w:asciiTheme="majorHAnsi" w:hAnsiTheme="majorHAnsi"/>
              </w:rPr>
            </w:pPr>
          </w:p>
        </w:tc>
        <w:tc>
          <w:tcPr>
            <w:tcW w:w="7953" w:type="dxa"/>
            <w:vMerge/>
            <w:shd w:val="clear" w:color="auto" w:fill="auto"/>
            <w:vAlign w:val="center"/>
          </w:tcPr>
          <w:p w:rsidR="00307641" w:rsidRPr="001A3DF5" w:rsidRDefault="00307641" w:rsidP="00307641">
            <w:pPr>
              <w:rPr>
                <w:rFonts w:asciiTheme="majorHAnsi" w:hAnsiTheme="majorHAnsi"/>
                <w:b/>
              </w:rPr>
            </w:pPr>
          </w:p>
        </w:tc>
        <w:tc>
          <w:tcPr>
            <w:tcW w:w="2232" w:type="dxa"/>
            <w:vMerge/>
            <w:vAlign w:val="center"/>
          </w:tcPr>
          <w:p w:rsidR="00307641" w:rsidRPr="001A3DF5" w:rsidRDefault="00307641" w:rsidP="00307641">
            <w:pPr>
              <w:rPr>
                <w:rFonts w:asciiTheme="majorHAnsi" w:hAnsiTheme="majorHAnsi"/>
              </w:rPr>
            </w:pPr>
          </w:p>
        </w:tc>
        <w:tc>
          <w:tcPr>
            <w:tcW w:w="4752" w:type="dxa"/>
            <w:vMerge/>
            <w:shd w:val="clear" w:color="auto" w:fill="E5DFEC" w:themeFill="accent4" w:themeFillTint="33"/>
            <w:vAlign w:val="center"/>
          </w:tcPr>
          <w:p w:rsidR="00307641" w:rsidRPr="001A3DF5" w:rsidRDefault="00307641" w:rsidP="00307641">
            <w:pPr>
              <w:rPr>
                <w:rFonts w:asciiTheme="majorHAnsi" w:hAnsiTheme="majorHAnsi"/>
                <w:b/>
                <w:bCs/>
              </w:rPr>
            </w:pPr>
          </w:p>
        </w:tc>
        <w:tc>
          <w:tcPr>
            <w:tcW w:w="194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Q4 2017</w:t>
            </w:r>
          </w:p>
        </w:tc>
        <w:tc>
          <w:tcPr>
            <w:tcW w:w="2127" w:type="dxa"/>
            <w:vMerge/>
            <w:vAlign w:val="center"/>
          </w:tcPr>
          <w:p w:rsidR="00307641" w:rsidRPr="001A3DF5" w:rsidRDefault="00307641" w:rsidP="00307641">
            <w:pPr>
              <w:jc w:val="center"/>
              <w:rPr>
                <w:rFonts w:asciiTheme="majorHAnsi" w:hAnsiTheme="majorHAnsi"/>
              </w:rPr>
            </w:pPr>
          </w:p>
        </w:tc>
      </w:tr>
      <w:tr w:rsidR="00A600B0" w:rsidRPr="001A3DF5" w:rsidTr="00307641">
        <w:trPr>
          <w:trHeight w:val="1098"/>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shd w:val="clear" w:color="auto" w:fill="auto"/>
            <w:vAlign w:val="center"/>
          </w:tcPr>
          <w:p w:rsidR="00A600B0" w:rsidRPr="001A3DF5" w:rsidRDefault="00A600B0" w:rsidP="00307641">
            <w:pPr>
              <w:rPr>
                <w:rFonts w:asciiTheme="majorHAnsi" w:hAnsiTheme="majorHAnsi"/>
                <w:i/>
                <w:iCs/>
              </w:rPr>
            </w:pPr>
            <w:r w:rsidRPr="001A3DF5">
              <w:rPr>
                <w:rFonts w:asciiTheme="majorHAnsi" w:hAnsiTheme="majorHAnsi"/>
                <w:b/>
              </w:rPr>
              <w:t xml:space="preserve">1.5 </w:t>
            </w:r>
            <w:r w:rsidR="00701D02" w:rsidRPr="001A3DF5">
              <w:rPr>
                <w:rFonts w:asciiTheme="majorHAnsi" w:hAnsiTheme="majorHAnsi"/>
                <w:b/>
              </w:rPr>
              <w:t>-</w:t>
            </w:r>
            <w:r w:rsidR="00701D02" w:rsidRPr="001A3DF5">
              <w:rPr>
                <w:rFonts w:asciiTheme="majorHAnsi" w:hAnsiTheme="majorHAnsi"/>
              </w:rPr>
              <w:t xml:space="preserve"> </w:t>
            </w:r>
            <w:r w:rsidRPr="001A3DF5">
              <w:rPr>
                <w:rFonts w:asciiTheme="majorHAnsi" w:hAnsiTheme="majorHAnsi"/>
                <w:b/>
              </w:rPr>
              <w:t>Articulating Collective Outcomes</w:t>
            </w:r>
            <w:r w:rsidRPr="001A3DF5">
              <w:rPr>
                <w:rFonts w:asciiTheme="majorHAnsi" w:hAnsiTheme="majorHAnsi"/>
                <w:b/>
                <w:bCs/>
              </w:rPr>
              <w:t xml:space="preserve">: </w:t>
            </w:r>
            <w:r w:rsidRPr="001A3DF5">
              <w:rPr>
                <w:rFonts w:asciiTheme="majorHAnsi" w:hAnsiTheme="majorHAnsi"/>
                <w:i/>
                <w:iCs/>
              </w:rPr>
              <w:t>Collectively articulate the criteria, parameters, and examples of collective outcomes</w:t>
            </w:r>
          </w:p>
        </w:tc>
        <w:tc>
          <w:tcPr>
            <w:tcW w:w="2232" w:type="dxa"/>
            <w:vAlign w:val="center"/>
          </w:tcPr>
          <w:p w:rsidR="00A600B0" w:rsidRPr="001A3DF5" w:rsidRDefault="00A600B0" w:rsidP="00307641">
            <w:pPr>
              <w:rPr>
                <w:rFonts w:asciiTheme="majorHAnsi" w:hAnsiTheme="majorHAnsi"/>
              </w:rPr>
            </w:pPr>
            <w:r w:rsidRPr="001A3DF5">
              <w:rPr>
                <w:rFonts w:asciiTheme="majorHAnsi" w:hAnsiTheme="majorHAnsi"/>
              </w:rPr>
              <w:t>UNCHR, UNDP, OCHA, IOM, ICVA, InterAction</w:t>
            </w:r>
          </w:p>
        </w:tc>
        <w:tc>
          <w:tcPr>
            <w:tcW w:w="4752" w:type="dxa"/>
            <w:shd w:val="clear" w:color="auto" w:fill="E5DFEC" w:themeFill="accent4" w:themeFillTint="33"/>
            <w:vAlign w:val="center"/>
          </w:tcPr>
          <w:p w:rsidR="00A600B0" w:rsidRPr="001A3DF5" w:rsidRDefault="002F2FEB" w:rsidP="00307641">
            <w:pPr>
              <w:rPr>
                <w:rFonts w:asciiTheme="majorHAnsi" w:hAnsiTheme="majorHAnsi"/>
                <w:b/>
                <w:bCs/>
              </w:rPr>
            </w:pPr>
            <w:r w:rsidRPr="001A3DF5">
              <w:rPr>
                <w:rFonts w:asciiTheme="majorHAnsi" w:hAnsiTheme="majorHAnsi"/>
                <w:b/>
                <w:bCs/>
              </w:rPr>
              <w:t>Position paper</w:t>
            </w:r>
          </w:p>
        </w:tc>
        <w:tc>
          <w:tcPr>
            <w:tcW w:w="1946" w:type="dxa"/>
            <w:shd w:val="clear" w:color="auto" w:fill="auto"/>
            <w:vAlign w:val="center"/>
          </w:tcPr>
          <w:p w:rsidR="00A600B0" w:rsidRPr="001A3DF5" w:rsidRDefault="002F2FEB" w:rsidP="00307641">
            <w:pPr>
              <w:jc w:val="center"/>
              <w:rPr>
                <w:rFonts w:asciiTheme="majorHAnsi" w:hAnsiTheme="majorHAnsi"/>
              </w:rPr>
            </w:pPr>
            <w:r w:rsidRPr="001A3DF5">
              <w:rPr>
                <w:rFonts w:asciiTheme="majorHAnsi" w:hAnsiTheme="majorHAnsi"/>
              </w:rPr>
              <w:t>Q</w:t>
            </w:r>
            <w:r w:rsidR="003D43A1" w:rsidRPr="001A3DF5">
              <w:rPr>
                <w:rFonts w:asciiTheme="majorHAnsi" w:hAnsiTheme="majorHAnsi"/>
              </w:rPr>
              <w:t>4</w:t>
            </w:r>
            <w:r w:rsidRPr="001A3DF5">
              <w:rPr>
                <w:rFonts w:asciiTheme="majorHAnsi" w:hAnsiTheme="majorHAnsi"/>
              </w:rPr>
              <w:t xml:space="preserve"> 2017</w:t>
            </w:r>
          </w:p>
        </w:tc>
        <w:tc>
          <w:tcPr>
            <w:tcW w:w="2127" w:type="dxa"/>
            <w:vAlign w:val="center"/>
          </w:tcPr>
          <w:p w:rsidR="00A600B0" w:rsidRPr="001A3DF5" w:rsidRDefault="00A600B0" w:rsidP="00307641">
            <w:pPr>
              <w:jc w:val="center"/>
              <w:rPr>
                <w:rFonts w:asciiTheme="majorHAnsi" w:hAnsiTheme="majorHAnsi"/>
              </w:rPr>
            </w:pPr>
            <w:r w:rsidRPr="001A3DF5">
              <w:rPr>
                <w:rFonts w:asciiTheme="majorHAnsi" w:hAnsiTheme="majorHAnsi"/>
              </w:rPr>
              <w:t>Sustaining Peace/Sustainable Development Results Group</w:t>
            </w:r>
          </w:p>
        </w:tc>
      </w:tr>
      <w:tr w:rsidR="00A600B0" w:rsidRPr="001A3DF5" w:rsidTr="00307641">
        <w:trPr>
          <w:trHeight w:val="1269"/>
        </w:trPr>
        <w:tc>
          <w:tcPr>
            <w:tcW w:w="1936" w:type="dxa"/>
            <w:vMerge/>
            <w:shd w:val="clear" w:color="auto" w:fill="CCC0D9" w:themeFill="accent4" w:themeFillTint="66"/>
            <w:vAlign w:val="center"/>
          </w:tcPr>
          <w:p w:rsidR="00A600B0" w:rsidRPr="001A3DF5" w:rsidRDefault="00A600B0" w:rsidP="00307641">
            <w:pPr>
              <w:jc w:val="center"/>
              <w:rPr>
                <w:rFonts w:asciiTheme="majorHAnsi" w:hAnsiTheme="majorHAnsi"/>
              </w:rPr>
            </w:pPr>
          </w:p>
        </w:tc>
        <w:tc>
          <w:tcPr>
            <w:tcW w:w="7953" w:type="dxa"/>
            <w:shd w:val="clear" w:color="auto" w:fill="auto"/>
            <w:vAlign w:val="center"/>
          </w:tcPr>
          <w:p w:rsidR="00A600B0" w:rsidRPr="001A3DF5" w:rsidRDefault="00A600B0" w:rsidP="00307641">
            <w:pPr>
              <w:rPr>
                <w:rFonts w:asciiTheme="majorHAnsi" w:hAnsiTheme="majorHAnsi"/>
              </w:rPr>
            </w:pPr>
          </w:p>
          <w:p w:rsidR="00A600B0" w:rsidRPr="001A3DF5" w:rsidRDefault="00A600B0" w:rsidP="00307641">
            <w:pPr>
              <w:rPr>
                <w:rFonts w:asciiTheme="majorHAnsi" w:hAnsiTheme="majorHAnsi"/>
                <w:i/>
                <w:iCs/>
              </w:rPr>
            </w:pPr>
            <w:r w:rsidRPr="001A3DF5">
              <w:rPr>
                <w:rFonts w:asciiTheme="majorHAnsi" w:hAnsiTheme="majorHAnsi"/>
                <w:b/>
              </w:rPr>
              <w:t xml:space="preserve">1.6 </w:t>
            </w:r>
            <w:r w:rsidR="00701D02" w:rsidRPr="001A3DF5">
              <w:rPr>
                <w:rFonts w:asciiTheme="majorHAnsi" w:hAnsiTheme="majorHAnsi"/>
                <w:b/>
              </w:rPr>
              <w:t xml:space="preserve">- </w:t>
            </w:r>
            <w:r w:rsidRPr="001A3DF5">
              <w:rPr>
                <w:rFonts w:asciiTheme="majorHAnsi" w:hAnsiTheme="majorHAnsi"/>
                <w:b/>
              </w:rPr>
              <w:t>Revisit current humanitarian-development principles on resilience</w:t>
            </w:r>
            <w:r w:rsidRPr="001A3DF5">
              <w:rPr>
                <w:rFonts w:asciiTheme="majorHAnsi" w:hAnsiTheme="majorHAnsi"/>
              </w:rPr>
              <w:t xml:space="preserve">: </w:t>
            </w:r>
            <w:r w:rsidRPr="001A3DF5">
              <w:rPr>
                <w:rFonts w:asciiTheme="majorHAnsi" w:hAnsiTheme="majorHAnsi"/>
                <w:i/>
                <w:iCs/>
              </w:rPr>
              <w:t>Informed by new developments and commitments during WHS and through the Grand Bargain Process, this activity will aim to update the joint principles and reflect new thin</w:t>
            </w:r>
            <w:r w:rsidR="003D43A1" w:rsidRPr="001A3DF5">
              <w:rPr>
                <w:rFonts w:asciiTheme="majorHAnsi" w:hAnsiTheme="majorHAnsi"/>
                <w:i/>
                <w:iCs/>
              </w:rPr>
              <w:t>king around collective outcomes</w:t>
            </w:r>
          </w:p>
          <w:p w:rsidR="00A600B0" w:rsidRPr="001A3DF5" w:rsidRDefault="00A600B0" w:rsidP="00307641">
            <w:pPr>
              <w:rPr>
                <w:rFonts w:asciiTheme="majorHAnsi" w:hAnsiTheme="majorHAnsi"/>
              </w:rPr>
            </w:pPr>
          </w:p>
        </w:tc>
        <w:tc>
          <w:tcPr>
            <w:tcW w:w="2232" w:type="dxa"/>
            <w:vAlign w:val="center"/>
          </w:tcPr>
          <w:p w:rsidR="00A600B0" w:rsidRPr="001A3DF5" w:rsidRDefault="00A600B0" w:rsidP="00307641">
            <w:pPr>
              <w:rPr>
                <w:rFonts w:asciiTheme="majorHAnsi" w:hAnsiTheme="majorHAnsi"/>
              </w:rPr>
            </w:pPr>
            <w:r w:rsidRPr="001A3DF5">
              <w:rPr>
                <w:rFonts w:asciiTheme="majorHAnsi" w:hAnsiTheme="majorHAnsi"/>
              </w:rPr>
              <w:t>UNDP, WHO, UNHCR, WFP</w:t>
            </w:r>
            <w:r w:rsidR="002F2FEB" w:rsidRPr="001A3DF5">
              <w:rPr>
                <w:rFonts w:asciiTheme="majorHAnsi" w:hAnsiTheme="majorHAnsi"/>
              </w:rPr>
              <w:t xml:space="preserve"> under the lead of </w:t>
            </w:r>
            <w:r w:rsidR="002F2FEB" w:rsidRPr="001A3DF5">
              <w:rPr>
                <w:rFonts w:asciiTheme="majorHAnsi" w:hAnsiTheme="majorHAnsi"/>
                <w:b/>
              </w:rPr>
              <w:t>FAO</w:t>
            </w:r>
          </w:p>
        </w:tc>
        <w:tc>
          <w:tcPr>
            <w:tcW w:w="4752" w:type="dxa"/>
            <w:shd w:val="clear" w:color="auto" w:fill="E5DFEC" w:themeFill="accent4" w:themeFillTint="33"/>
            <w:vAlign w:val="center"/>
          </w:tcPr>
          <w:p w:rsidR="00A600B0" w:rsidRPr="001A3DF5" w:rsidRDefault="00A600B0" w:rsidP="00307641">
            <w:pPr>
              <w:rPr>
                <w:rFonts w:asciiTheme="majorHAnsi" w:hAnsiTheme="majorHAnsi"/>
                <w:bCs/>
              </w:rPr>
            </w:pPr>
            <w:r w:rsidRPr="001A3DF5">
              <w:rPr>
                <w:rFonts w:asciiTheme="majorHAnsi" w:hAnsiTheme="majorHAnsi"/>
                <w:b/>
                <w:bCs/>
              </w:rPr>
              <w:t>Joint</w:t>
            </w:r>
            <w:r w:rsidRPr="001A3DF5">
              <w:rPr>
                <w:rFonts w:asciiTheme="majorHAnsi" w:hAnsiTheme="majorHAnsi"/>
                <w:bCs/>
              </w:rPr>
              <w:t xml:space="preserve"> IASC-UNDG humanitarian-development </w:t>
            </w:r>
            <w:r w:rsidRPr="001A3DF5">
              <w:rPr>
                <w:rFonts w:asciiTheme="majorHAnsi" w:hAnsiTheme="majorHAnsi"/>
                <w:b/>
                <w:bCs/>
              </w:rPr>
              <w:t>principles</w:t>
            </w:r>
            <w:r w:rsidRPr="001A3DF5">
              <w:rPr>
                <w:rFonts w:asciiTheme="majorHAnsi" w:hAnsiTheme="majorHAnsi"/>
                <w:bCs/>
              </w:rPr>
              <w:t xml:space="preserve"> on Advancing Collective Outcome</w:t>
            </w:r>
          </w:p>
        </w:tc>
        <w:tc>
          <w:tcPr>
            <w:tcW w:w="1946" w:type="dxa"/>
            <w:shd w:val="clear" w:color="auto" w:fill="auto"/>
            <w:vAlign w:val="center"/>
          </w:tcPr>
          <w:p w:rsidR="00A600B0" w:rsidRPr="001A3DF5" w:rsidRDefault="002F2FEB" w:rsidP="00307641">
            <w:pPr>
              <w:rPr>
                <w:rFonts w:asciiTheme="majorHAnsi" w:hAnsiTheme="majorHAnsi"/>
              </w:rPr>
            </w:pPr>
            <w:r w:rsidRPr="001A3DF5">
              <w:rPr>
                <w:rFonts w:asciiTheme="majorHAnsi" w:hAnsiTheme="majorHAnsi"/>
              </w:rPr>
              <w:t>Check if still valid</w:t>
            </w:r>
          </w:p>
        </w:tc>
        <w:tc>
          <w:tcPr>
            <w:tcW w:w="2127" w:type="dxa"/>
            <w:vAlign w:val="center"/>
          </w:tcPr>
          <w:p w:rsidR="00A600B0" w:rsidRPr="001A3DF5" w:rsidRDefault="00A600B0" w:rsidP="00307641">
            <w:pPr>
              <w:jc w:val="center"/>
              <w:rPr>
                <w:rFonts w:asciiTheme="majorHAnsi" w:hAnsiTheme="majorHAnsi"/>
              </w:rPr>
            </w:pPr>
            <w:r w:rsidRPr="001A3DF5">
              <w:rPr>
                <w:rFonts w:asciiTheme="majorHAnsi" w:hAnsiTheme="majorHAnsi"/>
              </w:rPr>
              <w:t>Sustaining Peace/Sustainable Development Results Group</w:t>
            </w:r>
          </w:p>
        </w:tc>
      </w:tr>
    </w:tbl>
    <w:p w:rsidR="003D43A1" w:rsidRPr="001A3DF5" w:rsidRDefault="003D43A1">
      <w:pPr>
        <w:rPr>
          <w:rFonts w:asciiTheme="majorHAnsi" w:hAnsiTheme="majorHAnsi"/>
        </w:rPr>
      </w:pPr>
      <w:r w:rsidRPr="001A3DF5">
        <w:rPr>
          <w:rFonts w:asciiTheme="majorHAnsi" w:hAnsiTheme="majorHAnsi"/>
        </w:rPr>
        <w:br w:type="page"/>
      </w:r>
    </w:p>
    <w:tbl>
      <w:tblPr>
        <w:tblStyle w:val="TableGrid"/>
        <w:tblpPr w:leftFromText="180" w:rightFromText="180" w:vertAnchor="page" w:horzAnchor="margin" w:tblpY="2821"/>
        <w:tblW w:w="20946" w:type="dxa"/>
        <w:tblLayout w:type="fixed"/>
        <w:tblLook w:val="04A0" w:firstRow="1" w:lastRow="0" w:firstColumn="1" w:lastColumn="0" w:noHBand="0" w:noVBand="1"/>
      </w:tblPr>
      <w:tblGrid>
        <w:gridCol w:w="1936"/>
        <w:gridCol w:w="7953"/>
        <w:gridCol w:w="2232"/>
        <w:gridCol w:w="4572"/>
        <w:gridCol w:w="2126"/>
        <w:gridCol w:w="2127"/>
      </w:tblGrid>
      <w:tr w:rsidR="00307641" w:rsidRPr="001A3DF5" w:rsidTr="00307641">
        <w:trPr>
          <w:trHeight w:val="1695"/>
        </w:trPr>
        <w:tc>
          <w:tcPr>
            <w:tcW w:w="1936" w:type="dxa"/>
            <w:vMerge w:val="restart"/>
            <w:shd w:val="clear" w:color="auto" w:fill="D6E3BC" w:themeFill="accent3" w:themeFillTint="66"/>
            <w:vAlign w:val="center"/>
          </w:tcPr>
          <w:p w:rsidR="00307641" w:rsidRPr="001A3DF5" w:rsidRDefault="00307641" w:rsidP="00307641">
            <w:pPr>
              <w:rPr>
                <w:rFonts w:asciiTheme="majorHAnsi" w:hAnsiTheme="majorHAnsi"/>
              </w:rPr>
            </w:pPr>
            <w:r w:rsidRPr="001A3DF5">
              <w:rPr>
                <w:rFonts w:asciiTheme="majorHAnsi" w:hAnsiTheme="majorHAnsi"/>
              </w:rPr>
              <w:lastRenderedPageBreak/>
              <w:t xml:space="preserve">2. </w:t>
            </w:r>
            <w:r w:rsidRPr="001A3DF5">
              <w:rPr>
                <w:rFonts w:asciiTheme="majorHAnsi" w:hAnsiTheme="majorHAnsi"/>
                <w:b/>
              </w:rPr>
              <w:t>Review and Assess current Policy, Guidance and operational tools</w:t>
            </w:r>
            <w:r w:rsidRPr="001A3DF5">
              <w:rPr>
                <w:rFonts w:asciiTheme="majorHAnsi" w:hAnsiTheme="majorHAnsi"/>
              </w:rPr>
              <w:t xml:space="preserve"> based on common understanding to </w:t>
            </w:r>
            <w:r w:rsidRPr="001A3DF5">
              <w:rPr>
                <w:rFonts w:asciiTheme="majorHAnsi" w:hAnsiTheme="majorHAnsi"/>
                <w:b/>
              </w:rPr>
              <w:t>identify gaps and best practices.</w:t>
            </w:r>
          </w:p>
        </w:tc>
        <w:tc>
          <w:tcPr>
            <w:tcW w:w="7953" w:type="dxa"/>
            <w:shd w:val="clear" w:color="auto" w:fill="auto"/>
            <w:vAlign w:val="center"/>
          </w:tcPr>
          <w:p w:rsidR="00307641" w:rsidRPr="001A3DF5" w:rsidRDefault="00307641" w:rsidP="00307641">
            <w:pPr>
              <w:rPr>
                <w:rFonts w:asciiTheme="majorHAnsi" w:hAnsiTheme="majorHAnsi"/>
                <w:i/>
                <w:iCs/>
              </w:rPr>
            </w:pPr>
            <w:r w:rsidRPr="001A3DF5">
              <w:rPr>
                <w:rFonts w:asciiTheme="majorHAnsi" w:hAnsiTheme="majorHAnsi"/>
                <w:b/>
              </w:rPr>
              <w:t>2.1 -</w:t>
            </w:r>
            <w:r w:rsidRPr="001A3DF5">
              <w:rPr>
                <w:rFonts w:asciiTheme="majorHAnsi" w:hAnsiTheme="majorHAnsi"/>
              </w:rPr>
              <w:t xml:space="preserve"> </w:t>
            </w:r>
            <w:r w:rsidRPr="001A3DF5">
              <w:rPr>
                <w:rFonts w:asciiTheme="majorHAnsi" w:hAnsiTheme="majorHAnsi"/>
                <w:b/>
              </w:rPr>
              <w:t>Open Source Platform of operational tools</w:t>
            </w:r>
            <w:r w:rsidRPr="001A3DF5">
              <w:rPr>
                <w:rFonts w:asciiTheme="majorHAnsi" w:hAnsiTheme="majorHAnsi"/>
              </w:rPr>
              <w:t xml:space="preserve">:  </w:t>
            </w:r>
            <w:r w:rsidRPr="001A3DF5">
              <w:rPr>
                <w:rFonts w:asciiTheme="majorHAnsi" w:hAnsiTheme="majorHAnsi"/>
                <w:i/>
                <w:iCs/>
              </w:rPr>
              <w:t xml:space="preserve">gather and make accessible the many tools developed to date that can showcase how humanitarian efforts and development work can and is brought closer together to better address risks and vulnerabilities and when done successfully, contributing to bringing down humanitarian needs </w:t>
            </w:r>
          </w:p>
        </w:tc>
        <w:tc>
          <w:tcPr>
            <w:tcW w:w="2232" w:type="dxa"/>
            <w:vAlign w:val="center"/>
          </w:tcPr>
          <w:p w:rsidR="00307641" w:rsidRPr="001A3DF5" w:rsidRDefault="00307641" w:rsidP="00307641">
            <w:pPr>
              <w:rPr>
                <w:rFonts w:asciiTheme="majorHAnsi" w:hAnsiTheme="majorHAnsi"/>
              </w:rPr>
            </w:pPr>
            <w:r w:rsidRPr="001A3DF5">
              <w:rPr>
                <w:rFonts w:asciiTheme="majorHAnsi" w:hAnsiTheme="majorHAnsi"/>
              </w:rPr>
              <w:t>ICVA, InterAction</w:t>
            </w:r>
          </w:p>
        </w:tc>
        <w:tc>
          <w:tcPr>
            <w:tcW w:w="4572" w:type="dxa"/>
            <w:shd w:val="clear" w:color="auto" w:fill="EAF1DD" w:themeFill="accent3" w:themeFillTint="33"/>
            <w:vAlign w:val="center"/>
          </w:tcPr>
          <w:p w:rsidR="00307641" w:rsidRPr="001A3DF5" w:rsidRDefault="00307641" w:rsidP="00307641">
            <w:pPr>
              <w:rPr>
                <w:rFonts w:asciiTheme="majorHAnsi" w:hAnsiTheme="majorHAnsi"/>
                <w:bCs/>
                <w:i/>
                <w:iCs/>
                <w:color w:val="FF0000"/>
              </w:rPr>
            </w:pPr>
            <w:r w:rsidRPr="001A3DF5">
              <w:rPr>
                <w:rFonts w:asciiTheme="majorHAnsi" w:hAnsiTheme="majorHAnsi"/>
                <w:b/>
                <w:bCs/>
              </w:rPr>
              <w:t>Common Online Platform</w:t>
            </w:r>
            <w:r w:rsidRPr="001A3DF5">
              <w:rPr>
                <w:rFonts w:asciiTheme="majorHAnsi" w:hAnsiTheme="majorHAnsi"/>
                <w:bCs/>
              </w:rPr>
              <w:t xml:space="preserve"> (HDPN Portal) - website</w:t>
            </w:r>
          </w:p>
          <w:p w:rsidR="00307641" w:rsidRPr="001A3DF5" w:rsidRDefault="00307641" w:rsidP="00307641">
            <w:pPr>
              <w:rPr>
                <w:rFonts w:asciiTheme="majorHAnsi" w:hAnsiTheme="majorHAnsi"/>
                <w:i/>
                <w:iCs/>
                <w:color w:val="FF0000"/>
              </w:rPr>
            </w:pPr>
          </w:p>
        </w:tc>
        <w:tc>
          <w:tcPr>
            <w:tcW w:w="212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check</w:t>
            </w:r>
          </w:p>
        </w:tc>
        <w:tc>
          <w:tcPr>
            <w:tcW w:w="2127" w:type="dxa"/>
            <w:vAlign w:val="center"/>
          </w:tcPr>
          <w:p w:rsidR="00307641" w:rsidRPr="001A3DF5" w:rsidRDefault="00307641" w:rsidP="00307641">
            <w:pPr>
              <w:jc w:val="center"/>
              <w:rPr>
                <w:rFonts w:asciiTheme="majorHAnsi" w:hAnsiTheme="majorHAnsi"/>
              </w:rPr>
            </w:pPr>
            <w:r w:rsidRPr="001A3DF5">
              <w:rPr>
                <w:rFonts w:asciiTheme="majorHAnsi" w:hAnsiTheme="majorHAnsi"/>
              </w:rPr>
              <w:t>Grand Bargain, Denmark, PHAP</w:t>
            </w:r>
          </w:p>
        </w:tc>
      </w:tr>
      <w:tr w:rsidR="00307641" w:rsidRPr="001A3DF5" w:rsidTr="00307641">
        <w:trPr>
          <w:trHeight w:val="430"/>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vMerge w:val="restart"/>
            <w:shd w:val="clear" w:color="auto" w:fill="auto"/>
            <w:vAlign w:val="center"/>
          </w:tcPr>
          <w:p w:rsidR="00307641" w:rsidRPr="001A3DF5" w:rsidRDefault="00307641" w:rsidP="00307641">
            <w:pPr>
              <w:rPr>
                <w:rFonts w:asciiTheme="majorHAnsi" w:hAnsiTheme="majorHAnsi"/>
                <w:i/>
                <w:iCs/>
                <w:color w:val="FF0000"/>
              </w:rPr>
            </w:pPr>
            <w:r w:rsidRPr="001A3DF5">
              <w:rPr>
                <w:rFonts w:asciiTheme="majorHAnsi" w:hAnsiTheme="majorHAnsi"/>
                <w:b/>
              </w:rPr>
              <w:t>2.2 -</w:t>
            </w:r>
            <w:r w:rsidRPr="001A3DF5">
              <w:rPr>
                <w:rFonts w:asciiTheme="majorHAnsi" w:hAnsiTheme="majorHAnsi"/>
              </w:rPr>
              <w:t xml:space="preserve"> </w:t>
            </w:r>
            <w:r w:rsidRPr="001A3DF5">
              <w:rPr>
                <w:rFonts w:asciiTheme="majorHAnsi" w:hAnsiTheme="majorHAnsi"/>
                <w:b/>
              </w:rPr>
              <w:t>Global Survey of field practitioners</w:t>
            </w:r>
            <w:r w:rsidRPr="001A3DF5">
              <w:rPr>
                <w:rFonts w:asciiTheme="majorHAnsi" w:hAnsiTheme="majorHAnsi"/>
              </w:rPr>
              <w:t xml:space="preserve">: </w:t>
            </w:r>
            <w:r w:rsidRPr="001A3DF5">
              <w:rPr>
                <w:rFonts w:asciiTheme="majorHAnsi" w:hAnsiTheme="majorHAnsi"/>
                <w:i/>
                <w:iCs/>
              </w:rPr>
              <w:t xml:space="preserve">Building on initial outcomes from joint retreats, and anecdotal evidence from HDN TT, this activity will include the designing, dissemination, and analysis of a wide global survey of field practitioners (HC/RCs etc) to understand the challenges and opportunities related to jointly working with development, peacebuilding, and other actors in the nexus - </w:t>
            </w:r>
            <w:r w:rsidRPr="001A3DF5">
              <w:rPr>
                <w:rFonts w:asciiTheme="majorHAnsi" w:hAnsiTheme="majorHAnsi"/>
                <w:b/>
                <w:i/>
                <w:iCs/>
                <w:color w:val="FF0000"/>
              </w:rPr>
              <w:t>ONGOING</w:t>
            </w:r>
          </w:p>
        </w:tc>
        <w:tc>
          <w:tcPr>
            <w:tcW w:w="2232" w:type="dxa"/>
            <w:vMerge w:val="restart"/>
            <w:vAlign w:val="center"/>
          </w:tcPr>
          <w:p w:rsidR="00307641" w:rsidRPr="001A3DF5" w:rsidRDefault="00307641" w:rsidP="00307641">
            <w:pPr>
              <w:rPr>
                <w:rFonts w:asciiTheme="majorHAnsi" w:hAnsiTheme="majorHAnsi"/>
              </w:rPr>
            </w:pPr>
            <w:r w:rsidRPr="001A3DF5">
              <w:rPr>
                <w:rFonts w:asciiTheme="majorHAnsi" w:hAnsiTheme="majorHAnsi"/>
              </w:rPr>
              <w:t>UNDP, WHO co-chairs</w:t>
            </w:r>
          </w:p>
        </w:tc>
        <w:tc>
          <w:tcPr>
            <w:tcW w:w="4572" w:type="dxa"/>
            <w:vMerge w:val="restart"/>
            <w:shd w:val="clear" w:color="auto" w:fill="EAF1DD" w:themeFill="accent3" w:themeFillTint="33"/>
            <w:vAlign w:val="center"/>
          </w:tcPr>
          <w:p w:rsidR="00307641" w:rsidRPr="001A3DF5" w:rsidRDefault="00307641" w:rsidP="00307641">
            <w:pPr>
              <w:rPr>
                <w:rFonts w:asciiTheme="majorHAnsi" w:hAnsiTheme="majorHAnsi"/>
                <w:bCs/>
                <w:i/>
                <w:iCs/>
                <w:color w:val="FF0000"/>
              </w:rPr>
            </w:pPr>
            <w:r w:rsidRPr="001A3DF5">
              <w:rPr>
                <w:rFonts w:asciiTheme="majorHAnsi" w:hAnsiTheme="majorHAnsi"/>
                <w:b/>
                <w:bCs/>
              </w:rPr>
              <w:t>Survey Synthesis</w:t>
            </w:r>
            <w:r w:rsidRPr="001A3DF5">
              <w:rPr>
                <w:rFonts w:asciiTheme="majorHAnsi" w:hAnsiTheme="majorHAnsi"/>
                <w:bCs/>
              </w:rPr>
              <w:t>: Common Online Platform (HDPN Portal) - website</w:t>
            </w:r>
          </w:p>
          <w:p w:rsidR="00307641" w:rsidRPr="001A3DF5" w:rsidRDefault="00307641" w:rsidP="00307641">
            <w:pPr>
              <w:rPr>
                <w:rFonts w:asciiTheme="majorHAnsi" w:hAnsiTheme="majorHAnsi"/>
                <w:bCs/>
              </w:rPr>
            </w:pPr>
          </w:p>
        </w:tc>
        <w:tc>
          <w:tcPr>
            <w:tcW w:w="2126" w:type="dxa"/>
            <w:shd w:val="clear" w:color="auto" w:fill="00B050"/>
            <w:vAlign w:val="center"/>
          </w:tcPr>
          <w:p w:rsidR="00307641" w:rsidRPr="001A3DF5" w:rsidRDefault="00307641" w:rsidP="0030290D">
            <w:pPr>
              <w:jc w:val="center"/>
              <w:rPr>
                <w:rFonts w:asciiTheme="majorHAnsi" w:hAnsiTheme="majorHAnsi"/>
              </w:rPr>
            </w:pPr>
            <w:r w:rsidRPr="001A3DF5">
              <w:rPr>
                <w:rFonts w:asciiTheme="majorHAnsi" w:hAnsiTheme="majorHAnsi"/>
              </w:rPr>
              <w:t xml:space="preserve">V1: HC/RC. </w:t>
            </w:r>
            <w:r w:rsidR="008954E3">
              <w:rPr>
                <w:rFonts w:asciiTheme="majorHAnsi" w:hAnsiTheme="majorHAnsi"/>
              </w:rPr>
              <w:t>27</w:t>
            </w:r>
            <w:r w:rsidR="0030290D" w:rsidRPr="001A3DF5">
              <w:rPr>
                <w:rFonts w:asciiTheme="majorHAnsi" w:hAnsiTheme="majorHAnsi"/>
              </w:rPr>
              <w:t>.06.2017</w:t>
            </w:r>
          </w:p>
        </w:tc>
        <w:tc>
          <w:tcPr>
            <w:tcW w:w="2127" w:type="dxa"/>
            <w:vMerge w:val="restart"/>
            <w:vAlign w:val="center"/>
          </w:tcPr>
          <w:p w:rsidR="00307641" w:rsidRPr="001A3DF5" w:rsidRDefault="00307641" w:rsidP="00307641">
            <w:pPr>
              <w:jc w:val="center"/>
              <w:rPr>
                <w:rFonts w:asciiTheme="majorHAnsi" w:hAnsiTheme="majorHAnsi"/>
              </w:rPr>
            </w:pPr>
            <w:r w:rsidRPr="001A3DF5">
              <w:rPr>
                <w:rFonts w:asciiTheme="majorHAnsi" w:hAnsiTheme="majorHAnsi"/>
              </w:rPr>
              <w:t>DOCO, PBSO</w:t>
            </w:r>
          </w:p>
        </w:tc>
      </w:tr>
      <w:tr w:rsidR="00307641" w:rsidRPr="001A3DF5" w:rsidTr="00307641">
        <w:trPr>
          <w:trHeight w:val="1227"/>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vMerge/>
            <w:shd w:val="clear" w:color="auto" w:fill="auto"/>
            <w:vAlign w:val="center"/>
          </w:tcPr>
          <w:p w:rsidR="00307641" w:rsidRPr="001A3DF5" w:rsidRDefault="00307641" w:rsidP="00307641">
            <w:pPr>
              <w:rPr>
                <w:rFonts w:asciiTheme="majorHAnsi" w:hAnsiTheme="majorHAnsi"/>
                <w:b/>
              </w:rPr>
            </w:pPr>
          </w:p>
        </w:tc>
        <w:tc>
          <w:tcPr>
            <w:tcW w:w="2232" w:type="dxa"/>
            <w:vMerge/>
            <w:vAlign w:val="center"/>
          </w:tcPr>
          <w:p w:rsidR="00307641" w:rsidRPr="001A3DF5" w:rsidRDefault="00307641" w:rsidP="00307641">
            <w:pPr>
              <w:rPr>
                <w:rFonts w:asciiTheme="majorHAnsi" w:hAnsiTheme="majorHAnsi"/>
              </w:rPr>
            </w:pPr>
          </w:p>
        </w:tc>
        <w:tc>
          <w:tcPr>
            <w:tcW w:w="4572" w:type="dxa"/>
            <w:vMerge/>
            <w:shd w:val="clear" w:color="auto" w:fill="EAF1DD" w:themeFill="accent3" w:themeFillTint="33"/>
            <w:vAlign w:val="center"/>
          </w:tcPr>
          <w:p w:rsidR="00307641" w:rsidRPr="001A3DF5" w:rsidRDefault="00307641" w:rsidP="00307641">
            <w:pPr>
              <w:rPr>
                <w:rFonts w:asciiTheme="majorHAnsi" w:hAnsiTheme="majorHAnsi"/>
                <w:b/>
                <w:bCs/>
              </w:rPr>
            </w:pPr>
          </w:p>
        </w:tc>
        <w:tc>
          <w:tcPr>
            <w:tcW w:w="212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Q3 2017</w:t>
            </w:r>
          </w:p>
        </w:tc>
        <w:tc>
          <w:tcPr>
            <w:tcW w:w="2127" w:type="dxa"/>
            <w:vMerge/>
            <w:vAlign w:val="center"/>
          </w:tcPr>
          <w:p w:rsidR="00307641" w:rsidRPr="001A3DF5" w:rsidRDefault="00307641" w:rsidP="00307641">
            <w:pPr>
              <w:jc w:val="center"/>
              <w:rPr>
                <w:rFonts w:asciiTheme="majorHAnsi" w:hAnsiTheme="majorHAnsi"/>
              </w:rPr>
            </w:pPr>
          </w:p>
        </w:tc>
      </w:tr>
      <w:tr w:rsidR="00307641" w:rsidRPr="001A3DF5" w:rsidTr="00307641">
        <w:trPr>
          <w:trHeight w:val="850"/>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shd w:val="clear" w:color="auto" w:fill="auto"/>
            <w:vAlign w:val="center"/>
          </w:tcPr>
          <w:p w:rsidR="00307641" w:rsidRPr="001A3DF5" w:rsidRDefault="00307641" w:rsidP="00307641">
            <w:pPr>
              <w:rPr>
                <w:rFonts w:asciiTheme="majorHAnsi" w:hAnsiTheme="majorHAnsi"/>
              </w:rPr>
            </w:pPr>
            <w:r w:rsidRPr="001A3DF5">
              <w:rPr>
                <w:rFonts w:asciiTheme="majorHAnsi" w:hAnsiTheme="majorHAnsi"/>
                <w:b/>
              </w:rPr>
              <w:t>2.3 -</w:t>
            </w:r>
            <w:r w:rsidRPr="001A3DF5">
              <w:rPr>
                <w:rFonts w:asciiTheme="majorHAnsi" w:hAnsiTheme="majorHAnsi"/>
              </w:rPr>
              <w:t xml:space="preserve"> </w:t>
            </w:r>
            <w:r w:rsidRPr="001A3DF5">
              <w:rPr>
                <w:rFonts w:asciiTheme="majorHAnsi" w:hAnsiTheme="majorHAnsi"/>
                <w:b/>
              </w:rPr>
              <w:t>Peer to peer engagement and communities of Practice</w:t>
            </w:r>
            <w:r w:rsidRPr="001A3DF5">
              <w:rPr>
                <w:rFonts w:asciiTheme="majorHAnsi" w:hAnsiTheme="majorHAnsi"/>
              </w:rPr>
              <w:t xml:space="preserve">: </w:t>
            </w:r>
            <w:r w:rsidRPr="001A3DF5">
              <w:rPr>
                <w:rFonts w:asciiTheme="majorHAnsi" w:hAnsiTheme="majorHAnsi"/>
                <w:i/>
                <w:iCs/>
              </w:rPr>
              <w:t xml:space="preserve">outreach of collective tools, products and understandings – </w:t>
            </w:r>
            <w:r w:rsidRPr="001A3DF5">
              <w:rPr>
                <w:rFonts w:asciiTheme="majorHAnsi" w:hAnsiTheme="majorHAnsi"/>
                <w:b/>
                <w:i/>
                <w:iCs/>
                <w:color w:val="FF0000"/>
              </w:rPr>
              <w:t>ONGOING</w:t>
            </w:r>
            <w:r w:rsidRPr="001A3DF5">
              <w:rPr>
                <w:rFonts w:asciiTheme="majorHAnsi" w:hAnsiTheme="majorHAnsi"/>
                <w:i/>
                <w:iCs/>
                <w:color w:val="FF0000"/>
              </w:rPr>
              <w:t xml:space="preserve"> </w:t>
            </w:r>
          </w:p>
        </w:tc>
        <w:tc>
          <w:tcPr>
            <w:tcW w:w="2232" w:type="dxa"/>
            <w:vAlign w:val="center"/>
          </w:tcPr>
          <w:p w:rsidR="00307641" w:rsidRPr="001A3DF5" w:rsidRDefault="00307641" w:rsidP="00307641">
            <w:pPr>
              <w:rPr>
                <w:rFonts w:asciiTheme="majorHAnsi" w:hAnsiTheme="majorHAnsi"/>
              </w:rPr>
            </w:pPr>
            <w:r w:rsidRPr="001A3DF5">
              <w:rPr>
                <w:rFonts w:asciiTheme="majorHAnsi" w:hAnsiTheme="majorHAnsi"/>
              </w:rPr>
              <w:t>InterAction, ICVA, UNHCR, OCHA-UNDP</w:t>
            </w:r>
          </w:p>
        </w:tc>
        <w:tc>
          <w:tcPr>
            <w:tcW w:w="4572" w:type="dxa"/>
            <w:shd w:val="clear" w:color="auto" w:fill="EAF1DD" w:themeFill="accent3" w:themeFillTint="33"/>
            <w:vAlign w:val="center"/>
          </w:tcPr>
          <w:p w:rsidR="00307641" w:rsidRPr="001A3DF5" w:rsidRDefault="00307641" w:rsidP="00307641">
            <w:pPr>
              <w:rPr>
                <w:rFonts w:asciiTheme="majorHAnsi" w:hAnsiTheme="majorHAnsi"/>
                <w:bCs/>
              </w:rPr>
            </w:pPr>
            <w:r w:rsidRPr="001A3DF5">
              <w:rPr>
                <w:rFonts w:asciiTheme="majorHAnsi" w:hAnsiTheme="majorHAnsi"/>
                <w:b/>
                <w:bCs/>
              </w:rPr>
              <w:t>Webinars Series, Regional Workshops</w:t>
            </w:r>
          </w:p>
        </w:tc>
        <w:tc>
          <w:tcPr>
            <w:tcW w:w="212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Q2 2017 – Q3 2018</w:t>
            </w:r>
          </w:p>
        </w:tc>
        <w:tc>
          <w:tcPr>
            <w:tcW w:w="2127" w:type="dxa"/>
            <w:vAlign w:val="center"/>
          </w:tcPr>
          <w:p w:rsidR="00307641" w:rsidRPr="001A3DF5" w:rsidRDefault="00307641" w:rsidP="00307641">
            <w:pPr>
              <w:jc w:val="center"/>
              <w:rPr>
                <w:rFonts w:asciiTheme="majorHAnsi" w:hAnsiTheme="majorHAnsi"/>
              </w:rPr>
            </w:pPr>
            <w:r w:rsidRPr="001A3DF5">
              <w:rPr>
                <w:rFonts w:asciiTheme="majorHAnsi" w:hAnsiTheme="majorHAnsi"/>
              </w:rPr>
              <w:t>Peer2peer SG, Good Humanitarian Donorship Group, PHAP</w:t>
            </w:r>
          </w:p>
        </w:tc>
      </w:tr>
      <w:tr w:rsidR="00307641" w:rsidRPr="001A3DF5" w:rsidTr="00307641">
        <w:trPr>
          <w:trHeight w:val="935"/>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shd w:val="clear" w:color="auto" w:fill="auto"/>
            <w:vAlign w:val="center"/>
          </w:tcPr>
          <w:p w:rsidR="00307641" w:rsidRPr="001A3DF5" w:rsidRDefault="00307641" w:rsidP="00307641">
            <w:pPr>
              <w:rPr>
                <w:rFonts w:asciiTheme="majorHAnsi" w:hAnsiTheme="majorHAnsi"/>
                <w:i/>
                <w:iCs/>
                <w:color w:val="FF0000"/>
              </w:rPr>
            </w:pPr>
            <w:r w:rsidRPr="001A3DF5">
              <w:rPr>
                <w:rFonts w:asciiTheme="majorHAnsi" w:hAnsiTheme="majorHAnsi"/>
                <w:b/>
              </w:rPr>
              <w:t>2.4 -</w:t>
            </w:r>
            <w:r w:rsidRPr="001A3DF5">
              <w:rPr>
                <w:rFonts w:asciiTheme="majorHAnsi" w:hAnsiTheme="majorHAnsi"/>
              </w:rPr>
              <w:t xml:space="preserve"> </w:t>
            </w:r>
            <w:r w:rsidRPr="001A3DF5">
              <w:rPr>
                <w:rFonts w:asciiTheme="majorHAnsi" w:hAnsiTheme="majorHAnsi"/>
                <w:b/>
              </w:rPr>
              <w:t>Evidence Gathering:</w:t>
            </w:r>
            <w:r w:rsidRPr="001A3DF5">
              <w:rPr>
                <w:rFonts w:asciiTheme="majorHAnsi" w:hAnsiTheme="majorHAnsi"/>
              </w:rPr>
              <w:t xml:space="preserve"> </w:t>
            </w:r>
            <w:r w:rsidRPr="001A3DF5">
              <w:rPr>
                <w:rFonts w:asciiTheme="majorHAnsi" w:hAnsiTheme="majorHAnsi"/>
                <w:i/>
                <w:iCs/>
              </w:rPr>
              <w:t xml:space="preserve">defining research questions and methodology in collecting and analysing the country evidence of NWoW implementation - </w:t>
            </w:r>
            <w:r w:rsidRPr="001A3DF5">
              <w:rPr>
                <w:rFonts w:asciiTheme="majorHAnsi" w:hAnsiTheme="majorHAnsi"/>
                <w:b/>
                <w:i/>
                <w:iCs/>
                <w:color w:val="FF0000"/>
              </w:rPr>
              <w:t>ONGOING</w:t>
            </w:r>
          </w:p>
        </w:tc>
        <w:tc>
          <w:tcPr>
            <w:tcW w:w="2232" w:type="dxa"/>
            <w:vAlign w:val="center"/>
          </w:tcPr>
          <w:p w:rsidR="00307641" w:rsidRPr="001A3DF5" w:rsidRDefault="00307641" w:rsidP="00307641">
            <w:pPr>
              <w:rPr>
                <w:rFonts w:asciiTheme="majorHAnsi" w:hAnsiTheme="majorHAnsi"/>
              </w:rPr>
            </w:pPr>
            <w:r w:rsidRPr="001A3DF5">
              <w:rPr>
                <w:rFonts w:asciiTheme="majorHAnsi" w:hAnsiTheme="majorHAnsi"/>
              </w:rPr>
              <w:t>OCHA-UNDP with contributions from all Agencies</w:t>
            </w:r>
          </w:p>
        </w:tc>
        <w:tc>
          <w:tcPr>
            <w:tcW w:w="4572" w:type="dxa"/>
            <w:shd w:val="clear" w:color="auto" w:fill="EAF1DD" w:themeFill="accent3" w:themeFillTint="33"/>
            <w:vAlign w:val="center"/>
          </w:tcPr>
          <w:p w:rsidR="00307641" w:rsidRPr="001A3DF5" w:rsidRDefault="00307641" w:rsidP="00307641">
            <w:pPr>
              <w:rPr>
                <w:rFonts w:asciiTheme="majorHAnsi" w:hAnsiTheme="majorHAnsi"/>
                <w:bCs/>
              </w:rPr>
            </w:pPr>
            <w:r w:rsidRPr="001A3DF5">
              <w:rPr>
                <w:rFonts w:asciiTheme="majorHAnsi" w:hAnsiTheme="majorHAnsi"/>
                <w:b/>
                <w:bCs/>
              </w:rPr>
              <w:t>IASC Compendium</w:t>
            </w:r>
            <w:r w:rsidRPr="001A3DF5">
              <w:rPr>
                <w:rFonts w:asciiTheme="majorHAnsi" w:hAnsiTheme="majorHAnsi"/>
                <w:bCs/>
              </w:rPr>
              <w:t xml:space="preserve"> of Promising Practices Report on Humanitarian-Development and Peacebuilding Nexus</w:t>
            </w:r>
          </w:p>
          <w:p w:rsidR="00307641" w:rsidRPr="001A3DF5" w:rsidRDefault="00307641" w:rsidP="00307641">
            <w:pPr>
              <w:rPr>
                <w:rFonts w:asciiTheme="majorHAnsi" w:hAnsiTheme="majorHAnsi"/>
                <w:b/>
                <w:bCs/>
              </w:rPr>
            </w:pPr>
          </w:p>
        </w:tc>
        <w:tc>
          <w:tcPr>
            <w:tcW w:w="212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Q4 2017</w:t>
            </w:r>
          </w:p>
        </w:tc>
        <w:tc>
          <w:tcPr>
            <w:tcW w:w="2127" w:type="dxa"/>
            <w:vAlign w:val="center"/>
          </w:tcPr>
          <w:p w:rsidR="00307641" w:rsidRPr="001A3DF5" w:rsidRDefault="00307641" w:rsidP="00307641">
            <w:pPr>
              <w:jc w:val="center"/>
              <w:rPr>
                <w:rFonts w:asciiTheme="majorHAnsi" w:hAnsiTheme="majorHAnsi"/>
              </w:rPr>
            </w:pPr>
            <w:r w:rsidRPr="001A3DF5">
              <w:rPr>
                <w:rFonts w:asciiTheme="majorHAnsi" w:hAnsiTheme="majorHAnsi"/>
              </w:rPr>
              <w:t>CIC, HDAG</w:t>
            </w:r>
          </w:p>
        </w:tc>
      </w:tr>
      <w:tr w:rsidR="00307641" w:rsidRPr="001A3DF5" w:rsidTr="00307641">
        <w:trPr>
          <w:trHeight w:val="369"/>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vMerge w:val="restart"/>
            <w:shd w:val="clear" w:color="auto" w:fill="auto"/>
            <w:vAlign w:val="center"/>
          </w:tcPr>
          <w:p w:rsidR="00307641" w:rsidRPr="001A3DF5" w:rsidRDefault="00307641" w:rsidP="00307641">
            <w:pPr>
              <w:rPr>
                <w:rFonts w:asciiTheme="majorHAnsi" w:hAnsiTheme="majorHAnsi"/>
                <w:i/>
                <w:iCs/>
              </w:rPr>
            </w:pPr>
            <w:r w:rsidRPr="001A3DF5">
              <w:rPr>
                <w:rFonts w:asciiTheme="majorHAnsi" w:hAnsiTheme="majorHAnsi"/>
                <w:b/>
              </w:rPr>
              <w:t>2.5 -</w:t>
            </w:r>
            <w:r w:rsidRPr="001A3DF5">
              <w:rPr>
                <w:rFonts w:asciiTheme="majorHAnsi" w:hAnsiTheme="majorHAnsi"/>
              </w:rPr>
              <w:t xml:space="preserve"> </w:t>
            </w:r>
            <w:r w:rsidRPr="001A3DF5">
              <w:rPr>
                <w:rFonts w:asciiTheme="majorHAnsi" w:hAnsiTheme="majorHAnsi"/>
                <w:b/>
              </w:rPr>
              <w:t>Review of IASC emergency response protocols and related operational Guidance for their applicability in Protracted situations</w:t>
            </w:r>
            <w:r w:rsidRPr="001A3DF5">
              <w:rPr>
                <w:rFonts w:asciiTheme="majorHAnsi" w:hAnsiTheme="majorHAnsi"/>
              </w:rPr>
              <w:t xml:space="preserve">: </w:t>
            </w:r>
            <w:r w:rsidRPr="001A3DF5">
              <w:rPr>
                <w:rFonts w:asciiTheme="majorHAnsi" w:hAnsiTheme="majorHAnsi"/>
                <w:i/>
                <w:iCs/>
              </w:rPr>
              <w:t>As part of wider effort to gain better normative understanding, and building on the criteria and typologies, this activity will aim to systematically review and assess the existing IASC response protocols for the relevance and applicability to protracted situations</w:t>
            </w:r>
          </w:p>
        </w:tc>
        <w:tc>
          <w:tcPr>
            <w:tcW w:w="2232" w:type="dxa"/>
            <w:vMerge w:val="restart"/>
            <w:vAlign w:val="center"/>
          </w:tcPr>
          <w:p w:rsidR="00307641" w:rsidRPr="001A3DF5" w:rsidRDefault="00307641" w:rsidP="00307641">
            <w:pPr>
              <w:rPr>
                <w:rFonts w:asciiTheme="majorHAnsi" w:hAnsiTheme="majorHAnsi"/>
              </w:rPr>
            </w:pPr>
            <w:r w:rsidRPr="001A3DF5">
              <w:rPr>
                <w:rFonts w:asciiTheme="majorHAnsi" w:hAnsiTheme="majorHAnsi"/>
              </w:rPr>
              <w:t>All agencies</w:t>
            </w:r>
          </w:p>
        </w:tc>
        <w:tc>
          <w:tcPr>
            <w:tcW w:w="4572" w:type="dxa"/>
            <w:vMerge w:val="restart"/>
            <w:shd w:val="clear" w:color="auto" w:fill="EAF1DD" w:themeFill="accent3" w:themeFillTint="33"/>
            <w:vAlign w:val="center"/>
          </w:tcPr>
          <w:p w:rsidR="00307641" w:rsidRPr="001A3DF5" w:rsidRDefault="00307641" w:rsidP="00307641">
            <w:pPr>
              <w:rPr>
                <w:rFonts w:asciiTheme="majorHAnsi" w:hAnsiTheme="majorHAnsi"/>
                <w:i/>
                <w:iCs/>
                <w:color w:val="FF0000"/>
              </w:rPr>
            </w:pPr>
            <w:r w:rsidRPr="001A3DF5">
              <w:rPr>
                <w:rFonts w:asciiTheme="majorHAnsi" w:hAnsiTheme="majorHAnsi"/>
                <w:b/>
                <w:bCs/>
              </w:rPr>
              <w:t>HDN TT system-wide recommendations</w:t>
            </w:r>
            <w:r w:rsidRPr="001A3DF5">
              <w:rPr>
                <w:rFonts w:asciiTheme="majorHAnsi" w:hAnsiTheme="majorHAnsi"/>
                <w:bCs/>
              </w:rPr>
              <w:t xml:space="preserve"> on IASC protocols for protracted situations</w:t>
            </w:r>
          </w:p>
        </w:tc>
        <w:tc>
          <w:tcPr>
            <w:tcW w:w="2126" w:type="dxa"/>
            <w:shd w:val="clear" w:color="auto" w:fill="00B050"/>
            <w:vAlign w:val="center"/>
          </w:tcPr>
          <w:p w:rsidR="00307641" w:rsidRPr="001A3DF5" w:rsidRDefault="00307641" w:rsidP="008954E3">
            <w:pPr>
              <w:jc w:val="center"/>
              <w:rPr>
                <w:rFonts w:asciiTheme="majorHAnsi" w:hAnsiTheme="majorHAnsi"/>
              </w:rPr>
            </w:pPr>
            <w:r w:rsidRPr="001A3DF5">
              <w:rPr>
                <w:rFonts w:asciiTheme="majorHAnsi" w:hAnsiTheme="majorHAnsi"/>
              </w:rPr>
              <w:t xml:space="preserve">V1. </w:t>
            </w:r>
            <w:r w:rsidR="0030290D" w:rsidRPr="001A3DF5">
              <w:rPr>
                <w:rFonts w:asciiTheme="majorHAnsi" w:hAnsiTheme="majorHAnsi"/>
              </w:rPr>
              <w:t>1</w:t>
            </w:r>
            <w:r w:rsidR="008954E3">
              <w:rPr>
                <w:rFonts w:asciiTheme="majorHAnsi" w:hAnsiTheme="majorHAnsi"/>
              </w:rPr>
              <w:t>7</w:t>
            </w:r>
            <w:r w:rsidR="0030290D" w:rsidRPr="001A3DF5">
              <w:rPr>
                <w:rFonts w:asciiTheme="majorHAnsi" w:hAnsiTheme="majorHAnsi"/>
              </w:rPr>
              <w:t>.08.2016</w:t>
            </w:r>
            <w:r w:rsidR="008954E3">
              <w:rPr>
                <w:rFonts w:asciiTheme="majorHAnsi" w:hAnsiTheme="majorHAnsi"/>
              </w:rPr>
              <w:t xml:space="preserve"> (ppt)</w:t>
            </w:r>
          </w:p>
        </w:tc>
        <w:tc>
          <w:tcPr>
            <w:tcW w:w="2127" w:type="dxa"/>
            <w:vMerge w:val="restart"/>
            <w:vAlign w:val="center"/>
          </w:tcPr>
          <w:p w:rsidR="00307641" w:rsidRPr="001A3DF5" w:rsidRDefault="00307641" w:rsidP="00307641">
            <w:pPr>
              <w:jc w:val="center"/>
              <w:rPr>
                <w:rFonts w:asciiTheme="majorHAnsi" w:hAnsiTheme="majorHAnsi"/>
              </w:rPr>
            </w:pPr>
            <w:r w:rsidRPr="001A3DF5">
              <w:rPr>
                <w:rFonts w:asciiTheme="majorHAnsi" w:hAnsiTheme="majorHAnsi"/>
              </w:rPr>
              <w:t>Sustaining Peace/Sustainable Development Results Group</w:t>
            </w:r>
          </w:p>
        </w:tc>
      </w:tr>
      <w:tr w:rsidR="00307641" w:rsidRPr="001A3DF5" w:rsidTr="00307641">
        <w:trPr>
          <w:trHeight w:val="1354"/>
        </w:trPr>
        <w:tc>
          <w:tcPr>
            <w:tcW w:w="1936" w:type="dxa"/>
            <w:vMerge/>
            <w:shd w:val="clear" w:color="auto" w:fill="D6E3BC" w:themeFill="accent3" w:themeFillTint="66"/>
            <w:vAlign w:val="center"/>
          </w:tcPr>
          <w:p w:rsidR="00307641" w:rsidRPr="001A3DF5" w:rsidRDefault="00307641" w:rsidP="00307641">
            <w:pPr>
              <w:jc w:val="center"/>
              <w:rPr>
                <w:rFonts w:asciiTheme="majorHAnsi" w:hAnsiTheme="majorHAnsi"/>
              </w:rPr>
            </w:pPr>
          </w:p>
        </w:tc>
        <w:tc>
          <w:tcPr>
            <w:tcW w:w="7953" w:type="dxa"/>
            <w:vMerge/>
            <w:shd w:val="clear" w:color="auto" w:fill="auto"/>
            <w:vAlign w:val="center"/>
          </w:tcPr>
          <w:p w:rsidR="00307641" w:rsidRPr="001A3DF5" w:rsidRDefault="00307641" w:rsidP="00307641">
            <w:pPr>
              <w:rPr>
                <w:rFonts w:asciiTheme="majorHAnsi" w:hAnsiTheme="majorHAnsi"/>
                <w:b/>
              </w:rPr>
            </w:pPr>
          </w:p>
        </w:tc>
        <w:tc>
          <w:tcPr>
            <w:tcW w:w="2232" w:type="dxa"/>
            <w:vMerge/>
            <w:vAlign w:val="center"/>
          </w:tcPr>
          <w:p w:rsidR="00307641" w:rsidRPr="001A3DF5" w:rsidRDefault="00307641" w:rsidP="00307641">
            <w:pPr>
              <w:rPr>
                <w:rFonts w:asciiTheme="majorHAnsi" w:hAnsiTheme="majorHAnsi"/>
              </w:rPr>
            </w:pPr>
          </w:p>
        </w:tc>
        <w:tc>
          <w:tcPr>
            <w:tcW w:w="4572" w:type="dxa"/>
            <w:vMerge/>
            <w:shd w:val="clear" w:color="auto" w:fill="EAF1DD" w:themeFill="accent3" w:themeFillTint="33"/>
            <w:vAlign w:val="center"/>
          </w:tcPr>
          <w:p w:rsidR="00307641" w:rsidRPr="001A3DF5" w:rsidRDefault="00307641" w:rsidP="00307641">
            <w:pPr>
              <w:rPr>
                <w:rFonts w:asciiTheme="majorHAnsi" w:hAnsiTheme="majorHAnsi"/>
                <w:b/>
                <w:bCs/>
              </w:rPr>
            </w:pPr>
          </w:p>
        </w:tc>
        <w:tc>
          <w:tcPr>
            <w:tcW w:w="2126" w:type="dxa"/>
            <w:shd w:val="clear" w:color="auto" w:fill="auto"/>
            <w:vAlign w:val="center"/>
          </w:tcPr>
          <w:p w:rsidR="00307641" w:rsidRPr="001A3DF5" w:rsidRDefault="00307641" w:rsidP="00307641">
            <w:pPr>
              <w:jc w:val="center"/>
              <w:rPr>
                <w:rFonts w:asciiTheme="majorHAnsi" w:hAnsiTheme="majorHAnsi"/>
              </w:rPr>
            </w:pPr>
            <w:r w:rsidRPr="001A3DF5">
              <w:rPr>
                <w:rFonts w:asciiTheme="majorHAnsi" w:hAnsiTheme="majorHAnsi"/>
              </w:rPr>
              <w:t>Q1-Q4 2018</w:t>
            </w:r>
          </w:p>
        </w:tc>
        <w:tc>
          <w:tcPr>
            <w:tcW w:w="2127" w:type="dxa"/>
            <w:vMerge/>
            <w:vAlign w:val="center"/>
          </w:tcPr>
          <w:p w:rsidR="00307641" w:rsidRPr="001A3DF5" w:rsidRDefault="00307641" w:rsidP="00307641">
            <w:pPr>
              <w:jc w:val="center"/>
              <w:rPr>
                <w:rFonts w:asciiTheme="majorHAnsi" w:hAnsiTheme="majorHAnsi"/>
              </w:rPr>
            </w:pPr>
          </w:p>
        </w:tc>
      </w:tr>
      <w:tr w:rsidR="007F2786" w:rsidRPr="001A3DF5" w:rsidTr="00307641">
        <w:trPr>
          <w:trHeight w:val="336"/>
        </w:trPr>
        <w:tc>
          <w:tcPr>
            <w:tcW w:w="1936" w:type="dxa"/>
            <w:vMerge w:val="restart"/>
            <w:shd w:val="clear" w:color="auto" w:fill="B8CCE4" w:themeFill="accent1" w:themeFillTint="66"/>
            <w:vAlign w:val="center"/>
          </w:tcPr>
          <w:p w:rsidR="007F2786" w:rsidRPr="001A3DF5" w:rsidRDefault="007F2786" w:rsidP="00307641">
            <w:pPr>
              <w:rPr>
                <w:rFonts w:asciiTheme="majorHAnsi" w:hAnsiTheme="majorHAnsi"/>
              </w:rPr>
            </w:pPr>
            <w:r w:rsidRPr="001A3DF5">
              <w:rPr>
                <w:rFonts w:asciiTheme="majorHAnsi" w:hAnsiTheme="majorHAnsi"/>
              </w:rPr>
              <w:t xml:space="preserve">3. </w:t>
            </w:r>
            <w:r w:rsidRPr="001A3DF5">
              <w:rPr>
                <w:rFonts w:asciiTheme="majorHAnsi" w:hAnsiTheme="majorHAnsi"/>
                <w:b/>
              </w:rPr>
              <w:t>Ensure coherence</w:t>
            </w:r>
            <w:r w:rsidRPr="001A3DF5">
              <w:rPr>
                <w:rFonts w:asciiTheme="majorHAnsi" w:hAnsiTheme="majorHAnsi"/>
              </w:rPr>
              <w:t xml:space="preserve"> </w:t>
            </w:r>
            <w:r w:rsidRPr="001A3DF5">
              <w:rPr>
                <w:rFonts w:asciiTheme="majorHAnsi" w:hAnsiTheme="majorHAnsi"/>
                <w:b/>
              </w:rPr>
              <w:t>in field support</w:t>
            </w:r>
            <w:r w:rsidRPr="001A3DF5">
              <w:rPr>
                <w:rFonts w:asciiTheme="majorHAnsi" w:hAnsiTheme="majorHAnsi"/>
              </w:rPr>
              <w:t xml:space="preserve"> towards successful implementation of the New Way of Working</w:t>
            </w:r>
          </w:p>
        </w:tc>
        <w:tc>
          <w:tcPr>
            <w:tcW w:w="7953" w:type="dxa"/>
            <w:vMerge w:val="restart"/>
            <w:shd w:val="clear" w:color="auto" w:fill="auto"/>
            <w:vAlign w:val="center"/>
          </w:tcPr>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b/>
                <w:bCs/>
              </w:rPr>
            </w:pPr>
            <w:r w:rsidRPr="001A3DF5">
              <w:rPr>
                <w:rFonts w:asciiTheme="majorHAnsi" w:hAnsiTheme="majorHAnsi"/>
                <w:b/>
              </w:rPr>
              <w:t>3.1</w:t>
            </w:r>
            <w:r w:rsidRPr="001A3DF5">
              <w:rPr>
                <w:rFonts w:asciiTheme="majorHAnsi" w:hAnsiTheme="majorHAnsi"/>
              </w:rPr>
              <w:t xml:space="preserve"> </w:t>
            </w:r>
            <w:r w:rsidRPr="001A3DF5">
              <w:rPr>
                <w:rFonts w:asciiTheme="majorHAnsi" w:hAnsiTheme="majorHAnsi"/>
                <w:b/>
              </w:rPr>
              <w:t>- Field Support:</w:t>
            </w:r>
            <w:r w:rsidRPr="001A3DF5">
              <w:rPr>
                <w:rFonts w:asciiTheme="majorHAnsi" w:hAnsiTheme="majorHAnsi"/>
              </w:rPr>
              <w:t xml:space="preserve"> </w:t>
            </w:r>
            <w:r w:rsidRPr="001A3DF5">
              <w:rPr>
                <w:rFonts w:asciiTheme="majorHAnsi" w:hAnsiTheme="majorHAnsi"/>
                <w:i/>
                <w:iCs/>
              </w:rPr>
              <w:t xml:space="preserve">IASC Task Team on Strengthening the Humanitarian Development Nexus, as tasked by the IASC WG, will endeavour to provide support through a range of support modalities </w:t>
            </w:r>
            <w:r w:rsidRPr="001A3DF5">
              <w:rPr>
                <w:rFonts w:asciiTheme="majorHAnsi" w:hAnsiTheme="majorHAnsi"/>
                <w:i/>
                <w:iCs/>
                <w:color w:val="FF0000"/>
              </w:rPr>
              <w:t xml:space="preserve">- </w:t>
            </w:r>
            <w:r w:rsidRPr="001A3DF5">
              <w:rPr>
                <w:rFonts w:asciiTheme="majorHAnsi" w:hAnsiTheme="majorHAnsi"/>
                <w:b/>
                <w:i/>
                <w:iCs/>
                <w:color w:val="FF0000"/>
              </w:rPr>
              <w:t>ONGOING</w:t>
            </w: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p w:rsidR="007F2786" w:rsidRPr="001A3DF5" w:rsidRDefault="007F2786" w:rsidP="00307641">
            <w:pPr>
              <w:rPr>
                <w:rFonts w:asciiTheme="majorHAnsi" w:hAnsiTheme="majorHAnsi"/>
              </w:rPr>
            </w:pPr>
          </w:p>
        </w:tc>
        <w:tc>
          <w:tcPr>
            <w:tcW w:w="2232" w:type="dxa"/>
            <w:vMerge w:val="restart"/>
            <w:vAlign w:val="center"/>
          </w:tcPr>
          <w:p w:rsidR="007F2786" w:rsidRPr="001A3DF5" w:rsidRDefault="007F2786" w:rsidP="00307641">
            <w:pPr>
              <w:rPr>
                <w:rFonts w:asciiTheme="majorHAnsi" w:hAnsiTheme="majorHAnsi"/>
              </w:rPr>
            </w:pPr>
            <w:r w:rsidRPr="001A3DF5">
              <w:rPr>
                <w:rFonts w:asciiTheme="majorHAnsi" w:hAnsiTheme="majorHAnsi"/>
              </w:rPr>
              <w:t>OCHA, UNHCR, WHO</w:t>
            </w:r>
          </w:p>
        </w:tc>
        <w:tc>
          <w:tcPr>
            <w:tcW w:w="4572" w:type="dxa"/>
            <w:vMerge w:val="restart"/>
            <w:shd w:val="clear" w:color="auto" w:fill="DBE5F1" w:themeFill="accent1" w:themeFillTint="33"/>
            <w:vAlign w:val="center"/>
          </w:tcPr>
          <w:p w:rsidR="007F2786" w:rsidRPr="001A3DF5" w:rsidRDefault="007F2786" w:rsidP="00307641">
            <w:pPr>
              <w:rPr>
                <w:rFonts w:asciiTheme="majorHAnsi" w:hAnsiTheme="majorHAnsi"/>
                <w:bCs/>
              </w:rPr>
            </w:pPr>
            <w:r w:rsidRPr="001A3DF5">
              <w:rPr>
                <w:rFonts w:asciiTheme="majorHAnsi" w:hAnsiTheme="majorHAnsi"/>
                <w:b/>
                <w:bCs/>
              </w:rPr>
              <w:t>Generic Terms of Reference</w:t>
            </w:r>
          </w:p>
        </w:tc>
        <w:tc>
          <w:tcPr>
            <w:tcW w:w="2126" w:type="dxa"/>
            <w:shd w:val="clear" w:color="auto" w:fill="auto"/>
            <w:vAlign w:val="center"/>
          </w:tcPr>
          <w:p w:rsidR="007F2786" w:rsidRPr="001A3DF5" w:rsidRDefault="007F2786" w:rsidP="00307641">
            <w:pPr>
              <w:jc w:val="center"/>
              <w:rPr>
                <w:rFonts w:asciiTheme="majorHAnsi" w:hAnsiTheme="majorHAnsi"/>
              </w:rPr>
            </w:pPr>
            <w:r w:rsidRPr="001A3DF5">
              <w:rPr>
                <w:rFonts w:asciiTheme="majorHAnsi" w:hAnsiTheme="majorHAnsi"/>
              </w:rPr>
              <w:t xml:space="preserve">Draft: </w:t>
            </w:r>
          </w:p>
        </w:tc>
        <w:tc>
          <w:tcPr>
            <w:tcW w:w="2127" w:type="dxa"/>
            <w:vMerge w:val="restart"/>
            <w:vAlign w:val="center"/>
          </w:tcPr>
          <w:p w:rsidR="007F2786" w:rsidRPr="001A3DF5" w:rsidRDefault="007F2786" w:rsidP="00307641">
            <w:pPr>
              <w:jc w:val="center"/>
              <w:rPr>
                <w:rFonts w:asciiTheme="majorHAnsi" w:hAnsiTheme="majorHAnsi"/>
              </w:rPr>
            </w:pPr>
            <w:r w:rsidRPr="001A3DF5">
              <w:rPr>
                <w:rFonts w:asciiTheme="majorHAnsi" w:hAnsiTheme="majorHAnsi"/>
              </w:rPr>
              <w:t>GCC,  Sustaining Peace/Sustainable Development Results Group</w:t>
            </w:r>
          </w:p>
          <w:p w:rsidR="007F2786" w:rsidRPr="001A3DF5" w:rsidRDefault="007F2786" w:rsidP="00307641">
            <w:pPr>
              <w:jc w:val="center"/>
              <w:rPr>
                <w:rFonts w:asciiTheme="majorHAnsi" w:hAnsiTheme="majorHAnsi"/>
              </w:rPr>
            </w:pPr>
          </w:p>
        </w:tc>
      </w:tr>
      <w:tr w:rsidR="007F2786" w:rsidRPr="001A3DF5" w:rsidTr="00307641">
        <w:trPr>
          <w:trHeight w:val="1397"/>
        </w:trPr>
        <w:tc>
          <w:tcPr>
            <w:tcW w:w="1936" w:type="dxa"/>
            <w:vMerge/>
            <w:shd w:val="clear" w:color="auto" w:fill="B8CCE4" w:themeFill="accent1" w:themeFillTint="66"/>
            <w:vAlign w:val="center"/>
          </w:tcPr>
          <w:p w:rsidR="007F2786" w:rsidRPr="001A3DF5" w:rsidRDefault="007F2786" w:rsidP="00307641">
            <w:pP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572" w:type="dxa"/>
            <w:vMerge/>
            <w:shd w:val="clear" w:color="auto" w:fill="DBE5F1" w:themeFill="accent1" w:themeFillTint="33"/>
            <w:vAlign w:val="center"/>
          </w:tcPr>
          <w:p w:rsidR="007F2786" w:rsidRPr="001A3DF5" w:rsidRDefault="007F2786" w:rsidP="00307641">
            <w:pPr>
              <w:rPr>
                <w:rFonts w:asciiTheme="majorHAnsi" w:hAnsiTheme="majorHAnsi"/>
                <w:b/>
                <w:bCs/>
              </w:rPr>
            </w:pPr>
          </w:p>
        </w:tc>
        <w:tc>
          <w:tcPr>
            <w:tcW w:w="2126" w:type="dxa"/>
            <w:shd w:val="clear" w:color="auto" w:fill="auto"/>
            <w:vAlign w:val="center"/>
          </w:tcPr>
          <w:p w:rsidR="007F2786" w:rsidRPr="001A3DF5" w:rsidRDefault="007F2786" w:rsidP="00307641">
            <w:pPr>
              <w:jc w:val="center"/>
              <w:rPr>
                <w:rFonts w:asciiTheme="majorHAnsi" w:hAnsiTheme="majorHAnsi"/>
              </w:rPr>
            </w:pPr>
            <w:r w:rsidRPr="001A3DF5">
              <w:rPr>
                <w:rFonts w:asciiTheme="majorHAnsi" w:hAnsiTheme="majorHAnsi"/>
              </w:rPr>
              <w:t>Q3 2017</w:t>
            </w:r>
          </w:p>
        </w:tc>
        <w:tc>
          <w:tcPr>
            <w:tcW w:w="2127" w:type="dxa"/>
            <w:vMerge/>
            <w:vAlign w:val="center"/>
          </w:tcPr>
          <w:p w:rsidR="007F2786" w:rsidRPr="001A3DF5" w:rsidRDefault="007F2786" w:rsidP="00307641">
            <w:pPr>
              <w:jc w:val="center"/>
              <w:rPr>
                <w:rFonts w:asciiTheme="majorHAnsi" w:hAnsiTheme="majorHAnsi"/>
              </w:rPr>
            </w:pPr>
          </w:p>
        </w:tc>
      </w:tr>
      <w:tr w:rsidR="007F2786" w:rsidRPr="001A3DF5" w:rsidTr="00307641">
        <w:trPr>
          <w:trHeight w:val="588"/>
        </w:trPr>
        <w:tc>
          <w:tcPr>
            <w:tcW w:w="1936" w:type="dxa"/>
            <w:vMerge/>
            <w:shd w:val="clear" w:color="auto" w:fill="B8CCE4" w:themeFill="accent1"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restart"/>
            <w:vAlign w:val="center"/>
          </w:tcPr>
          <w:p w:rsidR="007F2786" w:rsidRPr="001A3DF5" w:rsidRDefault="007F2786" w:rsidP="00307641">
            <w:pPr>
              <w:rPr>
                <w:rFonts w:asciiTheme="majorHAnsi" w:hAnsiTheme="majorHAnsi"/>
              </w:rPr>
            </w:pPr>
            <w:r w:rsidRPr="001A3DF5">
              <w:rPr>
                <w:rFonts w:asciiTheme="majorHAnsi" w:hAnsiTheme="majorHAnsi"/>
              </w:rPr>
              <w:t>Individual Agency Contributions</w:t>
            </w:r>
          </w:p>
        </w:tc>
        <w:tc>
          <w:tcPr>
            <w:tcW w:w="4572" w:type="dxa"/>
            <w:vMerge w:val="restart"/>
            <w:shd w:val="clear" w:color="auto" w:fill="DBE5F1" w:themeFill="accent1" w:themeFillTint="33"/>
            <w:vAlign w:val="center"/>
          </w:tcPr>
          <w:p w:rsidR="007F2786" w:rsidRPr="001A3DF5" w:rsidRDefault="007F2786" w:rsidP="00307641">
            <w:pPr>
              <w:rPr>
                <w:rFonts w:asciiTheme="majorHAnsi" w:hAnsiTheme="majorHAnsi"/>
                <w:b/>
                <w:bCs/>
              </w:rPr>
            </w:pPr>
            <w:r w:rsidRPr="001A3DF5">
              <w:rPr>
                <w:rFonts w:asciiTheme="majorHAnsi" w:hAnsiTheme="majorHAnsi"/>
                <w:b/>
                <w:bCs/>
              </w:rPr>
              <w:t>Country Team Support</w:t>
            </w:r>
          </w:p>
          <w:p w:rsidR="007F2786" w:rsidRPr="001A3DF5" w:rsidRDefault="007F2786" w:rsidP="00307641">
            <w:pPr>
              <w:rPr>
                <w:rFonts w:asciiTheme="majorHAnsi" w:hAnsiTheme="majorHAnsi"/>
                <w:b/>
                <w:bCs/>
              </w:rPr>
            </w:pPr>
            <w:r w:rsidRPr="001A3DF5">
              <w:rPr>
                <w:rFonts w:asciiTheme="majorHAnsi" w:hAnsiTheme="majorHAnsi"/>
                <w:bCs/>
              </w:rPr>
              <w:t>(Sudan, Mali, etc)</w:t>
            </w:r>
          </w:p>
        </w:tc>
        <w:tc>
          <w:tcPr>
            <w:tcW w:w="2126" w:type="dxa"/>
            <w:shd w:val="clear" w:color="auto" w:fill="00B050"/>
            <w:vAlign w:val="center"/>
          </w:tcPr>
          <w:p w:rsidR="007F2786" w:rsidRPr="001A3DF5" w:rsidRDefault="007F2786" w:rsidP="0030290D">
            <w:pPr>
              <w:jc w:val="center"/>
              <w:rPr>
                <w:rFonts w:asciiTheme="majorHAnsi" w:hAnsiTheme="majorHAnsi"/>
              </w:rPr>
            </w:pPr>
            <w:r w:rsidRPr="001A3DF5">
              <w:rPr>
                <w:rFonts w:asciiTheme="majorHAnsi" w:hAnsiTheme="majorHAnsi"/>
              </w:rPr>
              <w:t xml:space="preserve">Sudan report: </w:t>
            </w:r>
            <w:r w:rsidR="0030290D" w:rsidRPr="001A3DF5">
              <w:rPr>
                <w:rFonts w:asciiTheme="majorHAnsi" w:hAnsiTheme="majorHAnsi"/>
              </w:rPr>
              <w:t>11.05.2017</w:t>
            </w:r>
          </w:p>
        </w:tc>
        <w:tc>
          <w:tcPr>
            <w:tcW w:w="2127" w:type="dxa"/>
            <w:vMerge w:val="restart"/>
            <w:vAlign w:val="center"/>
          </w:tcPr>
          <w:p w:rsidR="007F2786" w:rsidRPr="001A3DF5" w:rsidRDefault="007F2786" w:rsidP="00307641">
            <w:pPr>
              <w:jc w:val="center"/>
              <w:rPr>
                <w:rFonts w:asciiTheme="majorHAnsi" w:hAnsiTheme="majorHAnsi"/>
              </w:rPr>
            </w:pPr>
            <w:r w:rsidRPr="001A3DF5">
              <w:rPr>
                <w:rFonts w:asciiTheme="majorHAnsi" w:hAnsiTheme="majorHAnsi"/>
              </w:rPr>
              <w:t>Sustaining Peace/Sustainable Development Results Group</w:t>
            </w:r>
          </w:p>
          <w:p w:rsidR="007F2786" w:rsidRPr="001A3DF5" w:rsidRDefault="007F2786" w:rsidP="00307641">
            <w:pPr>
              <w:jc w:val="center"/>
              <w:rPr>
                <w:rFonts w:asciiTheme="majorHAnsi" w:hAnsiTheme="majorHAnsi"/>
              </w:rPr>
            </w:pPr>
          </w:p>
          <w:p w:rsidR="007F2786" w:rsidRPr="001A3DF5" w:rsidRDefault="007F2786" w:rsidP="00307641">
            <w:pPr>
              <w:jc w:val="center"/>
              <w:rPr>
                <w:rFonts w:asciiTheme="majorHAnsi" w:hAnsiTheme="majorHAnsi"/>
              </w:rPr>
            </w:pPr>
            <w:r w:rsidRPr="001A3DF5">
              <w:rPr>
                <w:rFonts w:asciiTheme="majorHAnsi" w:hAnsiTheme="majorHAnsi"/>
              </w:rPr>
              <w:t xml:space="preserve">Peer2peer SG </w:t>
            </w:r>
          </w:p>
          <w:p w:rsidR="007F2786" w:rsidRPr="001A3DF5" w:rsidRDefault="007F2786" w:rsidP="00307641">
            <w:pPr>
              <w:jc w:val="center"/>
              <w:rPr>
                <w:rFonts w:asciiTheme="majorHAnsi" w:hAnsiTheme="majorHAnsi"/>
              </w:rPr>
            </w:pPr>
          </w:p>
          <w:p w:rsidR="007F2786" w:rsidRPr="001A3DF5" w:rsidRDefault="007F2786" w:rsidP="00307641">
            <w:pPr>
              <w:jc w:val="center"/>
              <w:rPr>
                <w:rFonts w:asciiTheme="majorHAnsi" w:hAnsiTheme="majorHAnsi"/>
              </w:rPr>
            </w:pPr>
            <w:r w:rsidRPr="001A3DF5">
              <w:rPr>
                <w:rFonts w:asciiTheme="majorHAnsi" w:hAnsiTheme="majorHAnsi"/>
              </w:rPr>
              <w:t>Global Cluster Coordinators Group</w:t>
            </w:r>
          </w:p>
          <w:p w:rsidR="007F2786" w:rsidRPr="001A3DF5" w:rsidRDefault="007F2786" w:rsidP="00307641">
            <w:pPr>
              <w:jc w:val="center"/>
              <w:rPr>
                <w:rFonts w:asciiTheme="majorHAnsi" w:hAnsiTheme="majorHAnsi"/>
              </w:rPr>
            </w:pPr>
          </w:p>
        </w:tc>
      </w:tr>
      <w:tr w:rsidR="007F2786" w:rsidRPr="001A3DF5" w:rsidTr="00307641">
        <w:trPr>
          <w:trHeight w:val="2128"/>
        </w:trPr>
        <w:tc>
          <w:tcPr>
            <w:tcW w:w="1936" w:type="dxa"/>
            <w:vMerge/>
            <w:shd w:val="clear" w:color="auto" w:fill="B8CCE4" w:themeFill="accent1" w:themeFillTint="66"/>
            <w:vAlign w:val="center"/>
          </w:tcPr>
          <w:p w:rsidR="007F2786" w:rsidRPr="001A3DF5" w:rsidRDefault="007F2786" w:rsidP="00307641">
            <w:pPr>
              <w:jc w:val="center"/>
              <w:rPr>
                <w:rFonts w:asciiTheme="majorHAnsi" w:hAnsiTheme="majorHAnsi"/>
              </w:rPr>
            </w:pPr>
          </w:p>
        </w:tc>
        <w:tc>
          <w:tcPr>
            <w:tcW w:w="7953" w:type="dxa"/>
            <w:vMerge/>
            <w:shd w:val="clear" w:color="auto" w:fill="auto"/>
            <w:vAlign w:val="center"/>
          </w:tcPr>
          <w:p w:rsidR="007F2786" w:rsidRPr="001A3DF5" w:rsidRDefault="007F2786" w:rsidP="00307641">
            <w:pPr>
              <w:rPr>
                <w:rFonts w:asciiTheme="majorHAnsi" w:hAnsiTheme="majorHAnsi"/>
              </w:rPr>
            </w:pPr>
          </w:p>
        </w:tc>
        <w:tc>
          <w:tcPr>
            <w:tcW w:w="2232" w:type="dxa"/>
            <w:vMerge/>
            <w:vAlign w:val="center"/>
          </w:tcPr>
          <w:p w:rsidR="007F2786" w:rsidRPr="001A3DF5" w:rsidRDefault="007F2786" w:rsidP="00307641">
            <w:pPr>
              <w:rPr>
                <w:rFonts w:asciiTheme="majorHAnsi" w:hAnsiTheme="majorHAnsi"/>
              </w:rPr>
            </w:pPr>
          </w:p>
        </w:tc>
        <w:tc>
          <w:tcPr>
            <w:tcW w:w="4572" w:type="dxa"/>
            <w:vMerge/>
            <w:shd w:val="clear" w:color="auto" w:fill="DBE5F1" w:themeFill="accent1" w:themeFillTint="33"/>
            <w:vAlign w:val="center"/>
          </w:tcPr>
          <w:p w:rsidR="007F2786" w:rsidRPr="001A3DF5" w:rsidRDefault="007F2786" w:rsidP="00307641">
            <w:pPr>
              <w:rPr>
                <w:rFonts w:asciiTheme="majorHAnsi" w:hAnsiTheme="majorHAnsi"/>
                <w:b/>
                <w:bCs/>
              </w:rPr>
            </w:pPr>
          </w:p>
        </w:tc>
        <w:tc>
          <w:tcPr>
            <w:tcW w:w="2126" w:type="dxa"/>
            <w:shd w:val="clear" w:color="auto" w:fill="auto"/>
            <w:vAlign w:val="center"/>
          </w:tcPr>
          <w:p w:rsidR="007F2786" w:rsidRPr="001A3DF5" w:rsidRDefault="007F2786" w:rsidP="00307641">
            <w:pPr>
              <w:jc w:val="center"/>
              <w:rPr>
                <w:rFonts w:asciiTheme="majorHAnsi" w:hAnsiTheme="majorHAnsi"/>
              </w:rPr>
            </w:pPr>
            <w:r w:rsidRPr="001A3DF5">
              <w:rPr>
                <w:rFonts w:asciiTheme="majorHAnsi" w:hAnsiTheme="majorHAnsi"/>
              </w:rPr>
              <w:t>Q2 2017 – Q4 2018</w:t>
            </w:r>
          </w:p>
        </w:tc>
        <w:tc>
          <w:tcPr>
            <w:tcW w:w="2127" w:type="dxa"/>
            <w:vMerge/>
            <w:vAlign w:val="center"/>
          </w:tcPr>
          <w:p w:rsidR="007F2786" w:rsidRPr="001A3DF5" w:rsidRDefault="007F2786" w:rsidP="00307641">
            <w:pPr>
              <w:jc w:val="center"/>
              <w:rPr>
                <w:rFonts w:asciiTheme="majorHAnsi" w:hAnsiTheme="majorHAnsi"/>
              </w:rPr>
            </w:pPr>
          </w:p>
        </w:tc>
      </w:tr>
    </w:tbl>
    <w:p w:rsidR="003531AA" w:rsidRPr="001A3DF5" w:rsidRDefault="003531AA" w:rsidP="00C3776E">
      <w:pPr>
        <w:rPr>
          <w:rFonts w:asciiTheme="majorHAnsi" w:hAnsiTheme="majorHAnsi"/>
        </w:rPr>
      </w:pPr>
    </w:p>
    <w:sectPr w:rsidR="003531AA" w:rsidRPr="001A3DF5" w:rsidSect="001A3DFD">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41" w:rsidRDefault="00A83841" w:rsidP="004D3441">
      <w:pPr>
        <w:spacing w:after="0" w:line="240" w:lineRule="auto"/>
      </w:pPr>
      <w:r>
        <w:separator/>
      </w:r>
    </w:p>
  </w:endnote>
  <w:endnote w:type="continuationSeparator" w:id="0">
    <w:p w:rsidR="00A83841" w:rsidRDefault="00A83841" w:rsidP="004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41" w:rsidRDefault="00A83841" w:rsidP="004D3441">
      <w:pPr>
        <w:spacing w:after="0" w:line="240" w:lineRule="auto"/>
      </w:pPr>
      <w:r>
        <w:separator/>
      </w:r>
    </w:p>
  </w:footnote>
  <w:footnote w:type="continuationSeparator" w:id="0">
    <w:p w:rsidR="00A83841" w:rsidRDefault="00A83841" w:rsidP="004D3441">
      <w:pPr>
        <w:spacing w:after="0" w:line="240" w:lineRule="auto"/>
      </w:pPr>
      <w:r>
        <w:continuationSeparator/>
      </w:r>
    </w:p>
  </w:footnote>
  <w:footnote w:id="1">
    <w:p w:rsidR="00FA18C3" w:rsidRDefault="00FA18C3">
      <w:pPr>
        <w:pStyle w:val="FootnoteText"/>
      </w:pPr>
      <w:r>
        <w:rPr>
          <w:rStyle w:val="FootnoteReference"/>
        </w:rPr>
        <w:footnoteRef/>
      </w:r>
      <w:r>
        <w:t xml:space="preserve"> Where applicable references have been made to WGT and other fora where the HDN TT’s work can be taken forward, for a full picture of other relevant and concurrent workstreams within the IASC- refer to draft “overview of workplans of IASC and other Subsidiary Bodies Relevant to Strengthening the Humanitarian Development Nexus: Q3 2016 – Q42017.</w:t>
      </w:r>
    </w:p>
    <w:p w:rsidR="00701D02" w:rsidRDefault="00701D02" w:rsidP="00701D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4B" w:rsidRPr="00106A4B" w:rsidRDefault="00A6599C" w:rsidP="00EE3EB2">
    <w:pPr>
      <w:pStyle w:val="Header"/>
      <w:rPr>
        <w:color w:val="FF0000"/>
      </w:rPr>
    </w:pPr>
    <w:r>
      <w:rPr>
        <w:rFonts w:asciiTheme="majorHAnsi" w:hAnsiTheme="majorHAnsi"/>
        <w:sz w:val="40"/>
        <w:szCs w:val="40"/>
      </w:rPr>
      <w:t xml:space="preserve">2017-2018 workplan </w:t>
    </w:r>
    <w:r w:rsidRPr="00106A4B">
      <w:rPr>
        <w:color w:val="FF0000"/>
      </w:rPr>
      <w:t xml:space="preserve">Last Updated: </w:t>
    </w:r>
    <w:r>
      <w:rPr>
        <w:color w:val="FF0000"/>
      </w:rPr>
      <w:t>2</w:t>
    </w:r>
    <w:r w:rsidR="00EE3EB2">
      <w:rPr>
        <w:color w:val="FF0000"/>
      </w:rPr>
      <w:t>7</w:t>
    </w:r>
    <w:r>
      <w:rPr>
        <w:color w:val="FF0000"/>
      </w:rPr>
      <w:t>.06.2017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5B1D"/>
    <w:multiLevelType w:val="hybridMultilevel"/>
    <w:tmpl w:val="5CAEF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46D9F"/>
    <w:multiLevelType w:val="hybridMultilevel"/>
    <w:tmpl w:val="55308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89D"/>
    <w:multiLevelType w:val="hybridMultilevel"/>
    <w:tmpl w:val="7DF4968A"/>
    <w:lvl w:ilvl="0" w:tplc="7F4AD19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FD"/>
    <w:rsid w:val="00025B2F"/>
    <w:rsid w:val="00080939"/>
    <w:rsid w:val="000C022B"/>
    <w:rsid w:val="000C3DB3"/>
    <w:rsid w:val="000C4D17"/>
    <w:rsid w:val="000E63E8"/>
    <w:rsid w:val="00106A4B"/>
    <w:rsid w:val="00110F6B"/>
    <w:rsid w:val="00117269"/>
    <w:rsid w:val="00125CB8"/>
    <w:rsid w:val="001A3DF5"/>
    <w:rsid w:val="001A3DFD"/>
    <w:rsid w:val="001E160F"/>
    <w:rsid w:val="001F6B84"/>
    <w:rsid w:val="00250FBB"/>
    <w:rsid w:val="00261EE7"/>
    <w:rsid w:val="00265132"/>
    <w:rsid w:val="0027614C"/>
    <w:rsid w:val="0029044C"/>
    <w:rsid w:val="002A1154"/>
    <w:rsid w:val="002F2FEB"/>
    <w:rsid w:val="0030290D"/>
    <w:rsid w:val="00307641"/>
    <w:rsid w:val="003308FC"/>
    <w:rsid w:val="00345B91"/>
    <w:rsid w:val="003531AA"/>
    <w:rsid w:val="003D43A1"/>
    <w:rsid w:val="003D4958"/>
    <w:rsid w:val="003E1880"/>
    <w:rsid w:val="004615C5"/>
    <w:rsid w:val="004742FB"/>
    <w:rsid w:val="00492B5B"/>
    <w:rsid w:val="004D3441"/>
    <w:rsid w:val="004D446C"/>
    <w:rsid w:val="00517486"/>
    <w:rsid w:val="005B2104"/>
    <w:rsid w:val="005C71F9"/>
    <w:rsid w:val="005C7CB8"/>
    <w:rsid w:val="00626999"/>
    <w:rsid w:val="006959A8"/>
    <w:rsid w:val="006A1A96"/>
    <w:rsid w:val="006A742E"/>
    <w:rsid w:val="00701D02"/>
    <w:rsid w:val="007B104F"/>
    <w:rsid w:val="007F2786"/>
    <w:rsid w:val="008771A8"/>
    <w:rsid w:val="00890B75"/>
    <w:rsid w:val="008954E3"/>
    <w:rsid w:val="00A32CCB"/>
    <w:rsid w:val="00A57911"/>
    <w:rsid w:val="00A600B0"/>
    <w:rsid w:val="00A6599C"/>
    <w:rsid w:val="00A702DD"/>
    <w:rsid w:val="00A83841"/>
    <w:rsid w:val="00A86309"/>
    <w:rsid w:val="00A940A1"/>
    <w:rsid w:val="00AB1271"/>
    <w:rsid w:val="00B514B7"/>
    <w:rsid w:val="00B64811"/>
    <w:rsid w:val="00B85983"/>
    <w:rsid w:val="00BD36B0"/>
    <w:rsid w:val="00C3776E"/>
    <w:rsid w:val="00C730FB"/>
    <w:rsid w:val="00CA7CE1"/>
    <w:rsid w:val="00CB089F"/>
    <w:rsid w:val="00CC0E6A"/>
    <w:rsid w:val="00CF4C8D"/>
    <w:rsid w:val="00D02439"/>
    <w:rsid w:val="00DB4393"/>
    <w:rsid w:val="00E70EBF"/>
    <w:rsid w:val="00E8631F"/>
    <w:rsid w:val="00E91DFB"/>
    <w:rsid w:val="00ED05B4"/>
    <w:rsid w:val="00EE3B77"/>
    <w:rsid w:val="00EE3EB2"/>
    <w:rsid w:val="00F00436"/>
    <w:rsid w:val="00F135C2"/>
    <w:rsid w:val="00F5137A"/>
    <w:rsid w:val="00F653E0"/>
    <w:rsid w:val="00FA18C3"/>
    <w:rsid w:val="00FC7A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33F5B-0909-4581-80AF-509BD2D9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DFD"/>
    <w:rPr>
      <w:sz w:val="16"/>
      <w:szCs w:val="16"/>
    </w:rPr>
  </w:style>
  <w:style w:type="paragraph" w:styleId="CommentText">
    <w:name w:val="annotation text"/>
    <w:basedOn w:val="Normal"/>
    <w:link w:val="CommentTextChar"/>
    <w:uiPriority w:val="99"/>
    <w:semiHidden/>
    <w:unhideWhenUsed/>
    <w:rsid w:val="001A3DFD"/>
    <w:pPr>
      <w:spacing w:line="240" w:lineRule="auto"/>
    </w:pPr>
    <w:rPr>
      <w:sz w:val="20"/>
      <w:szCs w:val="20"/>
    </w:rPr>
  </w:style>
  <w:style w:type="character" w:customStyle="1" w:styleId="CommentTextChar">
    <w:name w:val="Comment Text Char"/>
    <w:basedOn w:val="DefaultParagraphFont"/>
    <w:link w:val="CommentText"/>
    <w:uiPriority w:val="99"/>
    <w:semiHidden/>
    <w:rsid w:val="001A3DFD"/>
    <w:rPr>
      <w:sz w:val="20"/>
      <w:szCs w:val="20"/>
    </w:rPr>
  </w:style>
  <w:style w:type="paragraph" w:styleId="BalloonText">
    <w:name w:val="Balloon Text"/>
    <w:basedOn w:val="Normal"/>
    <w:link w:val="BalloonTextChar"/>
    <w:uiPriority w:val="99"/>
    <w:semiHidden/>
    <w:unhideWhenUsed/>
    <w:rsid w:val="001A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FD"/>
    <w:rPr>
      <w:rFonts w:ascii="Tahoma" w:hAnsi="Tahoma" w:cs="Tahoma"/>
      <w:sz w:val="16"/>
      <w:szCs w:val="16"/>
    </w:rPr>
  </w:style>
  <w:style w:type="paragraph" w:styleId="ListParagraph">
    <w:name w:val="List Paragraph"/>
    <w:basedOn w:val="Normal"/>
    <w:uiPriority w:val="34"/>
    <w:qFormat/>
    <w:rsid w:val="001A3DFD"/>
    <w:pPr>
      <w:ind w:left="720"/>
      <w:contextualSpacing/>
    </w:pPr>
  </w:style>
  <w:style w:type="paragraph" w:styleId="FootnoteText">
    <w:name w:val="footnote text"/>
    <w:basedOn w:val="Normal"/>
    <w:link w:val="FootnoteTextChar"/>
    <w:uiPriority w:val="99"/>
    <w:semiHidden/>
    <w:unhideWhenUsed/>
    <w:rsid w:val="004D3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441"/>
    <w:rPr>
      <w:sz w:val="20"/>
      <w:szCs w:val="20"/>
    </w:rPr>
  </w:style>
  <w:style w:type="character" w:styleId="FootnoteReference">
    <w:name w:val="footnote reference"/>
    <w:basedOn w:val="DefaultParagraphFont"/>
    <w:uiPriority w:val="99"/>
    <w:semiHidden/>
    <w:unhideWhenUsed/>
    <w:rsid w:val="004D3441"/>
    <w:rPr>
      <w:vertAlign w:val="superscript"/>
    </w:rPr>
  </w:style>
  <w:style w:type="paragraph" w:styleId="Header">
    <w:name w:val="header"/>
    <w:basedOn w:val="Normal"/>
    <w:link w:val="HeaderChar"/>
    <w:uiPriority w:val="99"/>
    <w:unhideWhenUsed/>
    <w:rsid w:val="0010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4B"/>
  </w:style>
  <w:style w:type="paragraph" w:styleId="Footer">
    <w:name w:val="footer"/>
    <w:basedOn w:val="Normal"/>
    <w:link w:val="FooterChar"/>
    <w:uiPriority w:val="99"/>
    <w:unhideWhenUsed/>
    <w:rsid w:val="0010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4B"/>
  </w:style>
  <w:style w:type="paragraph" w:styleId="NoSpacing">
    <w:name w:val="No Spacing"/>
    <w:uiPriority w:val="1"/>
    <w:qFormat/>
    <w:rsid w:val="00A65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0103-9DA5-417A-8B0F-C39D7E55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2</cp:revision>
  <cp:lastPrinted>2016-09-30T14:07:00Z</cp:lastPrinted>
  <dcterms:created xsi:type="dcterms:W3CDTF">2017-06-28T10:47:00Z</dcterms:created>
  <dcterms:modified xsi:type="dcterms:W3CDTF">2017-06-28T10:47:00Z</dcterms:modified>
</cp:coreProperties>
</file>