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1848" w14:textId="77777777"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IASC Task Team on The Humanitarian Development Nexus (HDN</w:t>
      </w:r>
      <w:r w:rsidR="002E739A" w:rsidRPr="00353CAD">
        <w:rPr>
          <w:rFonts w:asciiTheme="majorHAnsi" w:hAnsiTheme="majorHAnsi" w:cs="Arial"/>
          <w:bCs/>
          <w:smallCaps/>
          <w:sz w:val="24"/>
          <w:szCs w:val="24"/>
        </w:rPr>
        <w:t xml:space="preserve"> TT</w:t>
      </w:r>
      <w:r w:rsidRPr="00353CAD">
        <w:rPr>
          <w:rFonts w:asciiTheme="majorHAnsi" w:hAnsiTheme="majorHAnsi" w:cs="Arial"/>
          <w:bCs/>
          <w:smallCaps/>
          <w:sz w:val="24"/>
          <w:szCs w:val="24"/>
        </w:rPr>
        <w:t>)</w:t>
      </w:r>
    </w:p>
    <w:p w14:paraId="3C9E5494" w14:textId="77777777" w:rsidR="002E739A" w:rsidRPr="00353CAD" w:rsidRDefault="002E739A" w:rsidP="002E739A">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with a focus on protracted emergencies</w:t>
      </w:r>
    </w:p>
    <w:p w14:paraId="211F841D" w14:textId="77777777"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before="240" w:after="120"/>
        <w:ind w:right="-59"/>
        <w:jc w:val="center"/>
        <w:rPr>
          <w:rFonts w:asciiTheme="majorHAnsi" w:hAnsiTheme="majorHAnsi" w:cs="Arial"/>
          <w:b/>
          <w:bCs/>
          <w:color w:val="1F497D" w:themeColor="text2"/>
          <w:sz w:val="36"/>
          <w:szCs w:val="36"/>
        </w:rPr>
      </w:pPr>
      <w:r w:rsidRPr="00353CAD">
        <w:rPr>
          <w:rFonts w:asciiTheme="majorHAnsi" w:hAnsiTheme="majorHAnsi" w:cs="Arial"/>
          <w:b/>
          <w:bCs/>
          <w:color w:val="1F497D" w:themeColor="text2"/>
          <w:sz w:val="36"/>
          <w:szCs w:val="36"/>
        </w:rPr>
        <w:t>Summary Record and Action Points</w:t>
      </w:r>
    </w:p>
    <w:p w14:paraId="511C17EA" w14:textId="77777777" w:rsidR="00EE4434" w:rsidRPr="00353CAD" w:rsidRDefault="00F63C0D" w:rsidP="00F63C0D">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Pr>
          <w:rFonts w:asciiTheme="majorHAnsi" w:hAnsiTheme="majorHAnsi" w:cs="Arial"/>
          <w:bCs/>
          <w:smallCaps/>
          <w:sz w:val="24"/>
          <w:szCs w:val="24"/>
        </w:rPr>
        <w:t>13</w:t>
      </w:r>
      <w:r w:rsidR="00B54DAB" w:rsidRPr="00B54DAB">
        <w:rPr>
          <w:rFonts w:asciiTheme="majorHAnsi" w:hAnsiTheme="majorHAnsi" w:cs="Arial"/>
          <w:bCs/>
          <w:smallCaps/>
          <w:sz w:val="24"/>
          <w:szCs w:val="24"/>
          <w:vertAlign w:val="superscript"/>
        </w:rPr>
        <w:t>th</w:t>
      </w:r>
      <w:r w:rsidR="00B54DAB">
        <w:rPr>
          <w:rFonts w:asciiTheme="majorHAnsi" w:hAnsiTheme="majorHAnsi" w:cs="Arial"/>
          <w:bCs/>
          <w:smallCaps/>
          <w:sz w:val="24"/>
          <w:szCs w:val="24"/>
        </w:rPr>
        <w:t xml:space="preserve"> </w:t>
      </w:r>
      <w:r w:rsidR="002118CD">
        <w:rPr>
          <w:rFonts w:asciiTheme="majorHAnsi" w:hAnsiTheme="majorHAnsi" w:cs="Arial"/>
          <w:bCs/>
          <w:smallCaps/>
          <w:sz w:val="24"/>
          <w:szCs w:val="24"/>
        </w:rPr>
        <w:t>October 201</w:t>
      </w:r>
      <w:r>
        <w:rPr>
          <w:rFonts w:asciiTheme="majorHAnsi" w:hAnsiTheme="majorHAnsi" w:cs="Arial"/>
          <w:bCs/>
          <w:smallCaps/>
          <w:sz w:val="24"/>
          <w:szCs w:val="24"/>
        </w:rPr>
        <w:t>7</w:t>
      </w:r>
      <w:r w:rsidR="00EA76C2">
        <w:rPr>
          <w:rFonts w:asciiTheme="majorHAnsi" w:hAnsiTheme="majorHAnsi" w:cs="Arial"/>
          <w:bCs/>
          <w:smallCaps/>
          <w:sz w:val="24"/>
          <w:szCs w:val="24"/>
        </w:rPr>
        <w:t xml:space="preserve">: </w:t>
      </w:r>
      <w:r w:rsidR="002118CD">
        <w:rPr>
          <w:rFonts w:asciiTheme="majorHAnsi" w:hAnsiTheme="majorHAnsi" w:cs="Arial"/>
          <w:bCs/>
          <w:smallCaps/>
          <w:sz w:val="24"/>
          <w:szCs w:val="24"/>
        </w:rPr>
        <w:t>15.30</w:t>
      </w:r>
      <w:r w:rsidR="00EA76C2">
        <w:rPr>
          <w:rFonts w:asciiTheme="majorHAnsi" w:hAnsiTheme="majorHAnsi" w:cs="Arial"/>
          <w:bCs/>
          <w:smallCaps/>
          <w:sz w:val="24"/>
          <w:szCs w:val="24"/>
        </w:rPr>
        <w:t xml:space="preserve"> – 17.30</w:t>
      </w:r>
    </w:p>
    <w:p w14:paraId="3DCE3B82" w14:textId="77777777" w:rsidR="00EE4434" w:rsidRPr="00353CAD" w:rsidRDefault="00EE4434" w:rsidP="00EA76C2">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eastAsia="Arial" w:hAnsiTheme="majorHAnsi" w:cs="Arial"/>
          <w:smallCaps/>
          <w:sz w:val="24"/>
          <w:szCs w:val="24"/>
        </w:rPr>
        <w:t>Venue:</w:t>
      </w:r>
      <w:r w:rsidR="00B54DAB">
        <w:rPr>
          <w:rFonts w:asciiTheme="majorHAnsi" w:eastAsia="Arial" w:hAnsiTheme="majorHAnsi" w:cs="Arial"/>
          <w:smallCaps/>
          <w:sz w:val="24"/>
          <w:szCs w:val="24"/>
        </w:rPr>
        <w:t xml:space="preserve"> </w:t>
      </w:r>
      <w:r w:rsidR="00EA76C2">
        <w:rPr>
          <w:rFonts w:asciiTheme="majorHAnsi" w:eastAsia="Arial" w:hAnsiTheme="majorHAnsi" w:cs="Arial"/>
          <w:smallCaps/>
          <w:sz w:val="24"/>
          <w:szCs w:val="24"/>
        </w:rPr>
        <w:t>Palais Des Nations, D-610</w:t>
      </w:r>
    </w:p>
    <w:p w14:paraId="2BCDB95A" w14:textId="77777777" w:rsidR="00B71FE9" w:rsidRPr="00353CAD" w:rsidRDefault="005320E6" w:rsidP="00EA76C2">
      <w:pPr>
        <w:jc w:val="both"/>
        <w:rPr>
          <w:rFonts w:asciiTheme="majorHAnsi" w:hAnsiTheme="majorHAnsi"/>
        </w:rPr>
      </w:pPr>
      <w:r w:rsidRPr="00353CAD">
        <w:rPr>
          <w:rFonts w:asciiTheme="majorHAnsi" w:hAnsiTheme="majorHAnsi"/>
          <w:b/>
          <w:bCs/>
          <w:u w:val="single"/>
        </w:rPr>
        <w:t>In Geneva</w:t>
      </w:r>
      <w:r w:rsidR="00004848" w:rsidRPr="00353CAD">
        <w:rPr>
          <w:rFonts w:asciiTheme="majorHAnsi" w:hAnsiTheme="majorHAnsi"/>
        </w:rPr>
        <w:t xml:space="preserve">: </w:t>
      </w:r>
      <w:r w:rsidR="002118CD">
        <w:rPr>
          <w:rFonts w:asciiTheme="majorHAnsi" w:hAnsiTheme="majorHAnsi"/>
        </w:rPr>
        <w:t>UNHCR,</w:t>
      </w:r>
      <w:r w:rsidR="00EA76C2">
        <w:rPr>
          <w:rFonts w:asciiTheme="majorHAnsi" w:hAnsiTheme="majorHAnsi"/>
        </w:rPr>
        <w:t xml:space="preserve"> WB, WHO, OCHA, UNICEF, IASC Sec</w:t>
      </w:r>
      <w:r w:rsidR="008F1EF8">
        <w:rPr>
          <w:rFonts w:asciiTheme="majorHAnsi" w:hAnsiTheme="majorHAnsi"/>
        </w:rPr>
        <w:t>, ICRC</w:t>
      </w:r>
      <w:r w:rsidR="00EA76C2">
        <w:rPr>
          <w:rFonts w:asciiTheme="majorHAnsi" w:hAnsiTheme="majorHAnsi"/>
        </w:rPr>
        <w:t>, IOM</w:t>
      </w:r>
    </w:p>
    <w:p w14:paraId="0E4C8458" w14:textId="77777777" w:rsidR="005320E6" w:rsidRPr="00353CAD" w:rsidRDefault="005320E6" w:rsidP="00EA76C2">
      <w:pPr>
        <w:jc w:val="both"/>
        <w:rPr>
          <w:rFonts w:asciiTheme="majorHAnsi" w:hAnsiTheme="majorHAnsi"/>
        </w:rPr>
      </w:pPr>
      <w:r w:rsidRPr="00353CAD">
        <w:rPr>
          <w:rFonts w:asciiTheme="majorHAnsi" w:hAnsiTheme="majorHAnsi"/>
          <w:b/>
          <w:bCs/>
          <w:u w:val="single"/>
        </w:rPr>
        <w:t>On the phone</w:t>
      </w:r>
      <w:r w:rsidRPr="00353CAD">
        <w:rPr>
          <w:rFonts w:asciiTheme="majorHAnsi" w:hAnsiTheme="majorHAnsi"/>
        </w:rPr>
        <w:t xml:space="preserve">: </w:t>
      </w:r>
      <w:r w:rsidR="00B54DAB">
        <w:rPr>
          <w:rFonts w:asciiTheme="majorHAnsi" w:hAnsiTheme="majorHAnsi"/>
        </w:rPr>
        <w:t>OCHA</w:t>
      </w:r>
      <w:r w:rsidR="002118CD">
        <w:rPr>
          <w:rFonts w:asciiTheme="majorHAnsi" w:hAnsiTheme="majorHAnsi"/>
        </w:rPr>
        <w:t xml:space="preserve">, </w:t>
      </w:r>
      <w:r w:rsidR="00EA76C2">
        <w:rPr>
          <w:rFonts w:asciiTheme="majorHAnsi" w:hAnsiTheme="majorHAnsi"/>
        </w:rPr>
        <w:t xml:space="preserve">UNDP, </w:t>
      </w:r>
      <w:r w:rsidR="008F1EF8">
        <w:rPr>
          <w:rFonts w:asciiTheme="majorHAnsi" w:hAnsiTheme="majorHAnsi"/>
        </w:rPr>
        <w:t>ACF, NRC</w:t>
      </w:r>
    </w:p>
    <w:p w14:paraId="287DE4DC" w14:textId="77777777" w:rsidR="00551CD4" w:rsidRPr="00353CAD" w:rsidRDefault="00551CD4" w:rsidP="00DC1C6A">
      <w:pPr>
        <w:jc w:val="both"/>
        <w:rPr>
          <w:rFonts w:asciiTheme="majorHAnsi" w:hAnsiTheme="majorHAnsi"/>
        </w:rPr>
      </w:pPr>
      <w:r w:rsidRPr="00353CAD">
        <w:rPr>
          <w:rFonts w:asciiTheme="majorHAnsi" w:hAnsiTheme="majorHAnsi"/>
          <w:b/>
          <w:bCs/>
          <w:u w:val="single"/>
        </w:rPr>
        <w:t>Co-chairs</w:t>
      </w:r>
      <w:r w:rsidRPr="00353CAD">
        <w:rPr>
          <w:rFonts w:asciiTheme="majorHAnsi" w:hAnsiTheme="majorHAnsi"/>
          <w:b/>
          <w:bCs/>
        </w:rPr>
        <w:t>:</w:t>
      </w:r>
      <w:r w:rsidRPr="00353CAD">
        <w:rPr>
          <w:rFonts w:asciiTheme="majorHAnsi" w:hAnsiTheme="majorHAnsi"/>
        </w:rPr>
        <w:t xml:space="preserve"> UNDP and WHO</w:t>
      </w:r>
    </w:p>
    <w:p w14:paraId="00C18AF1" w14:textId="77777777" w:rsidR="005320E6" w:rsidRPr="00353CAD" w:rsidRDefault="005320E6" w:rsidP="00EA76C2">
      <w:pPr>
        <w:jc w:val="both"/>
        <w:rPr>
          <w:rFonts w:asciiTheme="majorHAnsi" w:hAnsiTheme="majorHAnsi"/>
        </w:rPr>
      </w:pPr>
      <w:r w:rsidRPr="00353CAD">
        <w:rPr>
          <w:rFonts w:asciiTheme="majorHAnsi" w:hAnsiTheme="majorHAnsi"/>
          <w:b/>
          <w:bCs/>
        </w:rPr>
        <w:t xml:space="preserve">Agenda Item 1: </w:t>
      </w:r>
      <w:r w:rsidR="00EA76C2">
        <w:rPr>
          <w:rFonts w:asciiTheme="majorHAnsi" w:hAnsiTheme="majorHAnsi"/>
          <w:b/>
          <w:bCs/>
        </w:rPr>
        <w:t>Final Consultation on the Statement of intent</w:t>
      </w:r>
      <w:r w:rsidR="00064197">
        <w:rPr>
          <w:rFonts w:asciiTheme="majorHAnsi" w:hAnsiTheme="majorHAnsi"/>
          <w:b/>
          <w:bCs/>
        </w:rPr>
        <w:t xml:space="preserve"> for IASC AS Hoc Working Group Meeting </w:t>
      </w:r>
    </w:p>
    <w:p w14:paraId="1BFBE9D0" w14:textId="4775DEE3" w:rsidR="00064197" w:rsidRDefault="002B6F7E" w:rsidP="00913A3F">
      <w:pPr>
        <w:jc w:val="both"/>
      </w:pPr>
      <w:r w:rsidRPr="00353CAD">
        <w:rPr>
          <w:rFonts w:asciiTheme="majorHAnsi" w:hAnsiTheme="majorHAnsi"/>
          <w:b/>
          <w:bCs/>
        </w:rPr>
        <w:t>Introduction</w:t>
      </w:r>
      <w:r w:rsidR="000D6773">
        <w:rPr>
          <w:rFonts w:asciiTheme="majorHAnsi" w:hAnsiTheme="majorHAnsi"/>
          <w:b/>
          <w:bCs/>
        </w:rPr>
        <w:t xml:space="preserve"> (Co-chairs</w:t>
      </w:r>
      <w:r w:rsidR="007937AB">
        <w:rPr>
          <w:rFonts w:asciiTheme="majorHAnsi" w:hAnsiTheme="majorHAnsi"/>
          <w:b/>
          <w:bCs/>
        </w:rPr>
        <w:t>, UNDP</w:t>
      </w:r>
      <w:r w:rsidRPr="00353CAD">
        <w:rPr>
          <w:rFonts w:asciiTheme="majorHAnsi" w:hAnsiTheme="majorHAnsi"/>
          <w:b/>
          <w:bCs/>
        </w:rPr>
        <w:t xml:space="preserve">): </w:t>
      </w:r>
      <w:r w:rsidR="00845DB6">
        <w:rPr>
          <w:rFonts w:asciiTheme="majorHAnsi" w:hAnsiTheme="majorHAnsi"/>
        </w:rPr>
        <w:t xml:space="preserve"> The Ad Hoc Working Group</w:t>
      </w:r>
      <w:r w:rsidR="00845DB6" w:rsidRPr="00845DB6">
        <w:rPr>
          <w:rFonts w:asciiTheme="majorHAnsi" w:hAnsiTheme="majorHAnsi"/>
        </w:rPr>
        <w:t xml:space="preserve"> was called for following the decision during the last Working Group meeting in Rome, in April, to hold a dedicated discussion on the New Way of Working (NWoW) and the challenges at field, HQ and capital levels as well as to provide the Task Team on the Humanitarian-Development Nexus with concrete guidance on their time-bound tasks.</w:t>
      </w:r>
      <w:r w:rsidR="00845DB6">
        <w:rPr>
          <w:rFonts w:asciiTheme="majorHAnsi" w:hAnsiTheme="majorHAnsi"/>
        </w:rPr>
        <w:t xml:space="preserve"> In preparation for that meeting, co-chair</w:t>
      </w:r>
      <w:r w:rsidR="00064197">
        <w:rPr>
          <w:rFonts w:asciiTheme="majorHAnsi" w:hAnsiTheme="majorHAnsi"/>
        </w:rPr>
        <w:t>s produced a statement of intent in consultation with TT members</w:t>
      </w:r>
      <w:r w:rsidR="00845DB6">
        <w:rPr>
          <w:rFonts w:asciiTheme="majorHAnsi" w:hAnsiTheme="majorHAnsi"/>
        </w:rPr>
        <w:t xml:space="preserve">, </w:t>
      </w:r>
      <w:r w:rsidR="00064197">
        <w:rPr>
          <w:rFonts w:asciiTheme="majorHAnsi" w:hAnsiTheme="majorHAnsi"/>
        </w:rPr>
        <w:t xml:space="preserve">for </w:t>
      </w:r>
      <w:r w:rsidR="00845DB6">
        <w:rPr>
          <w:rFonts w:asciiTheme="majorHAnsi" w:hAnsiTheme="majorHAnsi"/>
        </w:rPr>
        <w:t>adopt</w:t>
      </w:r>
      <w:r w:rsidR="00064197">
        <w:rPr>
          <w:rFonts w:asciiTheme="majorHAnsi" w:hAnsiTheme="majorHAnsi"/>
        </w:rPr>
        <w:t>ion</w:t>
      </w:r>
      <w:r w:rsidR="00845DB6">
        <w:rPr>
          <w:rFonts w:asciiTheme="majorHAnsi" w:hAnsiTheme="majorHAnsi"/>
        </w:rPr>
        <w:t xml:space="preserve"> in its </w:t>
      </w:r>
      <w:r w:rsidR="00064197">
        <w:rPr>
          <w:rFonts w:asciiTheme="majorHAnsi" w:hAnsiTheme="majorHAnsi"/>
        </w:rPr>
        <w:t xml:space="preserve">entirety </w:t>
      </w:r>
      <w:r w:rsidR="00845DB6">
        <w:rPr>
          <w:rFonts w:asciiTheme="majorHAnsi" w:hAnsiTheme="majorHAnsi"/>
        </w:rPr>
        <w:t xml:space="preserve">by the Working Group. In addition, to commending the TT for the valuable work it has performed so far, WG members provided some additional comments and steering for the TT. </w:t>
      </w:r>
      <w:r w:rsidR="00064197">
        <w:rPr>
          <w:rFonts w:asciiTheme="majorHAnsi" w:hAnsiTheme="majorHAnsi"/>
        </w:rPr>
        <w:t xml:space="preserve">Amendments were made accordingly reflecting the majority views expressed. To further validate the statement of intent, </w:t>
      </w:r>
      <w:r w:rsidR="00064197">
        <w:t xml:space="preserve">rather than adding another round of bilateral consultations and (very difficult) drafting round by co-chairs, </w:t>
      </w:r>
      <w:r w:rsidR="00064197">
        <w:rPr>
          <w:rFonts w:asciiTheme="majorHAnsi" w:hAnsiTheme="majorHAnsi"/>
        </w:rPr>
        <w:t xml:space="preserve">this meeting </w:t>
      </w:r>
      <w:r w:rsidR="00064197">
        <w:t xml:space="preserve">welcomes a discussion and </w:t>
      </w:r>
      <w:r w:rsidR="00AA3DF2">
        <w:t xml:space="preserve">possibility to amend </w:t>
      </w:r>
      <w:r w:rsidR="00064197">
        <w:t xml:space="preserve">further in light of any agreements and consensus the TT may reach, for submission to the Working Group. </w:t>
      </w:r>
    </w:p>
    <w:p w14:paraId="2A459520" w14:textId="4D6A0344" w:rsidR="00AD7490" w:rsidRPr="00A55593" w:rsidRDefault="00913A3F" w:rsidP="00913A3F">
      <w:pPr>
        <w:jc w:val="both"/>
        <w:rPr>
          <w:rFonts w:asciiTheme="majorHAnsi" w:hAnsiTheme="majorHAnsi"/>
        </w:rPr>
      </w:pPr>
      <w:r>
        <w:t xml:space="preserve">Members were requested to </w:t>
      </w:r>
      <w:r w:rsidR="00AA3DF2">
        <w:t>submit, by COB Monday 16 Oct any comments or caveats they would want to record. These would then be submitted together with the Statement of Intent. With several members supporting this motion and with no views to the contrary, either around the table or online, the decision was gavelled.</w:t>
      </w:r>
    </w:p>
    <w:p w14:paraId="4A76B352" w14:textId="33B42970" w:rsidR="0086502B" w:rsidRDefault="00845DB6" w:rsidP="00845DB6">
      <w:pPr>
        <w:ind w:left="284"/>
        <w:jc w:val="both"/>
        <w:rPr>
          <w:rFonts w:asciiTheme="majorHAnsi" w:hAnsiTheme="majorHAnsi"/>
        </w:rPr>
      </w:pPr>
      <w:r>
        <w:rPr>
          <w:rFonts w:asciiTheme="majorHAnsi" w:hAnsiTheme="majorHAnsi"/>
          <w:b/>
          <w:bCs/>
        </w:rPr>
        <w:t>WHO</w:t>
      </w:r>
      <w:r w:rsidR="00876B34" w:rsidRPr="00353CAD">
        <w:rPr>
          <w:rFonts w:asciiTheme="majorHAnsi" w:hAnsiTheme="majorHAnsi"/>
          <w:b/>
          <w:bCs/>
        </w:rPr>
        <w:t>:</w:t>
      </w:r>
      <w:r>
        <w:rPr>
          <w:rFonts w:asciiTheme="majorHAnsi" w:hAnsiTheme="majorHAnsi"/>
          <w:b/>
          <w:bCs/>
        </w:rPr>
        <w:t xml:space="preserve"> </w:t>
      </w:r>
      <w:r>
        <w:rPr>
          <w:rFonts w:asciiTheme="majorHAnsi" w:hAnsiTheme="majorHAnsi"/>
        </w:rPr>
        <w:t>The co-chairs put</w:t>
      </w:r>
      <w:r w:rsidR="00876B34" w:rsidRPr="00353CAD">
        <w:rPr>
          <w:rFonts w:asciiTheme="majorHAnsi" w:hAnsiTheme="majorHAnsi"/>
          <w:b/>
          <w:bCs/>
        </w:rPr>
        <w:t xml:space="preserve"> </w:t>
      </w:r>
      <w:r>
        <w:rPr>
          <w:rFonts w:asciiTheme="majorHAnsi" w:hAnsiTheme="majorHAnsi"/>
        </w:rPr>
        <w:t xml:space="preserve">substantial efforts into pulling together </w:t>
      </w:r>
      <w:r w:rsidR="00AA3DF2">
        <w:rPr>
          <w:rFonts w:asciiTheme="majorHAnsi" w:hAnsiTheme="majorHAnsi"/>
        </w:rPr>
        <w:t xml:space="preserve">a </w:t>
      </w:r>
      <w:r>
        <w:rPr>
          <w:rFonts w:asciiTheme="majorHAnsi" w:hAnsiTheme="majorHAnsi"/>
        </w:rPr>
        <w:t xml:space="preserve">statement of intent </w:t>
      </w:r>
      <w:r w:rsidR="00AA3DF2">
        <w:rPr>
          <w:rFonts w:asciiTheme="majorHAnsi" w:hAnsiTheme="majorHAnsi"/>
        </w:rPr>
        <w:t xml:space="preserve">that represented a good line of best fit highlighting different views </w:t>
      </w:r>
      <w:r>
        <w:rPr>
          <w:rFonts w:asciiTheme="majorHAnsi" w:hAnsiTheme="majorHAnsi"/>
        </w:rPr>
        <w:t xml:space="preserve">before the Working Group meeting itself; . What we heard </w:t>
      </w:r>
      <w:r w:rsidR="00AA3DF2">
        <w:rPr>
          <w:rFonts w:asciiTheme="majorHAnsi" w:hAnsiTheme="majorHAnsi"/>
        </w:rPr>
        <w:t xml:space="preserve">from virtually all WG representatives </w:t>
      </w:r>
      <w:r>
        <w:rPr>
          <w:rFonts w:asciiTheme="majorHAnsi" w:hAnsiTheme="majorHAnsi"/>
        </w:rPr>
        <w:t xml:space="preserve">in the Ad Hoc </w:t>
      </w:r>
      <w:r w:rsidR="00AA3DF2">
        <w:rPr>
          <w:rFonts w:asciiTheme="majorHAnsi" w:hAnsiTheme="majorHAnsi"/>
        </w:rPr>
        <w:t xml:space="preserve">meeting </w:t>
      </w:r>
      <w:r>
        <w:rPr>
          <w:rFonts w:asciiTheme="majorHAnsi" w:hAnsiTheme="majorHAnsi"/>
        </w:rPr>
        <w:t>was a</w:t>
      </w:r>
      <w:r w:rsidR="00AA3DF2">
        <w:rPr>
          <w:rFonts w:asciiTheme="majorHAnsi" w:hAnsiTheme="majorHAnsi"/>
        </w:rPr>
        <w:t xml:space="preserve"> </w:t>
      </w:r>
      <w:r>
        <w:rPr>
          <w:rFonts w:asciiTheme="majorHAnsi" w:hAnsiTheme="majorHAnsi"/>
        </w:rPr>
        <w:t xml:space="preserve">large </w:t>
      </w:r>
      <w:r w:rsidR="00AA3DF2">
        <w:rPr>
          <w:rFonts w:asciiTheme="majorHAnsi" w:hAnsiTheme="majorHAnsi"/>
        </w:rPr>
        <w:t xml:space="preserve">support for </w:t>
      </w:r>
      <w:r>
        <w:rPr>
          <w:rFonts w:asciiTheme="majorHAnsi" w:hAnsiTheme="majorHAnsi"/>
        </w:rPr>
        <w:t xml:space="preserve">the elements </w:t>
      </w:r>
      <w:r w:rsidR="00AA3DF2">
        <w:rPr>
          <w:rFonts w:asciiTheme="majorHAnsi" w:hAnsiTheme="majorHAnsi"/>
        </w:rPr>
        <w:t xml:space="preserve">outlined </w:t>
      </w:r>
      <w:r>
        <w:rPr>
          <w:rFonts w:asciiTheme="majorHAnsi" w:hAnsiTheme="majorHAnsi"/>
        </w:rPr>
        <w:t xml:space="preserve">in the statement of intent, with only one </w:t>
      </w:r>
      <w:r w:rsidR="00AA3DF2">
        <w:rPr>
          <w:rFonts w:asciiTheme="majorHAnsi" w:hAnsiTheme="majorHAnsi"/>
        </w:rPr>
        <w:t>representative expressing non-alignment</w:t>
      </w:r>
      <w:bookmarkStart w:id="0" w:name="_GoBack"/>
      <w:bookmarkEnd w:id="0"/>
      <w:r>
        <w:rPr>
          <w:rFonts w:asciiTheme="majorHAnsi" w:hAnsiTheme="majorHAnsi"/>
        </w:rPr>
        <w:t xml:space="preserve">. Given this consensus, WHO proposes </w:t>
      </w:r>
      <w:r w:rsidR="00AA3DF2">
        <w:t>to close the document as it currently stands revised</w:t>
      </w:r>
      <w:r w:rsidR="00AA3DF2">
        <w:rPr>
          <w:rFonts w:asciiTheme="majorHAnsi" w:hAnsiTheme="majorHAnsi"/>
        </w:rPr>
        <w:t xml:space="preserve"> </w:t>
      </w:r>
      <w:r>
        <w:rPr>
          <w:rFonts w:asciiTheme="majorHAnsi" w:hAnsiTheme="majorHAnsi"/>
        </w:rPr>
        <w:t>not to keep the document open indefinitely? If there are still diverg</w:t>
      </w:r>
      <w:r w:rsidR="00AA3DF2">
        <w:rPr>
          <w:rFonts w:asciiTheme="majorHAnsi" w:hAnsiTheme="majorHAnsi"/>
        </w:rPr>
        <w:t>ing views</w:t>
      </w:r>
      <w:r>
        <w:rPr>
          <w:rFonts w:asciiTheme="majorHAnsi" w:hAnsiTheme="majorHAnsi"/>
        </w:rPr>
        <w:t xml:space="preserve">, </w:t>
      </w:r>
      <w:r w:rsidR="00AA3DF2">
        <w:rPr>
          <w:rFonts w:asciiTheme="majorHAnsi" w:hAnsiTheme="majorHAnsi"/>
        </w:rPr>
        <w:t xml:space="preserve">TT members can submit </w:t>
      </w:r>
      <w:r w:rsidR="00AA3DF2">
        <w:t>any comments or caveats they would want to record</w:t>
      </w:r>
      <w:r>
        <w:rPr>
          <w:rFonts w:asciiTheme="majorHAnsi" w:hAnsiTheme="majorHAnsi"/>
        </w:rPr>
        <w:t xml:space="preserve">. </w:t>
      </w:r>
    </w:p>
    <w:p w14:paraId="46CA25F2" w14:textId="77777777" w:rsidR="00845DB6" w:rsidRDefault="00845DB6" w:rsidP="00845DB6">
      <w:pPr>
        <w:ind w:left="284"/>
        <w:jc w:val="both"/>
        <w:rPr>
          <w:rFonts w:asciiTheme="majorHAnsi" w:hAnsiTheme="majorHAnsi"/>
        </w:rPr>
      </w:pPr>
      <w:r>
        <w:rPr>
          <w:rFonts w:asciiTheme="majorHAnsi" w:hAnsiTheme="majorHAnsi"/>
          <w:b/>
          <w:bCs/>
        </w:rPr>
        <w:t>WFP:</w:t>
      </w:r>
      <w:r>
        <w:rPr>
          <w:rFonts w:asciiTheme="majorHAnsi" w:hAnsiTheme="majorHAnsi"/>
        </w:rPr>
        <w:t xml:space="preserve"> Second the WHO’s proposal</w:t>
      </w:r>
      <w:r w:rsidR="008F1EF8">
        <w:rPr>
          <w:rFonts w:asciiTheme="majorHAnsi" w:hAnsiTheme="majorHAnsi"/>
        </w:rPr>
        <w:t xml:space="preserve">. </w:t>
      </w:r>
    </w:p>
    <w:p w14:paraId="541E8C48" w14:textId="0B2C5237" w:rsidR="008F1EF8" w:rsidRDefault="008F1EF8" w:rsidP="00845DB6">
      <w:pPr>
        <w:ind w:left="284"/>
        <w:jc w:val="both"/>
        <w:rPr>
          <w:rFonts w:asciiTheme="majorHAnsi" w:hAnsiTheme="majorHAnsi"/>
        </w:rPr>
      </w:pPr>
      <w:r>
        <w:rPr>
          <w:rFonts w:asciiTheme="majorHAnsi" w:hAnsiTheme="majorHAnsi"/>
          <w:b/>
          <w:bCs/>
        </w:rPr>
        <w:lastRenderedPageBreak/>
        <w:t>WB:</w:t>
      </w:r>
      <w:r>
        <w:rPr>
          <w:rFonts w:asciiTheme="majorHAnsi" w:hAnsiTheme="majorHAnsi"/>
        </w:rPr>
        <w:t xml:space="preserve"> </w:t>
      </w:r>
      <w:proofErr w:type="gramStart"/>
      <w:r>
        <w:rPr>
          <w:rFonts w:asciiTheme="majorHAnsi" w:hAnsiTheme="majorHAnsi"/>
        </w:rPr>
        <w:t>Also</w:t>
      </w:r>
      <w:proofErr w:type="gramEnd"/>
      <w:r>
        <w:rPr>
          <w:rFonts w:asciiTheme="majorHAnsi" w:hAnsiTheme="majorHAnsi"/>
        </w:rPr>
        <w:t xml:space="preserve"> second WHO’s proposal. There is a real opportunity to produce some things that are not simply the IASC. The joint plan of action with the UNDG is a great chance to do more than talk.</w:t>
      </w:r>
    </w:p>
    <w:p w14:paraId="32F8780E" w14:textId="3E5AC8DE" w:rsidR="00845DB6" w:rsidRPr="0086502B" w:rsidRDefault="008F1EF8" w:rsidP="002F1305">
      <w:pPr>
        <w:ind w:left="284"/>
        <w:jc w:val="both"/>
        <w:rPr>
          <w:rFonts w:asciiTheme="majorHAnsi" w:hAnsiTheme="majorHAnsi"/>
        </w:rPr>
      </w:pPr>
      <w:r>
        <w:rPr>
          <w:rFonts w:asciiTheme="majorHAnsi" w:hAnsiTheme="majorHAnsi"/>
          <w:b/>
          <w:bCs/>
        </w:rPr>
        <w:t>Co-</w:t>
      </w:r>
      <w:r w:rsidRPr="00DA0B24">
        <w:rPr>
          <w:rFonts w:asciiTheme="majorHAnsi" w:hAnsiTheme="majorHAnsi"/>
          <w:b/>
        </w:rPr>
        <w:t>chairs</w:t>
      </w:r>
      <w:r>
        <w:rPr>
          <w:rFonts w:asciiTheme="majorHAnsi" w:hAnsiTheme="majorHAnsi"/>
        </w:rPr>
        <w:t>:  he</w:t>
      </w:r>
      <w:r w:rsidR="002F1305">
        <w:rPr>
          <w:rFonts w:asciiTheme="majorHAnsi" w:hAnsiTheme="majorHAnsi"/>
        </w:rPr>
        <w:t>aring no more comments</w:t>
      </w:r>
      <w:r w:rsidR="00AA3DF2">
        <w:rPr>
          <w:rFonts w:asciiTheme="majorHAnsi" w:hAnsiTheme="majorHAnsi"/>
        </w:rPr>
        <w:t>, online or around the table</w:t>
      </w:r>
      <w:r w:rsidR="002F1305">
        <w:rPr>
          <w:rFonts w:asciiTheme="majorHAnsi" w:hAnsiTheme="majorHAnsi"/>
        </w:rPr>
        <w:t xml:space="preserve">, the co-chairs move to close the document as is. Those who wish to </w:t>
      </w:r>
      <w:r w:rsidR="00AA3DF2">
        <w:rPr>
          <w:rFonts w:asciiTheme="majorHAnsi" w:hAnsiTheme="majorHAnsi"/>
        </w:rPr>
        <w:t xml:space="preserve">submit </w:t>
      </w:r>
      <w:r w:rsidR="00AA3DF2">
        <w:t xml:space="preserve">any comments or caveats they would want to record, </w:t>
      </w:r>
      <w:r w:rsidR="002F1305">
        <w:rPr>
          <w:rFonts w:asciiTheme="majorHAnsi" w:hAnsiTheme="majorHAnsi"/>
        </w:rPr>
        <w:t>as proposed by WHO</w:t>
      </w:r>
      <w:r w:rsidR="00DA0B24">
        <w:rPr>
          <w:rFonts w:asciiTheme="majorHAnsi" w:hAnsiTheme="majorHAnsi"/>
        </w:rPr>
        <w:t>,</w:t>
      </w:r>
      <w:r w:rsidR="002F1305">
        <w:rPr>
          <w:rFonts w:asciiTheme="majorHAnsi" w:hAnsiTheme="majorHAnsi"/>
        </w:rPr>
        <w:t xml:space="preserve"> can do so in the next few days</w:t>
      </w:r>
      <w:r w:rsidR="00AA3DF2">
        <w:rPr>
          <w:rFonts w:asciiTheme="majorHAnsi" w:hAnsiTheme="majorHAnsi"/>
        </w:rPr>
        <w:t xml:space="preserve">, thereafter the statement of intent </w:t>
      </w:r>
      <w:r w:rsidR="00DA0B24">
        <w:rPr>
          <w:rFonts w:asciiTheme="majorHAnsi" w:hAnsiTheme="majorHAnsi"/>
        </w:rPr>
        <w:t>will be</w:t>
      </w:r>
      <w:r w:rsidR="00AA3DF2">
        <w:rPr>
          <w:rFonts w:asciiTheme="majorHAnsi" w:hAnsiTheme="majorHAnsi"/>
        </w:rPr>
        <w:t xml:space="preserve"> submitted along with </w:t>
      </w:r>
      <w:r w:rsidR="00DA0B24">
        <w:rPr>
          <w:rFonts w:asciiTheme="majorHAnsi" w:hAnsiTheme="majorHAnsi"/>
        </w:rPr>
        <w:t>potential</w:t>
      </w:r>
      <w:r w:rsidR="00AA3DF2">
        <w:rPr>
          <w:rFonts w:asciiTheme="majorHAnsi" w:hAnsiTheme="majorHAnsi"/>
        </w:rPr>
        <w:t xml:space="preserve"> </w:t>
      </w:r>
      <w:r w:rsidR="00DA0B24">
        <w:rPr>
          <w:rFonts w:asciiTheme="majorHAnsi" w:hAnsiTheme="majorHAnsi"/>
        </w:rPr>
        <w:t>recordings</w:t>
      </w:r>
      <w:r w:rsidR="002F1305">
        <w:rPr>
          <w:rFonts w:asciiTheme="majorHAnsi" w:hAnsiTheme="majorHAnsi"/>
        </w:rPr>
        <w:t>.</w:t>
      </w: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4F329D" w:rsidRPr="00353CAD" w14:paraId="511D4025" w14:textId="77777777" w:rsidTr="00AD7490">
        <w:trPr>
          <w:trHeight w:val="1125"/>
        </w:trPr>
        <w:tc>
          <w:tcPr>
            <w:tcW w:w="8958" w:type="dxa"/>
            <w:shd w:val="clear" w:color="auto" w:fill="DBE5F1" w:themeFill="accent1" w:themeFillTint="33"/>
          </w:tcPr>
          <w:p w14:paraId="01227905" w14:textId="77777777" w:rsidR="004F329D" w:rsidRPr="00353CAD" w:rsidRDefault="004F329D" w:rsidP="004F329D">
            <w:pPr>
              <w:jc w:val="both"/>
              <w:rPr>
                <w:rFonts w:asciiTheme="majorHAnsi" w:hAnsiTheme="majorHAnsi"/>
                <w:b/>
                <w:bCs/>
                <w:color w:val="FF0000"/>
              </w:rPr>
            </w:pPr>
          </w:p>
          <w:p w14:paraId="228976AE" w14:textId="77777777" w:rsidR="0086502B" w:rsidRDefault="004F329D" w:rsidP="00EA76C2">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sidR="002F1305">
              <w:rPr>
                <w:rFonts w:asciiTheme="majorHAnsi" w:hAnsiTheme="majorHAnsi"/>
              </w:rPr>
              <w:t>agencies who wish to send a disclaimer to send comments by Monday 16</w:t>
            </w:r>
            <w:r w:rsidR="002F1305" w:rsidRPr="002F1305">
              <w:rPr>
                <w:rFonts w:asciiTheme="majorHAnsi" w:hAnsiTheme="majorHAnsi"/>
                <w:vertAlign w:val="superscript"/>
              </w:rPr>
              <w:t>th</w:t>
            </w:r>
            <w:r w:rsidR="002F1305">
              <w:rPr>
                <w:rFonts w:asciiTheme="majorHAnsi" w:hAnsiTheme="majorHAnsi"/>
              </w:rPr>
              <w:t xml:space="preserve"> October.</w:t>
            </w:r>
          </w:p>
          <w:p w14:paraId="0E9ABE18" w14:textId="77777777" w:rsidR="002F1305" w:rsidRDefault="002F1305" w:rsidP="002F1305">
            <w:pPr>
              <w:jc w:val="both"/>
              <w:rPr>
                <w:rFonts w:asciiTheme="majorHAnsi" w:hAnsiTheme="majorHAnsi"/>
                <w:b/>
                <w:bCs/>
                <w:color w:val="FF0000"/>
              </w:rPr>
            </w:pPr>
          </w:p>
          <w:p w14:paraId="617B4545" w14:textId="77777777" w:rsidR="002F1305" w:rsidRPr="00AD7490" w:rsidRDefault="002F1305" w:rsidP="002F1305">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 xml:space="preserve">co-chairs to send on consolidated revised Statement of Intent to IASC Secretariat. </w:t>
            </w:r>
          </w:p>
        </w:tc>
      </w:tr>
    </w:tbl>
    <w:p w14:paraId="6A32A5F4" w14:textId="77777777" w:rsidR="00DA0B24" w:rsidRDefault="00DA0B24" w:rsidP="00EE4F12">
      <w:pPr>
        <w:jc w:val="both"/>
        <w:rPr>
          <w:rFonts w:asciiTheme="majorHAnsi" w:hAnsiTheme="majorHAnsi"/>
          <w:b/>
          <w:bCs/>
        </w:rPr>
      </w:pPr>
    </w:p>
    <w:p w14:paraId="34156BAA" w14:textId="77777777" w:rsidR="002F1305" w:rsidRPr="00353CAD" w:rsidRDefault="00EE4F12" w:rsidP="00EE4F12">
      <w:pPr>
        <w:jc w:val="both"/>
        <w:rPr>
          <w:rFonts w:asciiTheme="majorHAnsi" w:hAnsiTheme="majorHAnsi"/>
        </w:rPr>
      </w:pPr>
      <w:r>
        <w:rPr>
          <w:rFonts w:asciiTheme="majorHAnsi" w:hAnsiTheme="majorHAnsi"/>
          <w:b/>
          <w:bCs/>
        </w:rPr>
        <w:t>Agenda Item 2</w:t>
      </w:r>
      <w:r w:rsidR="002F1305" w:rsidRPr="00353CAD">
        <w:rPr>
          <w:rFonts w:asciiTheme="majorHAnsi" w:hAnsiTheme="majorHAnsi"/>
          <w:b/>
          <w:bCs/>
        </w:rPr>
        <w:t xml:space="preserve">: </w:t>
      </w:r>
      <w:r>
        <w:rPr>
          <w:rFonts w:asciiTheme="majorHAnsi" w:hAnsiTheme="majorHAnsi"/>
          <w:b/>
          <w:bCs/>
        </w:rPr>
        <w:t>Status update on workplan</w:t>
      </w:r>
    </w:p>
    <w:p w14:paraId="34D0336C" w14:textId="3BD8D207" w:rsidR="002F1305" w:rsidRPr="00A55593" w:rsidRDefault="002F1305" w:rsidP="002F1305">
      <w:pPr>
        <w:jc w:val="both"/>
        <w:rPr>
          <w:rFonts w:asciiTheme="majorHAnsi" w:hAnsiTheme="majorHAnsi"/>
        </w:rPr>
      </w:pPr>
      <w:r w:rsidRPr="00353CAD">
        <w:rPr>
          <w:rFonts w:asciiTheme="majorHAnsi" w:hAnsiTheme="majorHAnsi"/>
          <w:b/>
          <w:bCs/>
        </w:rPr>
        <w:t>Introduction</w:t>
      </w:r>
      <w:r>
        <w:rPr>
          <w:rFonts w:asciiTheme="majorHAnsi" w:hAnsiTheme="majorHAnsi"/>
          <w:b/>
          <w:bCs/>
        </w:rPr>
        <w:t xml:space="preserve"> (Co-chairs, WHO</w:t>
      </w:r>
      <w:r w:rsidRPr="00353CAD">
        <w:rPr>
          <w:rFonts w:asciiTheme="majorHAnsi" w:hAnsiTheme="majorHAnsi"/>
          <w:b/>
          <w:bCs/>
        </w:rPr>
        <w:t xml:space="preserve">): </w:t>
      </w:r>
      <w:r>
        <w:rPr>
          <w:rFonts w:asciiTheme="majorHAnsi" w:hAnsiTheme="majorHAnsi"/>
        </w:rPr>
        <w:t xml:space="preserve"> Seeing the enthusiasm and support from the Working Group, it is clear that there is an expectation for the TT to deliver on its workplan, and advance concretely ahead of the WG review at the end of the year. What is important is to have our priorities right and have a clear sense of who is leading. After consultation, the co-chairs have identified a handful of prioriti</w:t>
      </w:r>
      <w:r w:rsidR="00DA0B24">
        <w:rPr>
          <w:rFonts w:asciiTheme="majorHAnsi" w:hAnsiTheme="majorHAnsi"/>
        </w:rPr>
        <w:t>es</w:t>
      </w:r>
      <w:r>
        <w:rPr>
          <w:rFonts w:asciiTheme="majorHAnsi" w:hAnsiTheme="majorHAnsi"/>
        </w:rPr>
        <w:t xml:space="preserve"> to push forward between now and the end of the year. These are: finalizing the key messages; articulating collective outcomes; gathering evidence.</w:t>
      </w:r>
    </w:p>
    <w:p w14:paraId="325187D5" w14:textId="77777777" w:rsidR="001B4F26" w:rsidRDefault="002F1305" w:rsidP="001B4F26">
      <w:pPr>
        <w:ind w:left="284"/>
        <w:jc w:val="both"/>
        <w:rPr>
          <w:rFonts w:asciiTheme="majorHAnsi" w:hAnsiTheme="majorHAnsi"/>
        </w:rPr>
      </w:pPr>
      <w:r>
        <w:rPr>
          <w:rFonts w:asciiTheme="majorHAnsi" w:hAnsiTheme="majorHAnsi"/>
          <w:b/>
          <w:bCs/>
        </w:rPr>
        <w:t>Discussion</w:t>
      </w:r>
      <w:r w:rsidRPr="00353CAD">
        <w:rPr>
          <w:rFonts w:asciiTheme="majorHAnsi" w:hAnsiTheme="majorHAnsi"/>
          <w:b/>
          <w:bCs/>
        </w:rPr>
        <w:t>:</w:t>
      </w:r>
      <w:r>
        <w:rPr>
          <w:rFonts w:asciiTheme="majorHAnsi" w:hAnsiTheme="majorHAnsi"/>
          <w:b/>
          <w:bCs/>
        </w:rPr>
        <w:t xml:space="preserve"> </w:t>
      </w:r>
      <w:r>
        <w:rPr>
          <w:rFonts w:asciiTheme="majorHAnsi" w:hAnsiTheme="majorHAnsi"/>
        </w:rPr>
        <w:t xml:space="preserve">Round table discussion on lead agencies and supporting agencies for each activity in the workplan. Agencies committed to finalizing or producing drafts by the end of the year. Main highlights include: </w:t>
      </w:r>
    </w:p>
    <w:p w14:paraId="7CD4C8CC" w14:textId="77777777" w:rsidR="001B4F26" w:rsidRDefault="001B4F26"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 xml:space="preserve">Key messages </w:t>
      </w:r>
      <w:r w:rsidR="006310E5" w:rsidRPr="001B4F26">
        <w:rPr>
          <w:rFonts w:asciiTheme="majorHAnsi" w:hAnsiTheme="majorHAnsi"/>
        </w:rPr>
        <w:t>(IASC + UNDG TT</w:t>
      </w:r>
      <w:r w:rsidR="00B258EA">
        <w:rPr>
          <w:rFonts w:asciiTheme="majorHAnsi" w:hAnsiTheme="majorHAnsi"/>
        </w:rPr>
        <w:t xml:space="preserve"> “co-co-chairs”</w:t>
      </w:r>
      <w:r w:rsidR="006310E5" w:rsidRPr="001B4F26">
        <w:rPr>
          <w:rFonts w:asciiTheme="majorHAnsi" w:hAnsiTheme="majorHAnsi"/>
        </w:rPr>
        <w:t>)</w:t>
      </w:r>
    </w:p>
    <w:p w14:paraId="0A2832D3" w14:textId="07FE272B" w:rsidR="001B4F26" w:rsidRDefault="00BA302C"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E</w:t>
      </w:r>
      <w:r w:rsidRPr="001B4F26">
        <w:rPr>
          <w:rFonts w:asciiTheme="majorHAnsi" w:hAnsiTheme="majorHAnsi"/>
        </w:rPr>
        <w:t>viden</w:t>
      </w:r>
      <w:r>
        <w:rPr>
          <w:rFonts w:asciiTheme="majorHAnsi" w:hAnsiTheme="majorHAnsi"/>
        </w:rPr>
        <w:t>ce</w:t>
      </w:r>
      <w:r w:rsidR="002F1305" w:rsidRPr="001B4F26">
        <w:rPr>
          <w:rFonts w:asciiTheme="majorHAnsi" w:hAnsiTheme="majorHAnsi"/>
        </w:rPr>
        <w:t xml:space="preserve"> base on articulating collective outcomes</w:t>
      </w:r>
      <w:r w:rsidR="001B4F26" w:rsidRPr="001B4F26">
        <w:rPr>
          <w:rFonts w:asciiTheme="majorHAnsi" w:hAnsiTheme="majorHAnsi"/>
        </w:rPr>
        <w:t xml:space="preserve"> (IASC + UNDG TT</w:t>
      </w:r>
      <w:r w:rsidR="00B258EA">
        <w:rPr>
          <w:rFonts w:asciiTheme="majorHAnsi" w:hAnsiTheme="majorHAnsi"/>
        </w:rPr>
        <w:t xml:space="preserve"> “co-co-chairs”</w:t>
      </w:r>
      <w:r w:rsidR="001B4F26" w:rsidRPr="001B4F26">
        <w:rPr>
          <w:rFonts w:asciiTheme="majorHAnsi" w:hAnsiTheme="majorHAnsi"/>
        </w:rPr>
        <w:t>) –</w:t>
      </w:r>
      <w:r w:rsidR="001B4F26">
        <w:rPr>
          <w:rFonts w:asciiTheme="majorHAnsi" w:hAnsiTheme="majorHAnsi"/>
        </w:rPr>
        <w:t xml:space="preserve"> On this, </w:t>
      </w:r>
      <w:r w:rsidR="001B4F26" w:rsidRPr="001B4F26">
        <w:rPr>
          <w:rFonts w:asciiTheme="majorHAnsi" w:hAnsiTheme="majorHAnsi"/>
        </w:rPr>
        <w:t xml:space="preserve">OCHA announced that they are working on a draft paper that they will share with the TT; </w:t>
      </w:r>
      <w:r w:rsidR="001B4F26">
        <w:rPr>
          <w:rFonts w:asciiTheme="majorHAnsi" w:hAnsiTheme="majorHAnsi"/>
        </w:rPr>
        <w:t>the group agreed that collective ownership of the process and content of the proposed paper was paramount to building consensus and buy-in.</w:t>
      </w:r>
    </w:p>
    <w:p w14:paraId="43326DBE" w14:textId="77777777" w:rsidR="001B4F26" w:rsidRDefault="001B4F26"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 xml:space="preserve">Evidence Gathering: WHO to work on Snap Shots, and make sure that it is in line with the deep dive exercises that UNDP and OCHA are working on. </w:t>
      </w:r>
    </w:p>
    <w:p w14:paraId="00A8E87F" w14:textId="77777777" w:rsidR="0086502B" w:rsidRDefault="001B4F26"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U</w:t>
      </w:r>
      <w:r w:rsidRPr="001B4F26">
        <w:rPr>
          <w:rFonts w:asciiTheme="majorHAnsi" w:hAnsiTheme="majorHAnsi"/>
        </w:rPr>
        <w:t xml:space="preserve">pdate of the mapping (UNICEF + WHO); </w:t>
      </w:r>
      <w:r w:rsidR="006310E5">
        <w:rPr>
          <w:rFonts w:asciiTheme="majorHAnsi" w:hAnsiTheme="majorHAnsi"/>
        </w:rPr>
        <w:t xml:space="preserve">find digital solution to better visualize </w:t>
      </w:r>
    </w:p>
    <w:p w14:paraId="6AEBF4C6" w14:textId="77777777" w:rsidR="006310E5" w:rsidRDefault="006310E5"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F</w:t>
      </w:r>
      <w:r w:rsidRPr="001B4F26">
        <w:rPr>
          <w:rFonts w:asciiTheme="majorHAnsi" w:hAnsiTheme="majorHAnsi"/>
        </w:rPr>
        <w:t xml:space="preserve">urther work on the typologies paper (WHO+OCHA); </w:t>
      </w:r>
    </w:p>
    <w:p w14:paraId="791A4950" w14:textId="77777777" w:rsidR="00BA302C" w:rsidRDefault="00BA302C" w:rsidP="00EE4F12">
      <w:pPr>
        <w:pStyle w:val="ListParagraph"/>
        <w:numPr>
          <w:ilvl w:val="0"/>
          <w:numId w:val="3"/>
        </w:numPr>
        <w:spacing w:after="120"/>
        <w:ind w:left="1003" w:hanging="357"/>
        <w:contextualSpacing w:val="0"/>
        <w:jc w:val="both"/>
        <w:rPr>
          <w:rFonts w:asciiTheme="majorHAnsi" w:hAnsiTheme="majorHAnsi"/>
        </w:rPr>
      </w:pPr>
      <w:r>
        <w:rPr>
          <w:rFonts w:asciiTheme="majorHAnsi" w:hAnsiTheme="majorHAnsi"/>
        </w:rPr>
        <w:t xml:space="preserve">Peer-to-peer engagement: UNDP and OCHA are in the process of organizing regional workshop that will bring multiple stakeholders together; the co-chairs have been in discussion with UNDP and OCHA to hold a smaller peer-to-peer workshop ahead of the larger one which would focus on </w:t>
      </w:r>
      <w:r w:rsidR="00DA0B24">
        <w:rPr>
          <w:rFonts w:asciiTheme="majorHAnsi" w:hAnsiTheme="majorHAnsi"/>
        </w:rPr>
        <w:t xml:space="preserve">field based </w:t>
      </w:r>
      <w:r>
        <w:rPr>
          <w:rFonts w:asciiTheme="majorHAnsi" w:hAnsiTheme="majorHAnsi"/>
        </w:rPr>
        <w:t xml:space="preserve">technical experts. </w:t>
      </w:r>
    </w:p>
    <w:p w14:paraId="007B7156" w14:textId="77777777" w:rsidR="006310E5" w:rsidRPr="001B4F26" w:rsidRDefault="006310E5" w:rsidP="006310E5">
      <w:pPr>
        <w:pStyle w:val="ListParagraph"/>
        <w:ind w:left="1004"/>
        <w:jc w:val="both"/>
        <w:rPr>
          <w:rFonts w:asciiTheme="majorHAnsi" w:hAnsiTheme="majorHAnsi"/>
        </w:rPr>
      </w:pP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1B4F26" w:rsidRPr="00353CAD" w14:paraId="694F8E7E" w14:textId="77777777" w:rsidTr="00DA0B24">
        <w:trPr>
          <w:trHeight w:val="841"/>
        </w:trPr>
        <w:tc>
          <w:tcPr>
            <w:tcW w:w="8958" w:type="dxa"/>
            <w:shd w:val="clear" w:color="auto" w:fill="DBE5F1" w:themeFill="accent1" w:themeFillTint="33"/>
          </w:tcPr>
          <w:p w14:paraId="1AB799AE" w14:textId="77777777" w:rsidR="001B4F26" w:rsidRPr="00353CAD" w:rsidRDefault="001B4F26" w:rsidP="00FF531E">
            <w:pPr>
              <w:jc w:val="both"/>
              <w:rPr>
                <w:rFonts w:asciiTheme="majorHAnsi" w:hAnsiTheme="majorHAnsi"/>
                <w:b/>
                <w:bCs/>
                <w:color w:val="FF0000"/>
              </w:rPr>
            </w:pPr>
          </w:p>
          <w:p w14:paraId="108F6CDA" w14:textId="77777777" w:rsidR="001B4F26" w:rsidRPr="00AD7490" w:rsidRDefault="001B4F26" w:rsidP="00FF531E">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 xml:space="preserve">OCHA to share a paper on Collective Outcomes to the TT </w:t>
            </w:r>
            <w:r>
              <w:rPr>
                <w:rFonts w:asciiTheme="majorHAnsi" w:hAnsiTheme="majorHAnsi"/>
                <w:b/>
                <w:bCs/>
                <w:color w:val="FF0000"/>
              </w:rPr>
              <w:t>PENDING</w:t>
            </w:r>
          </w:p>
        </w:tc>
      </w:tr>
    </w:tbl>
    <w:p w14:paraId="2C1A6F2C" w14:textId="77777777" w:rsidR="001B4F26" w:rsidRPr="002F1305" w:rsidRDefault="001B4F26" w:rsidP="001B4F26">
      <w:pPr>
        <w:ind w:left="284"/>
        <w:jc w:val="both"/>
        <w:rPr>
          <w:rFonts w:asciiTheme="majorHAnsi" w:hAnsiTheme="majorHAnsi"/>
        </w:rPr>
      </w:pPr>
    </w:p>
    <w:sectPr w:rsidR="001B4F26" w:rsidRPr="002F13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9FEE" w14:textId="77777777" w:rsidR="000F69E1" w:rsidRDefault="000F69E1" w:rsidP="00876B34">
      <w:pPr>
        <w:spacing w:after="0" w:line="240" w:lineRule="auto"/>
      </w:pPr>
      <w:r>
        <w:separator/>
      </w:r>
    </w:p>
  </w:endnote>
  <w:endnote w:type="continuationSeparator" w:id="0">
    <w:p w14:paraId="6E817BC8" w14:textId="77777777" w:rsidR="000F69E1" w:rsidRDefault="000F69E1" w:rsidP="008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90876"/>
      <w:docPartObj>
        <w:docPartGallery w:val="Page Numbers (Bottom of Page)"/>
        <w:docPartUnique/>
      </w:docPartObj>
    </w:sdtPr>
    <w:sdtEndPr>
      <w:rPr>
        <w:noProof/>
      </w:rPr>
    </w:sdtEndPr>
    <w:sdtContent>
      <w:p w14:paraId="66C593D8" w14:textId="2443611D" w:rsidR="005A1226" w:rsidRDefault="005A1226">
        <w:pPr>
          <w:pStyle w:val="Footer"/>
          <w:jc w:val="right"/>
        </w:pPr>
        <w:r>
          <w:fldChar w:fldCharType="begin"/>
        </w:r>
        <w:r>
          <w:instrText xml:space="preserve"> PAGE   \* MERGEFORMAT </w:instrText>
        </w:r>
        <w:r>
          <w:fldChar w:fldCharType="separate"/>
        </w:r>
        <w:r w:rsidR="00262003">
          <w:rPr>
            <w:noProof/>
          </w:rPr>
          <w:t>2</w:t>
        </w:r>
        <w:r>
          <w:rPr>
            <w:noProof/>
          </w:rPr>
          <w:fldChar w:fldCharType="end"/>
        </w:r>
      </w:p>
    </w:sdtContent>
  </w:sdt>
  <w:p w14:paraId="44C5A9A6" w14:textId="77777777" w:rsidR="005A1226" w:rsidRDefault="005A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8F1F" w14:textId="77777777" w:rsidR="000F69E1" w:rsidRDefault="000F69E1" w:rsidP="00876B34">
      <w:pPr>
        <w:spacing w:after="0" w:line="240" w:lineRule="auto"/>
      </w:pPr>
      <w:r>
        <w:separator/>
      </w:r>
    </w:p>
  </w:footnote>
  <w:footnote w:type="continuationSeparator" w:id="0">
    <w:p w14:paraId="76B77814" w14:textId="77777777" w:rsidR="000F69E1" w:rsidRDefault="000F69E1" w:rsidP="0087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41E4"/>
    <w:multiLevelType w:val="hybridMultilevel"/>
    <w:tmpl w:val="ED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76D0F"/>
    <w:multiLevelType w:val="hybridMultilevel"/>
    <w:tmpl w:val="71368B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EC62BED"/>
    <w:multiLevelType w:val="hybridMultilevel"/>
    <w:tmpl w:val="A03CA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E6"/>
    <w:rsid w:val="000042B4"/>
    <w:rsid w:val="00004848"/>
    <w:rsid w:val="00030081"/>
    <w:rsid w:val="00034327"/>
    <w:rsid w:val="00064197"/>
    <w:rsid w:val="00086E7B"/>
    <w:rsid w:val="000953CA"/>
    <w:rsid w:val="000B2AEE"/>
    <w:rsid w:val="000D6773"/>
    <w:rsid w:val="000F69E1"/>
    <w:rsid w:val="00165F39"/>
    <w:rsid w:val="00167F7A"/>
    <w:rsid w:val="00170831"/>
    <w:rsid w:val="0017411C"/>
    <w:rsid w:val="001B4F26"/>
    <w:rsid w:val="001D57DB"/>
    <w:rsid w:val="001D6758"/>
    <w:rsid w:val="001F10F2"/>
    <w:rsid w:val="002118CD"/>
    <w:rsid w:val="00262003"/>
    <w:rsid w:val="002A0CE1"/>
    <w:rsid w:val="002B6F7E"/>
    <w:rsid w:val="002E33D9"/>
    <w:rsid w:val="002E4204"/>
    <w:rsid w:val="002E739A"/>
    <w:rsid w:val="002F1305"/>
    <w:rsid w:val="00320168"/>
    <w:rsid w:val="003372AE"/>
    <w:rsid w:val="00353CAD"/>
    <w:rsid w:val="003B1E1A"/>
    <w:rsid w:val="003B50EF"/>
    <w:rsid w:val="00400928"/>
    <w:rsid w:val="00402760"/>
    <w:rsid w:val="00437514"/>
    <w:rsid w:val="004545DA"/>
    <w:rsid w:val="00481172"/>
    <w:rsid w:val="004D45AE"/>
    <w:rsid w:val="004D47D0"/>
    <w:rsid w:val="004E3698"/>
    <w:rsid w:val="004F329D"/>
    <w:rsid w:val="00521B4B"/>
    <w:rsid w:val="005320E6"/>
    <w:rsid w:val="00541332"/>
    <w:rsid w:val="00551CD4"/>
    <w:rsid w:val="00555997"/>
    <w:rsid w:val="005601FF"/>
    <w:rsid w:val="00581E98"/>
    <w:rsid w:val="00586709"/>
    <w:rsid w:val="005A1226"/>
    <w:rsid w:val="005D17F3"/>
    <w:rsid w:val="005E37C4"/>
    <w:rsid w:val="00601936"/>
    <w:rsid w:val="00612BC2"/>
    <w:rsid w:val="006310E5"/>
    <w:rsid w:val="00650D74"/>
    <w:rsid w:val="00690484"/>
    <w:rsid w:val="006938B0"/>
    <w:rsid w:val="00695EC4"/>
    <w:rsid w:val="006A58D8"/>
    <w:rsid w:val="006E3846"/>
    <w:rsid w:val="006E780C"/>
    <w:rsid w:val="006F2A02"/>
    <w:rsid w:val="00700759"/>
    <w:rsid w:val="007421C4"/>
    <w:rsid w:val="00743F05"/>
    <w:rsid w:val="00751A58"/>
    <w:rsid w:val="007700FE"/>
    <w:rsid w:val="007937AB"/>
    <w:rsid w:val="007E4FDA"/>
    <w:rsid w:val="00845DB6"/>
    <w:rsid w:val="00854A36"/>
    <w:rsid w:val="00861234"/>
    <w:rsid w:val="008635D1"/>
    <w:rsid w:val="0086502B"/>
    <w:rsid w:val="00876B34"/>
    <w:rsid w:val="00895E64"/>
    <w:rsid w:val="008A77EE"/>
    <w:rsid w:val="008B7F1D"/>
    <w:rsid w:val="008C357E"/>
    <w:rsid w:val="008D0FFD"/>
    <w:rsid w:val="008E228D"/>
    <w:rsid w:val="008E27A3"/>
    <w:rsid w:val="008F1EF8"/>
    <w:rsid w:val="008F26D3"/>
    <w:rsid w:val="00904AB4"/>
    <w:rsid w:val="00911BBC"/>
    <w:rsid w:val="00913A3F"/>
    <w:rsid w:val="009270E9"/>
    <w:rsid w:val="00935410"/>
    <w:rsid w:val="00951E20"/>
    <w:rsid w:val="00953C65"/>
    <w:rsid w:val="00963533"/>
    <w:rsid w:val="00982CDB"/>
    <w:rsid w:val="00996C0A"/>
    <w:rsid w:val="009A3039"/>
    <w:rsid w:val="009D03CC"/>
    <w:rsid w:val="009F292D"/>
    <w:rsid w:val="009F3B26"/>
    <w:rsid w:val="00A347C6"/>
    <w:rsid w:val="00A43150"/>
    <w:rsid w:val="00A50F3D"/>
    <w:rsid w:val="00A51761"/>
    <w:rsid w:val="00A55593"/>
    <w:rsid w:val="00A62F64"/>
    <w:rsid w:val="00A7462B"/>
    <w:rsid w:val="00A77F3C"/>
    <w:rsid w:val="00AA3DF2"/>
    <w:rsid w:val="00AD5A1F"/>
    <w:rsid w:val="00AD7490"/>
    <w:rsid w:val="00AF09F3"/>
    <w:rsid w:val="00B21768"/>
    <w:rsid w:val="00B253DB"/>
    <w:rsid w:val="00B258EA"/>
    <w:rsid w:val="00B439A5"/>
    <w:rsid w:val="00B52E79"/>
    <w:rsid w:val="00B54DAB"/>
    <w:rsid w:val="00B573B9"/>
    <w:rsid w:val="00B71FE9"/>
    <w:rsid w:val="00BA302C"/>
    <w:rsid w:val="00BB116B"/>
    <w:rsid w:val="00C058D7"/>
    <w:rsid w:val="00C30FD5"/>
    <w:rsid w:val="00C448B5"/>
    <w:rsid w:val="00C62821"/>
    <w:rsid w:val="00C66731"/>
    <w:rsid w:val="00C93DCD"/>
    <w:rsid w:val="00CA30DB"/>
    <w:rsid w:val="00CA31E7"/>
    <w:rsid w:val="00CC2508"/>
    <w:rsid w:val="00CC7113"/>
    <w:rsid w:val="00CD7215"/>
    <w:rsid w:val="00CE47F1"/>
    <w:rsid w:val="00D0285F"/>
    <w:rsid w:val="00D24C06"/>
    <w:rsid w:val="00D34E54"/>
    <w:rsid w:val="00D4663C"/>
    <w:rsid w:val="00D53F9B"/>
    <w:rsid w:val="00D57EE9"/>
    <w:rsid w:val="00D74352"/>
    <w:rsid w:val="00DA0B24"/>
    <w:rsid w:val="00DC1C6A"/>
    <w:rsid w:val="00DC3EFF"/>
    <w:rsid w:val="00DC6427"/>
    <w:rsid w:val="00DE4424"/>
    <w:rsid w:val="00E13581"/>
    <w:rsid w:val="00E14BFD"/>
    <w:rsid w:val="00E20212"/>
    <w:rsid w:val="00E24C3E"/>
    <w:rsid w:val="00E6148C"/>
    <w:rsid w:val="00E65CA9"/>
    <w:rsid w:val="00E91C90"/>
    <w:rsid w:val="00EA76C2"/>
    <w:rsid w:val="00EC7499"/>
    <w:rsid w:val="00ED0D3E"/>
    <w:rsid w:val="00EE2D12"/>
    <w:rsid w:val="00EE4434"/>
    <w:rsid w:val="00EE4F12"/>
    <w:rsid w:val="00F27562"/>
    <w:rsid w:val="00F45821"/>
    <w:rsid w:val="00F5112F"/>
    <w:rsid w:val="00F63C0D"/>
    <w:rsid w:val="00F806F3"/>
    <w:rsid w:val="00FF2BC6"/>
    <w:rsid w:val="00FF6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1FFC"/>
  <w15:docId w15:val="{C4D765EB-D947-4DA5-9096-2861BED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E6"/>
    <w:pPr>
      <w:ind w:left="720"/>
      <w:contextualSpacing/>
    </w:pPr>
  </w:style>
  <w:style w:type="paragraph" w:styleId="FootnoteText">
    <w:name w:val="footnote text"/>
    <w:basedOn w:val="Normal"/>
    <w:link w:val="FootnoteTextChar"/>
    <w:uiPriority w:val="99"/>
    <w:semiHidden/>
    <w:unhideWhenUsed/>
    <w:rsid w:val="00876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34"/>
    <w:rPr>
      <w:sz w:val="20"/>
      <w:szCs w:val="20"/>
    </w:rPr>
  </w:style>
  <w:style w:type="character" w:styleId="FootnoteReference">
    <w:name w:val="footnote reference"/>
    <w:basedOn w:val="DefaultParagraphFont"/>
    <w:uiPriority w:val="99"/>
    <w:semiHidden/>
    <w:unhideWhenUsed/>
    <w:rsid w:val="00876B34"/>
    <w:rPr>
      <w:vertAlign w:val="superscript"/>
    </w:rPr>
  </w:style>
  <w:style w:type="paragraph" w:styleId="BalloonText">
    <w:name w:val="Balloon Text"/>
    <w:basedOn w:val="Normal"/>
    <w:link w:val="BalloonTextChar"/>
    <w:uiPriority w:val="99"/>
    <w:semiHidden/>
    <w:unhideWhenUsed/>
    <w:rsid w:val="002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A"/>
    <w:rPr>
      <w:rFonts w:ascii="Tahoma" w:hAnsi="Tahoma" w:cs="Tahoma"/>
      <w:sz w:val="16"/>
      <w:szCs w:val="16"/>
    </w:rPr>
  </w:style>
  <w:style w:type="character" w:styleId="CommentReference">
    <w:name w:val="annotation reference"/>
    <w:basedOn w:val="DefaultParagraphFont"/>
    <w:uiPriority w:val="99"/>
    <w:semiHidden/>
    <w:unhideWhenUsed/>
    <w:rsid w:val="002E739A"/>
    <w:rPr>
      <w:sz w:val="16"/>
      <w:szCs w:val="16"/>
    </w:rPr>
  </w:style>
  <w:style w:type="paragraph" w:styleId="CommentText">
    <w:name w:val="annotation text"/>
    <w:basedOn w:val="Normal"/>
    <w:link w:val="CommentTextChar"/>
    <w:uiPriority w:val="99"/>
    <w:semiHidden/>
    <w:unhideWhenUsed/>
    <w:rsid w:val="002E739A"/>
    <w:pPr>
      <w:spacing w:line="240" w:lineRule="auto"/>
    </w:pPr>
    <w:rPr>
      <w:sz w:val="20"/>
      <w:szCs w:val="20"/>
    </w:rPr>
  </w:style>
  <w:style w:type="character" w:customStyle="1" w:styleId="CommentTextChar">
    <w:name w:val="Comment Text Char"/>
    <w:basedOn w:val="DefaultParagraphFont"/>
    <w:link w:val="CommentText"/>
    <w:uiPriority w:val="99"/>
    <w:semiHidden/>
    <w:rsid w:val="002E739A"/>
    <w:rPr>
      <w:sz w:val="20"/>
      <w:szCs w:val="20"/>
    </w:rPr>
  </w:style>
  <w:style w:type="paragraph" w:styleId="CommentSubject">
    <w:name w:val="annotation subject"/>
    <w:basedOn w:val="CommentText"/>
    <w:next w:val="CommentText"/>
    <w:link w:val="CommentSubjectChar"/>
    <w:uiPriority w:val="99"/>
    <w:semiHidden/>
    <w:unhideWhenUsed/>
    <w:rsid w:val="002E739A"/>
    <w:rPr>
      <w:b/>
      <w:bCs/>
    </w:rPr>
  </w:style>
  <w:style w:type="character" w:customStyle="1" w:styleId="CommentSubjectChar">
    <w:name w:val="Comment Subject Char"/>
    <w:basedOn w:val="CommentTextChar"/>
    <w:link w:val="CommentSubject"/>
    <w:uiPriority w:val="99"/>
    <w:semiHidden/>
    <w:rsid w:val="002E739A"/>
    <w:rPr>
      <w:b/>
      <w:bCs/>
      <w:sz w:val="20"/>
      <w:szCs w:val="20"/>
    </w:rPr>
  </w:style>
  <w:style w:type="character" w:styleId="Hyperlink">
    <w:name w:val="Hyperlink"/>
    <w:basedOn w:val="DefaultParagraphFont"/>
    <w:uiPriority w:val="99"/>
    <w:unhideWhenUsed/>
    <w:rsid w:val="00581E98"/>
    <w:rPr>
      <w:color w:val="0563C1"/>
      <w:u w:val="single"/>
    </w:rPr>
  </w:style>
  <w:style w:type="table" w:styleId="TableGrid">
    <w:name w:val="Table Grid"/>
    <w:basedOn w:val="TableNormal"/>
    <w:uiPriority w:val="59"/>
    <w:rsid w:val="004F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9D"/>
  </w:style>
  <w:style w:type="paragraph" w:styleId="Footer">
    <w:name w:val="footer"/>
    <w:basedOn w:val="Normal"/>
    <w:link w:val="FooterChar"/>
    <w:uiPriority w:val="99"/>
    <w:unhideWhenUsed/>
    <w:rsid w:val="004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592">
      <w:bodyDiv w:val="1"/>
      <w:marLeft w:val="0"/>
      <w:marRight w:val="0"/>
      <w:marTop w:val="0"/>
      <w:marBottom w:val="0"/>
      <w:divBdr>
        <w:top w:val="none" w:sz="0" w:space="0" w:color="auto"/>
        <w:left w:val="none" w:sz="0" w:space="0" w:color="auto"/>
        <w:bottom w:val="none" w:sz="0" w:space="0" w:color="auto"/>
        <w:right w:val="none" w:sz="0" w:space="0" w:color="auto"/>
      </w:divBdr>
    </w:div>
    <w:div w:id="641467057">
      <w:bodyDiv w:val="1"/>
      <w:marLeft w:val="0"/>
      <w:marRight w:val="0"/>
      <w:marTop w:val="0"/>
      <w:marBottom w:val="0"/>
      <w:divBdr>
        <w:top w:val="none" w:sz="0" w:space="0" w:color="auto"/>
        <w:left w:val="none" w:sz="0" w:space="0" w:color="auto"/>
        <w:bottom w:val="none" w:sz="0" w:space="0" w:color="auto"/>
        <w:right w:val="none" w:sz="0" w:space="0" w:color="auto"/>
      </w:divBdr>
    </w:div>
    <w:div w:id="2086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F4B7-2A7E-4974-AD63-23BDD513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2</cp:revision>
  <cp:lastPrinted>2016-09-30T14:14:00Z</cp:lastPrinted>
  <dcterms:created xsi:type="dcterms:W3CDTF">2017-12-12T18:09:00Z</dcterms:created>
  <dcterms:modified xsi:type="dcterms:W3CDTF">2017-12-12T18:09:00Z</dcterms:modified>
</cp:coreProperties>
</file>