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61" w:rsidRPr="00613B87" w:rsidRDefault="00041C61" w:rsidP="00041C61">
      <w:pPr>
        <w:rPr>
          <w:color w:val="000000" w:themeColor="text1"/>
        </w:rPr>
      </w:pPr>
      <w:r w:rsidRPr="00613B87">
        <w:rPr>
          <w:rFonts w:ascii="Arial" w:hAnsi="Arial" w:cs="Arial"/>
          <w:b/>
          <w:bCs/>
          <w:noProof/>
          <w:color w:val="000000" w:themeColor="text1"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CB2A2" wp14:editId="489DB6E9">
                <wp:simplePos x="0" y="0"/>
                <wp:positionH relativeFrom="margin">
                  <wp:posOffset>-2919</wp:posOffset>
                </wp:positionH>
                <wp:positionV relativeFrom="paragraph">
                  <wp:posOffset>-5203</wp:posOffset>
                </wp:positionV>
                <wp:extent cx="7180028" cy="552734"/>
                <wp:effectExtent l="0" t="0" r="2095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0028" cy="55273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C61" w:rsidRPr="0089341C" w:rsidRDefault="00041C61" w:rsidP="0089341C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341C">
                              <w:rPr>
                                <w:b/>
                                <w:color w:val="FFFFFF" w:themeColor="background1"/>
                                <w:sz w:val="32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IASC </w:t>
                            </w:r>
                            <w:r w:rsidR="0089341C" w:rsidRPr="0089341C">
                              <w:rPr>
                                <w:b/>
                                <w:color w:val="FFFFFF" w:themeColor="background1"/>
                                <w:sz w:val="32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Task Team on Strengthening</w:t>
                            </w:r>
                            <w:r w:rsidR="0089341C">
                              <w:rPr>
                                <w:b/>
                                <w:color w:val="FFFFFF" w:themeColor="background1"/>
                                <w:sz w:val="32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the Humanitarian-</w:t>
                            </w:r>
                            <w:r w:rsidR="0089341C" w:rsidRPr="0089341C">
                              <w:rPr>
                                <w:b/>
                                <w:color w:val="FFFFFF" w:themeColor="background1"/>
                                <w:sz w:val="32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Development Nexus</w:t>
                            </w:r>
                            <w:r w:rsidR="00A446FC">
                              <w:rPr>
                                <w:b/>
                                <w:color w:val="FFFFFF" w:themeColor="background1"/>
                                <w:sz w:val="32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(HDN TT)</w:t>
                            </w:r>
                            <w:r w:rsidR="0089341C" w:rsidRPr="0089341C">
                              <w:rPr>
                                <w:b/>
                                <w:color w:val="FFFFFF" w:themeColor="background1"/>
                                <w:sz w:val="32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C20D2" w:rsidRPr="0089341C">
                              <w:rPr>
                                <w:b/>
                                <w:color w:val="FFFFFF" w:themeColor="background1"/>
                                <w:sz w:val="32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</w:t>
                            </w:r>
                            <w:r w:rsidR="0089341C" w:rsidRPr="0089341C">
                              <w:rPr>
                                <w:b/>
                                <w:color w:val="FFFFFF" w:themeColor="background1"/>
                                <w:sz w:val="32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Protracted Settings</w:t>
                            </w:r>
                            <w:r w:rsidRPr="0089341C">
                              <w:rPr>
                                <w:b/>
                                <w:color w:val="FFFFFF" w:themeColor="background1"/>
                                <w:sz w:val="32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Progress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CB2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5pt;margin-top:-.4pt;width:565.3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" fillcolor="#8db3e2 [1311]">
                <v:textbox>
                  <w:txbxContent>
                    <w:p w:rsidR="00041C61" w:rsidRPr="0089341C" w:rsidRDefault="00041C61" w:rsidP="0089341C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9341C">
                        <w:rPr>
                          <w:b/>
                          <w:color w:val="FFFFFF" w:themeColor="background1"/>
                          <w:sz w:val="32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IASC </w:t>
                      </w:r>
                      <w:r w:rsidR="0089341C" w:rsidRPr="0089341C">
                        <w:rPr>
                          <w:b/>
                          <w:color w:val="FFFFFF" w:themeColor="background1"/>
                          <w:sz w:val="32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Task Team on Strengthening</w:t>
                      </w:r>
                      <w:r w:rsidR="0089341C">
                        <w:rPr>
                          <w:b/>
                          <w:color w:val="FFFFFF" w:themeColor="background1"/>
                          <w:sz w:val="32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the Humanitarian-</w:t>
                      </w:r>
                      <w:r w:rsidR="0089341C" w:rsidRPr="0089341C">
                        <w:rPr>
                          <w:b/>
                          <w:color w:val="FFFFFF" w:themeColor="background1"/>
                          <w:sz w:val="32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Development Nexus</w:t>
                      </w:r>
                      <w:r w:rsidR="00A446FC">
                        <w:rPr>
                          <w:b/>
                          <w:color w:val="FFFFFF" w:themeColor="background1"/>
                          <w:sz w:val="32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(HDN TT)</w:t>
                      </w:r>
                      <w:r w:rsidR="0089341C" w:rsidRPr="0089341C">
                        <w:rPr>
                          <w:b/>
                          <w:color w:val="FFFFFF" w:themeColor="background1"/>
                          <w:sz w:val="32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C20D2" w:rsidRPr="0089341C">
                        <w:rPr>
                          <w:b/>
                          <w:color w:val="FFFFFF" w:themeColor="background1"/>
                          <w:sz w:val="32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in</w:t>
                      </w:r>
                      <w:r w:rsidR="0089341C" w:rsidRPr="0089341C">
                        <w:rPr>
                          <w:b/>
                          <w:color w:val="FFFFFF" w:themeColor="background1"/>
                          <w:sz w:val="32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Protracted Settings</w:t>
                      </w:r>
                      <w:r w:rsidRPr="0089341C">
                        <w:rPr>
                          <w:b/>
                          <w:color w:val="FFFFFF" w:themeColor="background1"/>
                          <w:sz w:val="32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Progress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1C61" w:rsidRPr="00613B87" w:rsidRDefault="00041C61" w:rsidP="00041C61">
      <w:pPr>
        <w:rPr>
          <w:color w:val="000000" w:themeColor="text1"/>
        </w:rPr>
      </w:pPr>
    </w:p>
    <w:p w:rsidR="00041C61" w:rsidRPr="00613B87" w:rsidRDefault="0089341C" w:rsidP="00041C61">
      <w:pPr>
        <w:rPr>
          <w:color w:val="000000" w:themeColor="text1"/>
        </w:rPr>
      </w:pPr>
      <w:r w:rsidRPr="00613B87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21656" wp14:editId="7F2F873A">
                <wp:simplePos x="0" y="0"/>
                <wp:positionH relativeFrom="margin">
                  <wp:posOffset>-6985</wp:posOffset>
                </wp:positionH>
                <wp:positionV relativeFrom="paragraph">
                  <wp:posOffset>45085</wp:posOffset>
                </wp:positionV>
                <wp:extent cx="7179945" cy="811530"/>
                <wp:effectExtent l="0" t="0" r="20955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9945" cy="811530"/>
                        </a:xfrm>
                        <a:prstGeom prst="rect">
                          <a:avLst/>
                        </a:prstGeom>
                        <a:pattFill prst="pct80">
                          <a:fgClr>
                            <a:srgbClr val="FDE8D7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C61" w:rsidRPr="009B1168" w:rsidRDefault="00FC20D2" w:rsidP="00041C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21"/>
                              </w:rPr>
                              <w:t>HDN TT’s</w:t>
                            </w:r>
                            <w:r w:rsidR="00041C61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21"/>
                              </w:rPr>
                              <w:t xml:space="preserve"> 2016/2017 </w:t>
                            </w:r>
                            <w:r w:rsidR="00041C61" w:rsidRPr="009B1168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21"/>
                              </w:rPr>
                              <w:t>work plan has four objectives:</w:t>
                            </w:r>
                          </w:p>
                          <w:p w:rsidR="00041C61" w:rsidRDefault="002334CE" w:rsidP="002334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284" w:right="-47" w:hanging="207"/>
                              <w:rPr>
                                <w:rFonts w:ascii="Calibri" w:hAnsi="Calibri" w:cs="Calibri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1"/>
                              </w:rPr>
                              <w:t>Establishing a common understanding of what is required for humanitarian, development and peace actors to implement the New Way of Working</w:t>
                            </w:r>
                          </w:p>
                          <w:p w:rsidR="00041C61" w:rsidRDefault="00A446FC" w:rsidP="00A446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284" w:right="-47" w:hanging="207"/>
                              <w:rPr>
                                <w:rFonts w:ascii="Calibri" w:hAnsi="Calibri" w:cs="Calibri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1"/>
                              </w:rPr>
                              <w:t>Review and assess current policy, g</w:t>
                            </w:r>
                            <w:r w:rsidR="002334CE" w:rsidRPr="002334CE">
                              <w:rPr>
                                <w:rFonts w:ascii="Calibri" w:hAnsi="Calibri" w:cs="Calibri"/>
                                <w:sz w:val="18"/>
                                <w:szCs w:val="21"/>
                              </w:rPr>
                              <w:t>uidance and operational tools to identify gaps and best practices</w:t>
                            </w:r>
                          </w:p>
                          <w:p w:rsidR="00041C61" w:rsidRDefault="002334CE" w:rsidP="002334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284" w:right="-47" w:hanging="207"/>
                              <w:rPr>
                                <w:rFonts w:ascii="Calibri" w:hAnsi="Calibri" w:cs="Calibri"/>
                                <w:sz w:val="18"/>
                                <w:szCs w:val="21"/>
                              </w:rPr>
                            </w:pPr>
                            <w:r w:rsidRPr="002334CE">
                              <w:rPr>
                                <w:rFonts w:ascii="Calibri" w:hAnsi="Calibri" w:cs="Calibri"/>
                                <w:sz w:val="18"/>
                                <w:szCs w:val="21"/>
                              </w:rPr>
                              <w:t>Jointly work with UNDG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1"/>
                              </w:rPr>
                              <w:t xml:space="preserve"> and its subsidiary bodies</w:t>
                            </w:r>
                            <w:r w:rsidRPr="002334CE">
                              <w:rPr>
                                <w:rFonts w:ascii="Calibri" w:hAnsi="Calibri" w:cs="Calibri"/>
                                <w:sz w:val="18"/>
                                <w:szCs w:val="21"/>
                              </w:rPr>
                              <w:t xml:space="preserve"> on refining and expanding on joint principles towards Collective Outcomes</w:t>
                            </w:r>
                          </w:p>
                          <w:p w:rsidR="002334CE" w:rsidRPr="00AF1E08" w:rsidRDefault="00A446FC" w:rsidP="00A446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284" w:right="-47" w:hanging="207"/>
                              <w:rPr>
                                <w:rFonts w:ascii="Calibri" w:hAnsi="Calibri" w:cs="Calibri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1"/>
                              </w:rPr>
                              <w:t>Provide multi-agency technical support to country teams that express interest in implementing the New Way of Working.</w:t>
                            </w:r>
                          </w:p>
                          <w:p w:rsidR="00041C61" w:rsidRDefault="00041C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21656" id="_x0000_s1027" type="#_x0000_t202" style="position:absolute;margin-left:-.55pt;margin-top:3.55pt;width:565.35pt;height:63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" fillcolor="#fde8d7" strokecolor="#31849b [2408]">
                <v:fill r:id="rId7" o:title="" color2="white [3212]" type="pattern"/>
                <v:textbox>
                  <w:txbxContent>
                    <w:p w:rsidR="00041C61" w:rsidRPr="009B1168" w:rsidRDefault="00FC20D2" w:rsidP="00041C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21"/>
                        </w:rPr>
                        <w:t>HDN TT’s</w:t>
                      </w:r>
                      <w:r w:rsidR="00041C61">
                        <w:rPr>
                          <w:rFonts w:ascii="Calibri" w:hAnsi="Calibri" w:cs="Calibri"/>
                          <w:b/>
                          <w:bCs/>
                          <w:sz w:val="18"/>
                          <w:szCs w:val="21"/>
                        </w:rPr>
                        <w:t xml:space="preserve"> 2016/2017 </w:t>
                      </w:r>
                      <w:r w:rsidR="00041C61" w:rsidRPr="009B1168">
                        <w:rPr>
                          <w:rFonts w:ascii="Calibri" w:hAnsi="Calibri" w:cs="Calibri"/>
                          <w:b/>
                          <w:bCs/>
                          <w:sz w:val="18"/>
                          <w:szCs w:val="21"/>
                        </w:rPr>
                        <w:t>work plan has four objectives:</w:t>
                      </w:r>
                    </w:p>
                    <w:p w:rsidR="00041C61" w:rsidRDefault="002334CE" w:rsidP="002334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284" w:right="-47" w:hanging="207"/>
                        <w:rPr>
                          <w:rFonts w:ascii="Calibri" w:hAnsi="Calibri" w:cs="Calibri"/>
                          <w:sz w:val="18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1"/>
                        </w:rPr>
                        <w:t>Establishing a common understanding of what is required for humanitarian, development and peace actors to implement the New Way of Working</w:t>
                      </w:r>
                    </w:p>
                    <w:p w:rsidR="00041C61" w:rsidRDefault="00A446FC" w:rsidP="00A446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284" w:right="-47" w:hanging="207"/>
                        <w:rPr>
                          <w:rFonts w:ascii="Calibri" w:hAnsi="Calibri" w:cs="Calibri"/>
                          <w:sz w:val="18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1"/>
                        </w:rPr>
                        <w:t>Review and assess current policy, g</w:t>
                      </w:r>
                      <w:r w:rsidR="002334CE" w:rsidRPr="002334CE">
                        <w:rPr>
                          <w:rFonts w:ascii="Calibri" w:hAnsi="Calibri" w:cs="Calibri"/>
                          <w:sz w:val="18"/>
                          <w:szCs w:val="21"/>
                        </w:rPr>
                        <w:t>uidance and operational tools to identify gaps and best practices</w:t>
                      </w:r>
                    </w:p>
                    <w:p w:rsidR="00041C61" w:rsidRDefault="002334CE" w:rsidP="002334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284" w:right="-47" w:hanging="207"/>
                        <w:rPr>
                          <w:rFonts w:ascii="Calibri" w:hAnsi="Calibri" w:cs="Calibri"/>
                          <w:sz w:val="18"/>
                          <w:szCs w:val="21"/>
                        </w:rPr>
                      </w:pPr>
                      <w:r w:rsidRPr="002334CE">
                        <w:rPr>
                          <w:rFonts w:ascii="Calibri" w:hAnsi="Calibri" w:cs="Calibri"/>
                          <w:sz w:val="18"/>
                          <w:szCs w:val="21"/>
                        </w:rPr>
                        <w:t>Jointly work with UNDG</w:t>
                      </w:r>
                      <w:r>
                        <w:rPr>
                          <w:rFonts w:ascii="Calibri" w:hAnsi="Calibri" w:cs="Calibri"/>
                          <w:sz w:val="18"/>
                          <w:szCs w:val="21"/>
                        </w:rPr>
                        <w:t xml:space="preserve"> and its subsidiary bodies</w:t>
                      </w:r>
                      <w:r w:rsidRPr="002334CE">
                        <w:rPr>
                          <w:rFonts w:ascii="Calibri" w:hAnsi="Calibri" w:cs="Calibri"/>
                          <w:sz w:val="18"/>
                          <w:szCs w:val="21"/>
                        </w:rPr>
                        <w:t xml:space="preserve"> on refining and expanding on joint principles towards Collective Outcomes</w:t>
                      </w:r>
                    </w:p>
                    <w:p w:rsidR="002334CE" w:rsidRPr="00AF1E08" w:rsidRDefault="00A446FC" w:rsidP="00A446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284" w:right="-47" w:hanging="207"/>
                        <w:rPr>
                          <w:rFonts w:ascii="Calibri" w:hAnsi="Calibri" w:cs="Calibri"/>
                          <w:sz w:val="18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1"/>
                        </w:rPr>
                        <w:t>Provide multi-agency technical support to country teams that express interest in implementing the New Way of Working.</w:t>
                      </w:r>
                    </w:p>
                    <w:p w:rsidR="00041C61" w:rsidRDefault="00041C61"/>
                  </w:txbxContent>
                </v:textbox>
                <w10:wrap anchorx="margin"/>
              </v:shape>
            </w:pict>
          </mc:Fallback>
        </mc:AlternateContent>
      </w:r>
    </w:p>
    <w:p w:rsidR="00041C61" w:rsidRPr="00613B87" w:rsidRDefault="00041C61" w:rsidP="00041C61">
      <w:pPr>
        <w:rPr>
          <w:color w:val="000000" w:themeColor="text1"/>
        </w:rPr>
      </w:pPr>
    </w:p>
    <w:p w:rsidR="00041C61" w:rsidRPr="00613B87" w:rsidRDefault="00041C61" w:rsidP="00041C61">
      <w:pPr>
        <w:rPr>
          <w:color w:val="000000" w:themeColor="text1"/>
        </w:rPr>
      </w:pPr>
    </w:p>
    <w:p w:rsidR="00041C61" w:rsidRPr="00613B87" w:rsidRDefault="0089341C" w:rsidP="00041C61">
      <w:pPr>
        <w:rPr>
          <w:color w:val="000000" w:themeColor="text1"/>
        </w:rPr>
      </w:pPr>
      <w:r w:rsidRPr="00613B87">
        <w:rPr>
          <w:rFonts w:ascii="Arial" w:hAnsi="Arial" w:cs="Arial"/>
          <w:bCs/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F28BB7" wp14:editId="09E6A7CD">
                <wp:simplePos x="0" y="0"/>
                <wp:positionH relativeFrom="column">
                  <wp:posOffset>2340610</wp:posOffset>
                </wp:positionH>
                <wp:positionV relativeFrom="paragraph">
                  <wp:posOffset>19685</wp:posOffset>
                </wp:positionV>
                <wp:extent cx="2403475" cy="273685"/>
                <wp:effectExtent l="0" t="0" r="1587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27368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2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F4E0E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C61" w:rsidRPr="00FD1C55" w:rsidRDefault="00041C61" w:rsidP="00041C61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Theme="minorHAnsi" w:eastAsia="Calibri" w:hAnsiTheme="minorHAnsi" w:cs="Calibri"/>
                                <w:b/>
                                <w:sz w:val="24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Theme="minorHAnsi" w:eastAsia="Calibri" w:hAnsiTheme="minorHAnsi" w:cs="Calibri"/>
                                <w:b/>
                                <w:sz w:val="24"/>
                                <w:szCs w:val="20"/>
                                <w:u w:color="000000"/>
                              </w:rPr>
                              <w:t>General 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28BB7" id="_x0000_s1028" type="#_x0000_t202" style="position:absolute;margin-left:184.3pt;margin-top:1.55pt;width:189.25pt;height:2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" fillcolor="#f2dbdb [661]" strokecolor="#f4e0e0">
                <v:fill r:id="rId8" o:title="" color2="white [3212]" type="pattern"/>
                <v:textbox>
                  <w:txbxContent>
                    <w:p w:rsidR="00041C61" w:rsidRPr="00FD1C55" w:rsidRDefault="00041C61" w:rsidP="00041C61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Theme="minorHAnsi" w:eastAsia="Calibri" w:hAnsiTheme="minorHAnsi" w:cs="Calibri"/>
                          <w:b/>
                          <w:sz w:val="24"/>
                          <w:szCs w:val="20"/>
                          <w:u w:color="000000"/>
                        </w:rPr>
                      </w:pPr>
                      <w:r>
                        <w:rPr>
                          <w:rFonts w:asciiTheme="minorHAnsi" w:eastAsia="Calibri" w:hAnsiTheme="minorHAnsi" w:cs="Calibri"/>
                          <w:b/>
                          <w:sz w:val="24"/>
                          <w:szCs w:val="20"/>
                          <w:u w:color="000000"/>
                        </w:rPr>
                        <w:t>General Achievements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5C3413" w:rsidRPr="00613B87" w:rsidRDefault="008C7A1B" w:rsidP="00FA0F0E">
      <w:pPr>
        <w:pStyle w:val="NoSpacing"/>
        <w:numPr>
          <w:ilvl w:val="0"/>
          <w:numId w:val="2"/>
        </w:numPr>
        <w:spacing w:after="80"/>
        <w:ind w:left="426" w:right="284" w:hanging="284"/>
        <w:jc w:val="both"/>
        <w:rPr>
          <w:color w:val="000000" w:themeColor="text1"/>
          <w:sz w:val="18"/>
          <w:szCs w:val="20"/>
        </w:rPr>
      </w:pPr>
      <w:r w:rsidRPr="00613B87">
        <w:rPr>
          <w:color w:val="000000" w:themeColor="text1"/>
          <w:sz w:val="18"/>
          <w:szCs w:val="20"/>
        </w:rPr>
        <w:t xml:space="preserve">Organized a </w:t>
      </w:r>
      <w:r w:rsidRPr="00613B87">
        <w:rPr>
          <w:b/>
          <w:bCs/>
          <w:color w:val="000000" w:themeColor="text1"/>
          <w:sz w:val="18"/>
          <w:szCs w:val="20"/>
        </w:rPr>
        <w:t>joint IASC</w:t>
      </w:r>
      <w:r w:rsidR="002334CE" w:rsidRPr="00613B87">
        <w:rPr>
          <w:b/>
          <w:bCs/>
          <w:color w:val="000000" w:themeColor="text1"/>
          <w:sz w:val="18"/>
          <w:szCs w:val="20"/>
        </w:rPr>
        <w:t>–UNDG workshop</w:t>
      </w:r>
      <w:r w:rsidRPr="00613B87">
        <w:rPr>
          <w:color w:val="000000" w:themeColor="text1"/>
          <w:sz w:val="18"/>
          <w:szCs w:val="20"/>
        </w:rPr>
        <w:t>, the first of its kind, to</w:t>
      </w:r>
      <w:r w:rsidR="002334CE" w:rsidRPr="00613B87">
        <w:rPr>
          <w:color w:val="000000" w:themeColor="text1"/>
          <w:sz w:val="18"/>
          <w:szCs w:val="20"/>
        </w:rPr>
        <w:t xml:space="preserve"> outline a roadmap for collective engagement and a plan of action for implementing the step changes required to</w:t>
      </w:r>
      <w:r w:rsidRPr="00613B87">
        <w:rPr>
          <w:color w:val="000000" w:themeColor="text1"/>
          <w:sz w:val="18"/>
          <w:szCs w:val="20"/>
        </w:rPr>
        <w:t xml:space="preserve"> advance the New Way of Working.</w:t>
      </w:r>
    </w:p>
    <w:p w:rsidR="00041C61" w:rsidRPr="00613B87" w:rsidRDefault="002334CE" w:rsidP="00A446FC">
      <w:pPr>
        <w:pStyle w:val="NoSpacing"/>
        <w:numPr>
          <w:ilvl w:val="0"/>
          <w:numId w:val="2"/>
        </w:numPr>
        <w:spacing w:after="80"/>
        <w:ind w:left="426" w:right="284" w:hanging="284"/>
        <w:jc w:val="both"/>
        <w:rPr>
          <w:color w:val="000000" w:themeColor="text1"/>
          <w:sz w:val="18"/>
          <w:szCs w:val="20"/>
        </w:rPr>
      </w:pPr>
      <w:r w:rsidRPr="00613B87">
        <w:rPr>
          <w:color w:val="000000" w:themeColor="text1"/>
          <w:sz w:val="18"/>
          <w:szCs w:val="20"/>
        </w:rPr>
        <w:t xml:space="preserve">Produced a number </w:t>
      </w:r>
      <w:r w:rsidRPr="00613B87">
        <w:rPr>
          <w:b/>
          <w:bCs/>
          <w:color w:val="000000" w:themeColor="text1"/>
          <w:sz w:val="18"/>
          <w:szCs w:val="20"/>
        </w:rPr>
        <w:t xml:space="preserve">of key documents </w:t>
      </w:r>
      <w:r w:rsidR="00A446FC">
        <w:rPr>
          <w:b/>
          <w:bCs/>
          <w:color w:val="000000" w:themeColor="text1"/>
          <w:sz w:val="18"/>
          <w:szCs w:val="20"/>
        </w:rPr>
        <w:t>to advance</w:t>
      </w:r>
      <w:r w:rsidRPr="00613B87">
        <w:rPr>
          <w:b/>
          <w:bCs/>
          <w:color w:val="000000" w:themeColor="text1"/>
          <w:sz w:val="18"/>
          <w:szCs w:val="20"/>
        </w:rPr>
        <w:t xml:space="preserve"> a common understanding</w:t>
      </w:r>
      <w:r w:rsidR="00A446FC">
        <w:rPr>
          <w:b/>
          <w:bCs/>
          <w:color w:val="000000" w:themeColor="text1"/>
          <w:sz w:val="18"/>
          <w:szCs w:val="20"/>
        </w:rPr>
        <w:t xml:space="preserve">: </w:t>
      </w:r>
      <w:r w:rsidR="00A446FC" w:rsidRPr="00A446FC">
        <w:rPr>
          <w:color w:val="000000" w:themeColor="text1"/>
          <w:sz w:val="18"/>
          <w:szCs w:val="20"/>
        </w:rPr>
        <w:t>including</w:t>
      </w:r>
      <w:r w:rsidRPr="00613B87">
        <w:rPr>
          <w:color w:val="000000" w:themeColor="text1"/>
          <w:sz w:val="18"/>
          <w:szCs w:val="20"/>
        </w:rPr>
        <w:t xml:space="preserve"> </w:t>
      </w:r>
      <w:r w:rsidR="00A446FC">
        <w:rPr>
          <w:color w:val="000000" w:themeColor="text1"/>
          <w:sz w:val="18"/>
          <w:szCs w:val="20"/>
        </w:rPr>
        <w:t>a mapping of</w:t>
      </w:r>
      <w:r w:rsidRPr="00613B87">
        <w:rPr>
          <w:color w:val="000000" w:themeColor="text1"/>
          <w:sz w:val="18"/>
          <w:szCs w:val="20"/>
        </w:rPr>
        <w:t xml:space="preserve"> existing operational and guidance documents on the </w:t>
      </w:r>
      <w:r w:rsidR="00A446FC">
        <w:rPr>
          <w:color w:val="000000" w:themeColor="text1"/>
          <w:sz w:val="18"/>
          <w:szCs w:val="20"/>
        </w:rPr>
        <w:t>HDN;</w:t>
      </w:r>
      <w:r w:rsidRPr="00613B87">
        <w:rPr>
          <w:color w:val="000000" w:themeColor="text1"/>
          <w:sz w:val="18"/>
          <w:szCs w:val="20"/>
        </w:rPr>
        <w:t xml:space="preserve"> wha</w:t>
      </w:r>
      <w:r w:rsidR="00A446FC">
        <w:rPr>
          <w:color w:val="000000" w:themeColor="text1"/>
          <w:sz w:val="18"/>
          <w:szCs w:val="20"/>
        </w:rPr>
        <w:t xml:space="preserve">t the </w:t>
      </w:r>
      <w:r w:rsidR="00831F26" w:rsidRPr="00613B87">
        <w:rPr>
          <w:color w:val="000000" w:themeColor="text1"/>
          <w:sz w:val="18"/>
          <w:szCs w:val="20"/>
        </w:rPr>
        <w:t>New Way of Working</w:t>
      </w:r>
      <w:r w:rsidR="00831F26" w:rsidDel="00831F26">
        <w:rPr>
          <w:color w:val="000000" w:themeColor="text1"/>
          <w:sz w:val="18"/>
          <w:szCs w:val="20"/>
        </w:rPr>
        <w:t xml:space="preserve"> </w:t>
      </w:r>
      <w:r w:rsidRPr="00613B87">
        <w:rPr>
          <w:color w:val="000000" w:themeColor="text1"/>
          <w:sz w:val="18"/>
          <w:szCs w:val="20"/>
        </w:rPr>
        <w:t>means in practice, and the types of scenarios in which these could be applied.</w:t>
      </w:r>
    </w:p>
    <w:p w:rsidR="00041C61" w:rsidRPr="00613B87" w:rsidRDefault="00041C61" w:rsidP="00FA0F0E">
      <w:pPr>
        <w:pStyle w:val="NoSpacing"/>
        <w:numPr>
          <w:ilvl w:val="0"/>
          <w:numId w:val="2"/>
        </w:numPr>
        <w:spacing w:after="80"/>
        <w:ind w:left="426" w:right="284" w:hanging="284"/>
        <w:jc w:val="both"/>
        <w:rPr>
          <w:color w:val="000000" w:themeColor="text1"/>
          <w:sz w:val="18"/>
          <w:szCs w:val="20"/>
        </w:rPr>
      </w:pPr>
      <w:r w:rsidRPr="00613B87">
        <w:rPr>
          <w:color w:val="000000" w:themeColor="text1"/>
          <w:sz w:val="18"/>
          <w:szCs w:val="20"/>
        </w:rPr>
        <w:t>Worked as a forum prov</w:t>
      </w:r>
      <w:r w:rsidR="005C3413" w:rsidRPr="00613B87">
        <w:rPr>
          <w:color w:val="000000" w:themeColor="text1"/>
          <w:sz w:val="18"/>
          <w:szCs w:val="20"/>
        </w:rPr>
        <w:t>iding technical inputs and advic</w:t>
      </w:r>
      <w:r w:rsidRPr="00613B87">
        <w:rPr>
          <w:color w:val="000000" w:themeColor="text1"/>
          <w:sz w:val="18"/>
          <w:szCs w:val="20"/>
        </w:rPr>
        <w:t xml:space="preserve">e on the organisation of </w:t>
      </w:r>
      <w:r w:rsidR="002334CE" w:rsidRPr="00613B87">
        <w:rPr>
          <w:b/>
          <w:color w:val="000000" w:themeColor="text1"/>
          <w:sz w:val="18"/>
          <w:szCs w:val="20"/>
        </w:rPr>
        <w:t>Regional and Global Policy Forums on the New Way of Working</w:t>
      </w:r>
    </w:p>
    <w:p w:rsidR="00041C61" w:rsidRPr="00613B87" w:rsidRDefault="00F425BD" w:rsidP="00FA0F0E">
      <w:pPr>
        <w:pStyle w:val="NoSpacing"/>
        <w:numPr>
          <w:ilvl w:val="0"/>
          <w:numId w:val="2"/>
        </w:numPr>
        <w:spacing w:after="80"/>
        <w:ind w:left="426" w:right="284" w:hanging="284"/>
        <w:jc w:val="both"/>
        <w:rPr>
          <w:color w:val="000000" w:themeColor="text1"/>
          <w:sz w:val="18"/>
          <w:szCs w:val="20"/>
        </w:rPr>
      </w:pPr>
      <w:r w:rsidRPr="00613B87">
        <w:rPr>
          <w:rFonts w:ascii="Arial" w:hAnsi="Arial" w:cs="Arial"/>
          <w:bCs/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02EFF52" wp14:editId="6605C19B">
                <wp:simplePos x="0" y="0"/>
                <wp:positionH relativeFrom="column">
                  <wp:posOffset>3810</wp:posOffset>
                </wp:positionH>
                <wp:positionV relativeFrom="paragraph">
                  <wp:posOffset>494665</wp:posOffset>
                </wp:positionV>
                <wp:extent cx="3484880" cy="273685"/>
                <wp:effectExtent l="0" t="0" r="20320" b="120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27368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2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F4E0E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C61" w:rsidRPr="0089341C" w:rsidRDefault="0089341C" w:rsidP="00041C61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Theme="minorHAnsi" w:eastAsia="Calibri" w:hAnsiTheme="minorHAnsi" w:cs="Calibri"/>
                                <w:b/>
                                <w:sz w:val="24"/>
                                <w:szCs w:val="20"/>
                                <w:u w:color="000000"/>
                                <w:lang w:val="en-GB"/>
                              </w:rPr>
                            </w:pPr>
                            <w:r>
                              <w:rPr>
                                <w:rFonts w:asciiTheme="minorHAnsi" w:eastAsia="Calibri" w:hAnsiTheme="minorHAnsi" w:cs="Calibri"/>
                                <w:b/>
                                <w:sz w:val="24"/>
                                <w:szCs w:val="20"/>
                                <w:u w:color="000000"/>
                                <w:lang w:val="en-GB"/>
                              </w:rPr>
                              <w:t>Establish</w:t>
                            </w:r>
                            <w:r w:rsidR="006307E3">
                              <w:rPr>
                                <w:rFonts w:asciiTheme="minorHAnsi" w:eastAsia="Calibri" w:hAnsiTheme="minorHAnsi" w:cs="Calibri"/>
                                <w:b/>
                                <w:sz w:val="24"/>
                                <w:szCs w:val="20"/>
                                <w:u w:color="000000"/>
                                <w:lang w:val="en-GB"/>
                              </w:rPr>
                              <w:t>ing a</w:t>
                            </w:r>
                            <w:r>
                              <w:rPr>
                                <w:rFonts w:asciiTheme="minorHAnsi" w:eastAsia="Calibri" w:hAnsiTheme="minorHAnsi" w:cs="Calibri"/>
                                <w:b/>
                                <w:sz w:val="24"/>
                                <w:szCs w:val="20"/>
                                <w:u w:color="000000"/>
                                <w:lang w:val="en-GB"/>
                              </w:rPr>
                              <w:t xml:space="preserve"> Common Narrative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EFF52" id="_x0000_s1029" type="#_x0000_t202" style="position:absolute;left:0;text-align:left;margin-left:.3pt;margin-top:38.95pt;width:274.4pt;height:21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" fillcolor="#f2dbdb [661]" strokecolor="#f4e0e0">
                <v:fill r:id="rId8" o:title="" color2="white [3212]" type="pattern"/>
                <v:textbox>
                  <w:txbxContent>
                    <w:p w:rsidR="00041C61" w:rsidRPr="0089341C" w:rsidRDefault="0089341C" w:rsidP="00041C61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Theme="minorHAnsi" w:eastAsia="Calibri" w:hAnsiTheme="minorHAnsi" w:cs="Calibri"/>
                          <w:b/>
                          <w:sz w:val="24"/>
                          <w:szCs w:val="20"/>
                          <w:u w:color="000000"/>
                          <w:lang w:val="en-GB"/>
                        </w:rPr>
                      </w:pPr>
                      <w:r>
                        <w:rPr>
                          <w:rFonts w:asciiTheme="minorHAnsi" w:eastAsia="Calibri" w:hAnsiTheme="minorHAnsi" w:cs="Calibri"/>
                          <w:b/>
                          <w:sz w:val="24"/>
                          <w:szCs w:val="20"/>
                          <w:u w:color="000000"/>
                          <w:lang w:val="en-GB"/>
                        </w:rPr>
                        <w:t>Establish</w:t>
                      </w:r>
                      <w:r w:rsidR="006307E3">
                        <w:rPr>
                          <w:rFonts w:asciiTheme="minorHAnsi" w:eastAsia="Calibri" w:hAnsiTheme="minorHAnsi" w:cs="Calibri"/>
                          <w:b/>
                          <w:sz w:val="24"/>
                          <w:szCs w:val="20"/>
                          <w:u w:color="000000"/>
                          <w:lang w:val="en-GB"/>
                        </w:rPr>
                        <w:t>ing a</w:t>
                      </w:r>
                      <w:r>
                        <w:rPr>
                          <w:rFonts w:asciiTheme="minorHAnsi" w:eastAsia="Calibri" w:hAnsiTheme="minorHAnsi" w:cs="Calibri"/>
                          <w:b/>
                          <w:sz w:val="24"/>
                          <w:szCs w:val="20"/>
                          <w:u w:color="000000"/>
                          <w:lang w:val="en-GB"/>
                        </w:rPr>
                        <w:t xml:space="preserve"> Common Narrative</w:t>
                      </w:r>
                    </w:p>
                  </w:txbxContent>
                </v:textbox>
              </v:shape>
            </w:pict>
          </mc:Fallback>
        </mc:AlternateContent>
      </w:r>
      <w:r w:rsidR="00041C61" w:rsidRPr="00613B87">
        <w:rPr>
          <w:color w:val="000000" w:themeColor="text1"/>
          <w:sz w:val="18"/>
          <w:szCs w:val="20"/>
        </w:rPr>
        <w:t xml:space="preserve">Strengthened the </w:t>
      </w:r>
      <w:r w:rsidR="00041C61" w:rsidRPr="00613B87">
        <w:rPr>
          <w:b/>
          <w:bCs/>
          <w:color w:val="000000" w:themeColor="text1"/>
          <w:sz w:val="18"/>
          <w:szCs w:val="20"/>
        </w:rPr>
        <w:t xml:space="preserve">cooperation between IASC and </w:t>
      </w:r>
      <w:r w:rsidR="005C3413" w:rsidRPr="00613B87">
        <w:rPr>
          <w:b/>
          <w:bCs/>
          <w:color w:val="000000" w:themeColor="text1"/>
          <w:sz w:val="18"/>
          <w:szCs w:val="20"/>
        </w:rPr>
        <w:t>related mechanisms</w:t>
      </w:r>
      <w:r w:rsidR="00041C61" w:rsidRPr="00613B87">
        <w:rPr>
          <w:color w:val="000000" w:themeColor="text1"/>
          <w:sz w:val="18"/>
          <w:szCs w:val="20"/>
        </w:rPr>
        <w:t xml:space="preserve"> through effective information exchange, participation by co-chairs of </w:t>
      </w:r>
      <w:r w:rsidR="0089341C" w:rsidRPr="00613B87">
        <w:rPr>
          <w:color w:val="000000" w:themeColor="text1"/>
          <w:sz w:val="18"/>
          <w:szCs w:val="20"/>
        </w:rPr>
        <w:t xml:space="preserve">HDN TT </w:t>
      </w:r>
      <w:r w:rsidR="00041C61" w:rsidRPr="00613B87">
        <w:rPr>
          <w:color w:val="000000" w:themeColor="text1"/>
          <w:sz w:val="18"/>
          <w:szCs w:val="20"/>
        </w:rPr>
        <w:t>in annual retreats</w:t>
      </w:r>
      <w:r w:rsidR="005C3413" w:rsidRPr="00613B87">
        <w:rPr>
          <w:color w:val="000000" w:themeColor="text1"/>
          <w:sz w:val="18"/>
          <w:szCs w:val="20"/>
        </w:rPr>
        <w:t>, meetings, and processes of those</w:t>
      </w:r>
      <w:r w:rsidR="00041C61" w:rsidRPr="00613B87">
        <w:rPr>
          <w:color w:val="000000" w:themeColor="text1"/>
          <w:sz w:val="18"/>
          <w:szCs w:val="20"/>
        </w:rPr>
        <w:t xml:space="preserve"> groups</w:t>
      </w:r>
      <w:r w:rsidR="005C3413" w:rsidRPr="00613B87">
        <w:rPr>
          <w:color w:val="000000" w:themeColor="text1"/>
          <w:sz w:val="18"/>
          <w:szCs w:val="20"/>
        </w:rPr>
        <w:t xml:space="preserve"> (IASC RG on MCHUA, IASC TT on Humanitarian Financing, Sphere Standards revision process, </w:t>
      </w:r>
      <w:r w:rsidR="00EB2794">
        <w:rPr>
          <w:color w:val="000000" w:themeColor="text1"/>
          <w:sz w:val="18"/>
          <w:szCs w:val="20"/>
        </w:rPr>
        <w:t xml:space="preserve">UNDG WGT Annual Retreat, </w:t>
      </w:r>
      <w:r w:rsidR="005C3413" w:rsidRPr="00613B87">
        <w:rPr>
          <w:color w:val="000000" w:themeColor="text1"/>
          <w:sz w:val="18"/>
          <w:szCs w:val="20"/>
        </w:rPr>
        <w:t xml:space="preserve">GHD, </w:t>
      </w:r>
      <w:r w:rsidR="00EB2794">
        <w:rPr>
          <w:color w:val="000000" w:themeColor="text1"/>
          <w:sz w:val="18"/>
          <w:szCs w:val="20"/>
        </w:rPr>
        <w:t xml:space="preserve">ICVA Webinar on recent developments in the HDP Nexus discussions, </w:t>
      </w:r>
      <w:r w:rsidR="005C3413" w:rsidRPr="00613B87">
        <w:rPr>
          <w:color w:val="000000" w:themeColor="text1"/>
          <w:sz w:val="18"/>
          <w:szCs w:val="20"/>
        </w:rPr>
        <w:t>Grand Bargain)</w:t>
      </w:r>
    </w:p>
    <w:p w:rsidR="00041C61" w:rsidRPr="00613B87" w:rsidRDefault="00041C61" w:rsidP="00041C61">
      <w:pPr>
        <w:pStyle w:val="NoSpacing"/>
        <w:numPr>
          <w:ilvl w:val="0"/>
          <w:numId w:val="2"/>
        </w:numPr>
        <w:ind w:left="284" w:hanging="284"/>
        <w:jc w:val="both"/>
        <w:rPr>
          <w:color w:val="000000" w:themeColor="text1"/>
          <w:sz w:val="18"/>
          <w:szCs w:val="20"/>
        </w:rPr>
        <w:sectPr w:rsidR="00041C61" w:rsidRPr="00613B87" w:rsidSect="004B054A">
          <w:pgSz w:w="11906" w:h="16838"/>
          <w:pgMar w:top="567" w:right="284" w:bottom="567" w:left="284" w:header="709" w:footer="709" w:gutter="0"/>
          <w:cols w:space="708"/>
          <w:docGrid w:linePitch="360"/>
        </w:sectPr>
      </w:pPr>
    </w:p>
    <w:p w:rsidR="00041C61" w:rsidRPr="00613B87" w:rsidRDefault="00EB2794" w:rsidP="00041C61">
      <w:pPr>
        <w:pStyle w:val="ListParagraph"/>
        <w:rPr>
          <w:color w:val="000000" w:themeColor="text1"/>
          <w:sz w:val="18"/>
          <w:szCs w:val="20"/>
        </w:rPr>
      </w:pPr>
      <w:r w:rsidRPr="00613B87">
        <w:rPr>
          <w:rFonts w:ascii="Arial" w:hAnsi="Arial" w:cs="Arial"/>
          <w:bCs/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7EAD2B3" wp14:editId="36A1FC0A">
                <wp:simplePos x="0" y="0"/>
                <wp:positionH relativeFrom="margin">
                  <wp:posOffset>3744576</wp:posOffset>
                </wp:positionH>
                <wp:positionV relativeFrom="paragraph">
                  <wp:posOffset>6672</wp:posOffset>
                </wp:positionV>
                <wp:extent cx="3467735" cy="287020"/>
                <wp:effectExtent l="0" t="0" r="18415" b="177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735" cy="28702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2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F4E0E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C61" w:rsidRPr="0065090C" w:rsidRDefault="001800CB" w:rsidP="00041C61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Theme="minorHAnsi" w:eastAsia="Calibri" w:hAnsiTheme="minorHAnsi" w:cs="Calibri"/>
                                <w:b/>
                                <w:sz w:val="24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Theme="minorHAnsi" w:eastAsia="Calibri" w:hAnsiTheme="minorHAnsi" w:cs="Calibri"/>
                                <w:b/>
                                <w:sz w:val="24"/>
                                <w:szCs w:val="20"/>
                                <w:u w:color="000000"/>
                              </w:rPr>
                              <w:t>Country and Field Support</w:t>
                            </w:r>
                          </w:p>
                          <w:p w:rsidR="00041C61" w:rsidRPr="00FD1C55" w:rsidRDefault="00041C61" w:rsidP="00041C61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eastAsia="Calibri" w:hAnsiTheme="minorHAnsi" w:cs="Calibri"/>
                                <w:b/>
                                <w:sz w:val="24"/>
                                <w:szCs w:val="20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AD2B3" id="_x0000_s1030" type="#_x0000_t202" style="position:absolute;left:0;text-align:left;margin-left:294.85pt;margin-top:.55pt;width:273.05pt;height:22.6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" fillcolor="#f2dbdb [661]" strokecolor="#f4e0e0">
                <v:fill r:id="rId8" o:title="" color2="white [3212]" type="pattern"/>
                <v:textbox>
                  <w:txbxContent>
                    <w:p w:rsidR="00041C61" w:rsidRPr="0065090C" w:rsidRDefault="001800CB" w:rsidP="00041C61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Theme="minorHAnsi" w:eastAsia="Calibri" w:hAnsiTheme="minorHAnsi" w:cs="Calibri"/>
                          <w:b/>
                          <w:sz w:val="24"/>
                          <w:szCs w:val="20"/>
                          <w:u w:color="000000"/>
                        </w:rPr>
                      </w:pPr>
                      <w:r>
                        <w:rPr>
                          <w:rFonts w:asciiTheme="minorHAnsi" w:eastAsia="Calibri" w:hAnsiTheme="minorHAnsi" w:cs="Calibri"/>
                          <w:b/>
                          <w:sz w:val="24"/>
                          <w:szCs w:val="20"/>
                          <w:u w:color="000000"/>
                        </w:rPr>
                        <w:t>Country and Field Support</w:t>
                      </w:r>
                    </w:p>
                    <w:p w:rsidR="00041C61" w:rsidRPr="00FD1C55" w:rsidRDefault="00041C61" w:rsidP="00041C61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eastAsia="Calibri" w:hAnsiTheme="minorHAnsi" w:cs="Calibri"/>
                          <w:b/>
                          <w:sz w:val="24"/>
                          <w:szCs w:val="20"/>
                          <w:u w:color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1C61" w:rsidRPr="00613B87" w:rsidRDefault="00041C61" w:rsidP="00041C61">
      <w:pPr>
        <w:pStyle w:val="ListParagraph"/>
        <w:rPr>
          <w:color w:val="000000" w:themeColor="text1"/>
          <w:sz w:val="18"/>
          <w:szCs w:val="20"/>
        </w:rPr>
      </w:pPr>
    </w:p>
    <w:p w:rsidR="00041C61" w:rsidRPr="00613B87" w:rsidRDefault="00041C61" w:rsidP="00041C61">
      <w:pPr>
        <w:pStyle w:val="NoSpacing"/>
        <w:ind w:left="284"/>
        <w:jc w:val="both"/>
        <w:rPr>
          <w:color w:val="000000" w:themeColor="text1"/>
          <w:sz w:val="18"/>
          <w:szCs w:val="20"/>
        </w:rPr>
      </w:pPr>
    </w:p>
    <w:p w:rsidR="00D31277" w:rsidRPr="00613B87" w:rsidRDefault="00D31277" w:rsidP="00A446FC">
      <w:pPr>
        <w:pStyle w:val="NoSpacing"/>
        <w:numPr>
          <w:ilvl w:val="0"/>
          <w:numId w:val="2"/>
        </w:numPr>
        <w:spacing w:after="80"/>
        <w:ind w:left="426" w:hanging="284"/>
        <w:jc w:val="both"/>
        <w:rPr>
          <w:color w:val="000000" w:themeColor="text1"/>
          <w:sz w:val="18"/>
          <w:szCs w:val="20"/>
        </w:rPr>
      </w:pPr>
      <w:r w:rsidRPr="00613B87">
        <w:rPr>
          <w:color w:val="000000" w:themeColor="text1"/>
          <w:sz w:val="18"/>
          <w:szCs w:val="20"/>
        </w:rPr>
        <w:t xml:space="preserve">Along with the support team of the co-chairs of the Working Group on Transitions, the HDN TT is in the process of developing a series of key messages on the New Way of Working. Building on bilateral meetings held with various agencies, this document presents a </w:t>
      </w:r>
      <w:r w:rsidRPr="00613B87">
        <w:rPr>
          <w:b/>
          <w:bCs/>
          <w:color w:val="000000" w:themeColor="text1"/>
          <w:sz w:val="18"/>
          <w:szCs w:val="20"/>
        </w:rPr>
        <w:t>shared view of the context, challenges and, opportunities</w:t>
      </w:r>
      <w:r w:rsidRPr="00613B87">
        <w:rPr>
          <w:color w:val="000000" w:themeColor="text1"/>
          <w:sz w:val="18"/>
          <w:szCs w:val="20"/>
        </w:rPr>
        <w:t xml:space="preserve"> related to implementing the </w:t>
      </w:r>
      <w:r w:rsidR="00831F26">
        <w:rPr>
          <w:color w:val="000000" w:themeColor="text1"/>
          <w:sz w:val="18"/>
          <w:szCs w:val="20"/>
        </w:rPr>
        <w:t>New Way of Working</w:t>
      </w:r>
      <w:r w:rsidRPr="00613B87">
        <w:rPr>
          <w:color w:val="000000" w:themeColor="text1"/>
          <w:sz w:val="18"/>
          <w:szCs w:val="20"/>
        </w:rPr>
        <w:t>.</w:t>
      </w:r>
    </w:p>
    <w:p w:rsidR="00041C61" w:rsidRPr="00613B87" w:rsidRDefault="00622075" w:rsidP="00A446FC">
      <w:pPr>
        <w:pStyle w:val="NoSpacing"/>
        <w:numPr>
          <w:ilvl w:val="0"/>
          <w:numId w:val="2"/>
        </w:numPr>
        <w:spacing w:after="80"/>
        <w:ind w:left="426" w:hanging="284"/>
        <w:jc w:val="both"/>
        <w:rPr>
          <w:color w:val="000000" w:themeColor="text1"/>
          <w:sz w:val="18"/>
          <w:szCs w:val="20"/>
        </w:rPr>
      </w:pPr>
      <w:r w:rsidRPr="00613B87">
        <w:rPr>
          <w:rFonts w:ascii="Arial" w:hAnsi="Arial" w:cs="Arial"/>
          <w:bCs/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F4ECB65" wp14:editId="0CDDD1A3">
                <wp:simplePos x="0" y="0"/>
                <wp:positionH relativeFrom="margin">
                  <wp:posOffset>3710940</wp:posOffset>
                </wp:positionH>
                <wp:positionV relativeFrom="paragraph">
                  <wp:posOffset>485320</wp:posOffset>
                </wp:positionV>
                <wp:extent cx="3473450" cy="267335"/>
                <wp:effectExtent l="0" t="0" r="12700" b="184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0" cy="26733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2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F4E0E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C61" w:rsidRPr="0089341C" w:rsidRDefault="00B01C0C" w:rsidP="00B01C0C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Theme="minorHAnsi" w:eastAsia="Calibri" w:hAnsiTheme="minorHAnsi" w:cs="Calibri"/>
                                <w:b/>
                                <w:sz w:val="24"/>
                                <w:szCs w:val="20"/>
                                <w:u w:color="000000"/>
                                <w:lang w:val="en-GB"/>
                              </w:rPr>
                            </w:pPr>
                            <w:r>
                              <w:rPr>
                                <w:rFonts w:asciiTheme="minorHAnsi" w:eastAsia="Calibri" w:hAnsiTheme="minorHAnsi" w:cs="Calibri"/>
                                <w:b/>
                                <w:sz w:val="24"/>
                                <w:szCs w:val="20"/>
                                <w:u w:color="000000"/>
                                <w:lang w:val="en-GB"/>
                              </w:rPr>
                              <w:t>Linkages with Other Bodies &amp; Mechanisms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ECB65" id="_x0000_s1031" type="#_x0000_t202" style="position:absolute;left:0;text-align:left;margin-left:292.2pt;margin-top:38.2pt;width:273.5pt;height:21.0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" fillcolor="#f2dbdb [661]" strokecolor="#f4e0e0">
                <v:fill r:id="rId8" o:title="" color2="white [3212]" type="pattern"/>
                <v:textbox>
                  <w:txbxContent>
                    <w:p w:rsidR="00041C61" w:rsidRPr="0089341C" w:rsidRDefault="00B01C0C" w:rsidP="00B01C0C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Theme="minorHAnsi" w:eastAsia="Calibri" w:hAnsiTheme="minorHAnsi" w:cs="Calibri"/>
                          <w:b/>
                          <w:sz w:val="24"/>
                          <w:szCs w:val="20"/>
                          <w:u w:color="000000"/>
                          <w:lang w:val="en-GB"/>
                        </w:rPr>
                      </w:pPr>
                      <w:r>
                        <w:rPr>
                          <w:rFonts w:asciiTheme="minorHAnsi" w:eastAsia="Calibri" w:hAnsiTheme="minorHAnsi" w:cs="Calibri"/>
                          <w:b/>
                          <w:sz w:val="24"/>
                          <w:szCs w:val="20"/>
                          <w:u w:color="000000"/>
                          <w:lang w:val="en-GB"/>
                        </w:rPr>
                        <w:t>Linkages with Other Bodies &amp; Mechanisms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1C0C" w:rsidRPr="00613B87">
        <w:rPr>
          <w:color w:val="000000" w:themeColor="text1"/>
          <w:sz w:val="18"/>
          <w:szCs w:val="20"/>
        </w:rPr>
        <w:t xml:space="preserve">The Task Team currently serves as a repository for tracking and compiling both agency-specific and inter-agency processes related to the </w:t>
      </w:r>
      <w:r w:rsidR="00831F26" w:rsidRPr="00613B87">
        <w:rPr>
          <w:color w:val="000000" w:themeColor="text1"/>
          <w:sz w:val="18"/>
          <w:szCs w:val="20"/>
        </w:rPr>
        <w:t>New Way of Working</w:t>
      </w:r>
      <w:r w:rsidR="00041C61" w:rsidRPr="00613B87">
        <w:rPr>
          <w:color w:val="000000" w:themeColor="text1"/>
          <w:sz w:val="18"/>
          <w:szCs w:val="20"/>
        </w:rPr>
        <w:t xml:space="preserve">. </w:t>
      </w:r>
      <w:r w:rsidR="00D31277" w:rsidRPr="00613B87">
        <w:rPr>
          <w:color w:val="000000" w:themeColor="text1"/>
          <w:sz w:val="18"/>
          <w:szCs w:val="20"/>
        </w:rPr>
        <w:t xml:space="preserve">To this end, the TT keeps a </w:t>
      </w:r>
      <w:r w:rsidR="00D31277" w:rsidRPr="00613B87">
        <w:rPr>
          <w:b/>
          <w:bCs/>
          <w:color w:val="000000" w:themeColor="text1"/>
          <w:sz w:val="18"/>
          <w:szCs w:val="20"/>
        </w:rPr>
        <w:t xml:space="preserve">Mapping of Existing Operational and Guidance Documents </w:t>
      </w:r>
      <w:r w:rsidR="00D31277" w:rsidRPr="00613B87">
        <w:rPr>
          <w:color w:val="000000" w:themeColor="text1"/>
          <w:sz w:val="18"/>
          <w:szCs w:val="20"/>
        </w:rPr>
        <w:t xml:space="preserve">which has served as common reference point and background document for various meetings </w:t>
      </w:r>
      <w:r w:rsidR="00A446FC">
        <w:rPr>
          <w:color w:val="000000" w:themeColor="text1"/>
          <w:sz w:val="18"/>
          <w:szCs w:val="20"/>
        </w:rPr>
        <w:t xml:space="preserve">including </w:t>
      </w:r>
      <w:r w:rsidR="00D31277" w:rsidRPr="00613B87">
        <w:rPr>
          <w:color w:val="000000" w:themeColor="text1"/>
          <w:sz w:val="18"/>
          <w:szCs w:val="20"/>
        </w:rPr>
        <w:t>the Grand Bargain Sherpas meeting.</w:t>
      </w:r>
    </w:p>
    <w:p w:rsidR="00D31277" w:rsidRPr="00613B87" w:rsidRDefault="001A2CF5" w:rsidP="00A446FC">
      <w:pPr>
        <w:pStyle w:val="NoSpacing"/>
        <w:numPr>
          <w:ilvl w:val="0"/>
          <w:numId w:val="2"/>
        </w:numPr>
        <w:spacing w:after="80"/>
        <w:ind w:left="426"/>
        <w:jc w:val="both"/>
        <w:rPr>
          <w:color w:val="000000" w:themeColor="text1"/>
          <w:sz w:val="18"/>
          <w:szCs w:val="20"/>
        </w:rPr>
      </w:pPr>
      <w:r w:rsidRPr="00613B87">
        <w:rPr>
          <w:rFonts w:ascii="Arial" w:hAnsi="Arial" w:cs="Arial"/>
          <w:bCs/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4C01C14" wp14:editId="4901F824">
                <wp:simplePos x="0" y="0"/>
                <wp:positionH relativeFrom="column">
                  <wp:posOffset>35370</wp:posOffset>
                </wp:positionH>
                <wp:positionV relativeFrom="paragraph">
                  <wp:posOffset>737235</wp:posOffset>
                </wp:positionV>
                <wp:extent cx="3477895" cy="274320"/>
                <wp:effectExtent l="0" t="0" r="2730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95" cy="27432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2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F4E0E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C61" w:rsidRPr="0089341C" w:rsidRDefault="0089341C" w:rsidP="001800CB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Theme="minorHAnsi" w:eastAsia="Calibri" w:hAnsiTheme="minorHAnsi" w:cs="Calibri"/>
                                <w:b/>
                                <w:sz w:val="24"/>
                                <w:szCs w:val="20"/>
                                <w:u w:color="000000"/>
                                <w:lang w:val="en-GB"/>
                              </w:rPr>
                            </w:pPr>
                            <w:r>
                              <w:rPr>
                                <w:rFonts w:asciiTheme="minorHAnsi" w:eastAsia="Calibri" w:hAnsiTheme="minorHAnsi" w:cs="Calibri"/>
                                <w:b/>
                                <w:sz w:val="24"/>
                                <w:szCs w:val="20"/>
                                <w:u w:color="000000"/>
                                <w:lang w:val="en-GB"/>
                              </w:rPr>
                              <w:t xml:space="preserve">Joint-work </w:t>
                            </w:r>
                            <w:r w:rsidR="001800CB">
                              <w:rPr>
                                <w:rFonts w:asciiTheme="minorHAnsi" w:eastAsia="Calibri" w:hAnsiTheme="minorHAnsi" w:cs="Calibri"/>
                                <w:b/>
                                <w:sz w:val="24"/>
                                <w:szCs w:val="20"/>
                                <w:u w:color="000000"/>
                                <w:lang w:val="en-GB"/>
                              </w:rPr>
                              <w:t>w/</w:t>
                            </w:r>
                            <w:r>
                              <w:rPr>
                                <w:rFonts w:asciiTheme="minorHAnsi" w:eastAsia="Calibri" w:hAnsiTheme="minorHAnsi" w:cs="Calibri"/>
                                <w:b/>
                                <w:sz w:val="24"/>
                                <w:szCs w:val="20"/>
                                <w:u w:color="000000"/>
                                <w:lang w:val="en-GB"/>
                              </w:rPr>
                              <w:t xml:space="preserve"> UNDG Working Group on </w:t>
                            </w:r>
                            <w:r w:rsidR="001800CB">
                              <w:rPr>
                                <w:rFonts w:asciiTheme="minorHAnsi" w:eastAsia="Calibri" w:hAnsiTheme="minorHAnsi" w:cs="Calibri"/>
                                <w:b/>
                                <w:sz w:val="24"/>
                                <w:szCs w:val="20"/>
                                <w:u w:color="000000"/>
                                <w:lang w:val="en-GB"/>
                              </w:rPr>
                              <w:t>Transitions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01C14" id="_x0000_s1032" type="#_x0000_t202" style="position:absolute;left:0;text-align:left;margin-left:2.8pt;margin-top:58.05pt;width:273.8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" fillcolor="#f2dbdb [661]" strokecolor="#f4e0e0">
                <v:fill r:id="rId8" o:title="" color2="white [3212]" type="pattern"/>
                <v:textbox>
                  <w:txbxContent>
                    <w:p w:rsidR="00041C61" w:rsidRPr="0089341C" w:rsidRDefault="0089341C" w:rsidP="001800CB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Theme="minorHAnsi" w:eastAsia="Calibri" w:hAnsiTheme="minorHAnsi" w:cs="Calibri"/>
                          <w:b/>
                          <w:sz w:val="24"/>
                          <w:szCs w:val="20"/>
                          <w:u w:color="000000"/>
                          <w:lang w:val="en-GB"/>
                        </w:rPr>
                      </w:pPr>
                      <w:r>
                        <w:rPr>
                          <w:rFonts w:asciiTheme="minorHAnsi" w:eastAsia="Calibri" w:hAnsiTheme="minorHAnsi" w:cs="Calibri"/>
                          <w:b/>
                          <w:sz w:val="24"/>
                          <w:szCs w:val="20"/>
                          <w:u w:color="000000"/>
                          <w:lang w:val="en-GB"/>
                        </w:rPr>
                        <w:t xml:space="preserve">Joint-work </w:t>
                      </w:r>
                      <w:r w:rsidR="001800CB">
                        <w:rPr>
                          <w:rFonts w:asciiTheme="minorHAnsi" w:eastAsia="Calibri" w:hAnsiTheme="minorHAnsi" w:cs="Calibri"/>
                          <w:b/>
                          <w:sz w:val="24"/>
                          <w:szCs w:val="20"/>
                          <w:u w:color="000000"/>
                          <w:lang w:val="en-GB"/>
                        </w:rPr>
                        <w:t>w/</w:t>
                      </w:r>
                      <w:r>
                        <w:rPr>
                          <w:rFonts w:asciiTheme="minorHAnsi" w:eastAsia="Calibri" w:hAnsiTheme="minorHAnsi" w:cs="Calibri"/>
                          <w:b/>
                          <w:sz w:val="24"/>
                          <w:szCs w:val="20"/>
                          <w:u w:color="000000"/>
                          <w:lang w:val="en-GB"/>
                        </w:rPr>
                        <w:t xml:space="preserve"> UNDG Working Group on </w:t>
                      </w:r>
                      <w:r w:rsidR="001800CB">
                        <w:rPr>
                          <w:rFonts w:asciiTheme="minorHAnsi" w:eastAsia="Calibri" w:hAnsiTheme="minorHAnsi" w:cs="Calibri"/>
                          <w:b/>
                          <w:sz w:val="24"/>
                          <w:szCs w:val="20"/>
                          <w:u w:color="000000"/>
                          <w:lang w:val="en-GB"/>
                        </w:rPr>
                        <w:t>Transitions</w:t>
                      </w:r>
                    </w:p>
                  </w:txbxContent>
                </v:textbox>
              </v:shape>
            </w:pict>
          </mc:Fallback>
        </mc:AlternateContent>
      </w:r>
      <w:r w:rsidR="00D31277" w:rsidRPr="00613B87">
        <w:rPr>
          <w:color w:val="000000" w:themeColor="text1"/>
          <w:sz w:val="18"/>
          <w:szCs w:val="20"/>
        </w:rPr>
        <w:t xml:space="preserve">Acknowledging that the full extent of collaboration with development and government partners cannot be achieved in all </w:t>
      </w:r>
      <w:r w:rsidR="00A446FC">
        <w:rPr>
          <w:color w:val="000000" w:themeColor="text1"/>
          <w:sz w:val="18"/>
          <w:szCs w:val="20"/>
        </w:rPr>
        <w:t>settings</w:t>
      </w:r>
      <w:r w:rsidR="00D31277" w:rsidRPr="00613B87">
        <w:rPr>
          <w:color w:val="000000" w:themeColor="text1"/>
          <w:sz w:val="18"/>
          <w:szCs w:val="20"/>
        </w:rPr>
        <w:t xml:space="preserve">, a draft </w:t>
      </w:r>
      <w:r w:rsidR="00D31277" w:rsidRPr="00613B87">
        <w:rPr>
          <w:b/>
          <w:bCs/>
          <w:color w:val="000000" w:themeColor="text1"/>
          <w:sz w:val="18"/>
          <w:szCs w:val="20"/>
        </w:rPr>
        <w:t>paper on typologies of response scenarios</w:t>
      </w:r>
      <w:r w:rsidR="00D31277" w:rsidRPr="00613B87">
        <w:rPr>
          <w:color w:val="000000" w:themeColor="text1"/>
          <w:sz w:val="18"/>
          <w:szCs w:val="20"/>
        </w:rPr>
        <w:t xml:space="preserve"> was developed to frame the discussions during the joint IASC-UNDG workshop on the humanitarian development Nexus.</w:t>
      </w:r>
    </w:p>
    <w:p w:rsidR="00041C61" w:rsidRPr="00613B87" w:rsidRDefault="00041C61" w:rsidP="00F425BD">
      <w:pPr>
        <w:pStyle w:val="NoSpacing"/>
        <w:spacing w:after="80"/>
        <w:jc w:val="both"/>
        <w:rPr>
          <w:color w:val="000000" w:themeColor="text1"/>
          <w:sz w:val="18"/>
          <w:szCs w:val="18"/>
        </w:rPr>
      </w:pPr>
    </w:p>
    <w:p w:rsidR="00041C61" w:rsidRPr="00613B87" w:rsidRDefault="00041C61" w:rsidP="00F425BD">
      <w:pPr>
        <w:pStyle w:val="NoSpacing"/>
        <w:spacing w:after="80"/>
        <w:ind w:left="284"/>
        <w:jc w:val="both"/>
        <w:rPr>
          <w:color w:val="000000" w:themeColor="text1"/>
          <w:sz w:val="18"/>
          <w:szCs w:val="18"/>
        </w:rPr>
      </w:pPr>
    </w:p>
    <w:p w:rsidR="00D6024B" w:rsidRPr="00613B87" w:rsidRDefault="00D6024B" w:rsidP="00A446FC">
      <w:pPr>
        <w:pStyle w:val="NoSpacing"/>
        <w:numPr>
          <w:ilvl w:val="0"/>
          <w:numId w:val="3"/>
        </w:numPr>
        <w:spacing w:after="80"/>
        <w:ind w:left="425" w:hanging="357"/>
        <w:jc w:val="both"/>
        <w:rPr>
          <w:color w:val="000000" w:themeColor="text1"/>
          <w:sz w:val="18"/>
          <w:szCs w:val="18"/>
        </w:rPr>
      </w:pPr>
      <w:r w:rsidRPr="00613B87">
        <w:rPr>
          <w:color w:val="000000" w:themeColor="text1"/>
          <w:sz w:val="18"/>
          <w:szCs w:val="18"/>
        </w:rPr>
        <w:t xml:space="preserve">On 20-21 October 2016, in follow up to commitments made at the World Humanitarian Summit (WHS), the </w:t>
      </w:r>
      <w:r w:rsidR="00A446FC">
        <w:rPr>
          <w:color w:val="000000" w:themeColor="text1"/>
          <w:sz w:val="18"/>
          <w:szCs w:val="18"/>
        </w:rPr>
        <w:t xml:space="preserve">HDN TT </w:t>
      </w:r>
      <w:r w:rsidRPr="00613B87">
        <w:rPr>
          <w:color w:val="000000" w:themeColor="text1"/>
          <w:sz w:val="18"/>
          <w:szCs w:val="18"/>
        </w:rPr>
        <w:t>and the UN</w:t>
      </w:r>
      <w:r w:rsidR="00EB2794">
        <w:rPr>
          <w:color w:val="000000" w:themeColor="text1"/>
          <w:sz w:val="18"/>
          <w:szCs w:val="18"/>
        </w:rPr>
        <w:t>DG</w:t>
      </w:r>
      <w:r w:rsidRPr="00613B87">
        <w:rPr>
          <w:color w:val="000000" w:themeColor="text1"/>
          <w:sz w:val="18"/>
          <w:szCs w:val="18"/>
        </w:rPr>
        <w:t xml:space="preserve"> Working Group on Transitions (WGT) held a joint workshop in New York to </w:t>
      </w:r>
      <w:r w:rsidRPr="00613B87">
        <w:rPr>
          <w:b/>
          <w:bCs/>
          <w:color w:val="000000" w:themeColor="text1"/>
          <w:sz w:val="18"/>
          <w:szCs w:val="18"/>
        </w:rPr>
        <w:t>increase collaboration among humanitarian, development and peace actors</w:t>
      </w:r>
      <w:r w:rsidRPr="00613B87">
        <w:rPr>
          <w:color w:val="000000" w:themeColor="text1"/>
          <w:sz w:val="18"/>
          <w:szCs w:val="18"/>
        </w:rPr>
        <w:t>.</w:t>
      </w:r>
    </w:p>
    <w:p w:rsidR="00041C61" w:rsidRPr="00613B87" w:rsidRDefault="00D6024B" w:rsidP="00A446FC">
      <w:pPr>
        <w:pStyle w:val="NoSpacing"/>
        <w:numPr>
          <w:ilvl w:val="0"/>
          <w:numId w:val="3"/>
        </w:numPr>
        <w:spacing w:after="80"/>
        <w:ind w:left="425" w:hanging="357"/>
        <w:jc w:val="both"/>
        <w:rPr>
          <w:color w:val="000000" w:themeColor="text1"/>
          <w:sz w:val="18"/>
        </w:rPr>
      </w:pPr>
      <w:r w:rsidRPr="00613B87">
        <w:rPr>
          <w:color w:val="000000" w:themeColor="text1"/>
          <w:sz w:val="18"/>
          <w:szCs w:val="18"/>
        </w:rPr>
        <w:t xml:space="preserve">As a key outcome of the workshop, the participants developed a roadmap for the IASC </w:t>
      </w:r>
      <w:r w:rsidR="00A446FC">
        <w:rPr>
          <w:color w:val="000000" w:themeColor="text1"/>
          <w:sz w:val="18"/>
          <w:szCs w:val="18"/>
        </w:rPr>
        <w:t>HDN TT</w:t>
      </w:r>
      <w:r w:rsidRPr="00613B87">
        <w:rPr>
          <w:color w:val="000000" w:themeColor="text1"/>
          <w:sz w:val="18"/>
          <w:szCs w:val="18"/>
        </w:rPr>
        <w:t xml:space="preserve"> and WGT in order to </w:t>
      </w:r>
      <w:r w:rsidRPr="00613B87">
        <w:rPr>
          <w:b/>
          <w:bCs/>
          <w:color w:val="000000" w:themeColor="text1"/>
          <w:sz w:val="18"/>
          <w:szCs w:val="18"/>
        </w:rPr>
        <w:t xml:space="preserve">better support field operations </w:t>
      </w:r>
      <w:r w:rsidRPr="00613B87">
        <w:rPr>
          <w:color w:val="000000" w:themeColor="text1"/>
          <w:sz w:val="18"/>
          <w:szCs w:val="18"/>
        </w:rPr>
        <w:t>to conduct, as much as possible, joint analysis (including context/conflict, vulnerability and risk analysis) and strategic planning and agree on collective outcomes for the short-, medium- and long-term.</w:t>
      </w:r>
    </w:p>
    <w:p w:rsidR="00041C61" w:rsidRPr="00613B87" w:rsidRDefault="00D6024B" w:rsidP="00F425BD">
      <w:pPr>
        <w:pStyle w:val="NoSpacing"/>
        <w:numPr>
          <w:ilvl w:val="0"/>
          <w:numId w:val="3"/>
        </w:numPr>
        <w:spacing w:after="80"/>
        <w:ind w:left="425" w:hanging="357"/>
        <w:jc w:val="both"/>
        <w:rPr>
          <w:color w:val="000000" w:themeColor="text1"/>
          <w:sz w:val="18"/>
          <w:szCs w:val="18"/>
        </w:rPr>
      </w:pPr>
      <w:r w:rsidRPr="00613B87">
        <w:rPr>
          <w:color w:val="000000" w:themeColor="text1"/>
          <w:sz w:val="18"/>
          <w:szCs w:val="18"/>
        </w:rPr>
        <w:t xml:space="preserve">Based on this Road Map, a joint workplan was established. This Plan outlines key joint deliverables that the </w:t>
      </w:r>
      <w:r w:rsidR="00EB2794">
        <w:rPr>
          <w:color w:val="000000" w:themeColor="text1"/>
          <w:sz w:val="18"/>
          <w:szCs w:val="18"/>
        </w:rPr>
        <w:t>WGT</w:t>
      </w:r>
      <w:r w:rsidRPr="00613B87">
        <w:rPr>
          <w:color w:val="000000" w:themeColor="text1"/>
          <w:sz w:val="18"/>
          <w:szCs w:val="18"/>
        </w:rPr>
        <w:t xml:space="preserve"> and the IASC HDN TT commit to moving forward collectively. Outputs include; Support for </w:t>
      </w:r>
      <w:r w:rsidRPr="00613B87">
        <w:rPr>
          <w:b/>
          <w:bCs/>
          <w:color w:val="000000" w:themeColor="text1"/>
          <w:sz w:val="18"/>
          <w:szCs w:val="18"/>
        </w:rPr>
        <w:t>country level implementation</w:t>
      </w:r>
      <w:r w:rsidRPr="00613B87">
        <w:rPr>
          <w:color w:val="000000" w:themeColor="text1"/>
          <w:sz w:val="18"/>
          <w:szCs w:val="18"/>
        </w:rPr>
        <w:t xml:space="preserve">; establishing a </w:t>
      </w:r>
      <w:r w:rsidRPr="00613B87">
        <w:rPr>
          <w:b/>
          <w:bCs/>
          <w:color w:val="000000" w:themeColor="text1"/>
          <w:sz w:val="18"/>
          <w:szCs w:val="18"/>
        </w:rPr>
        <w:t>community of practice</w:t>
      </w:r>
      <w:r w:rsidRPr="00613B87">
        <w:rPr>
          <w:color w:val="000000" w:themeColor="text1"/>
          <w:sz w:val="18"/>
          <w:szCs w:val="18"/>
        </w:rPr>
        <w:t xml:space="preserve"> to develop new and/or refine existing tool that support country implementation; </w:t>
      </w:r>
      <w:r w:rsidRPr="00613B87">
        <w:rPr>
          <w:b/>
          <w:bCs/>
          <w:color w:val="000000" w:themeColor="text1"/>
          <w:sz w:val="18"/>
          <w:szCs w:val="18"/>
        </w:rPr>
        <w:t>promote financing incentives</w:t>
      </w:r>
      <w:r w:rsidRPr="00613B87">
        <w:rPr>
          <w:color w:val="000000" w:themeColor="text1"/>
          <w:sz w:val="18"/>
          <w:szCs w:val="18"/>
        </w:rPr>
        <w:t xml:space="preserve"> for collaboration and address financial fragmentation</w:t>
      </w:r>
      <w:r w:rsidRPr="00613B87">
        <w:rPr>
          <w:b/>
          <w:bCs/>
          <w:color w:val="000000" w:themeColor="text1"/>
          <w:sz w:val="18"/>
          <w:szCs w:val="18"/>
        </w:rPr>
        <w:t>; develop shared communication narrative and collective key messages.</w:t>
      </w:r>
    </w:p>
    <w:p w:rsidR="00041C61" w:rsidRPr="00613B87" w:rsidRDefault="002B1EB2" w:rsidP="00D6024B">
      <w:pPr>
        <w:pStyle w:val="NoSpacing"/>
        <w:jc w:val="both"/>
        <w:rPr>
          <w:color w:val="000000" w:themeColor="text1"/>
          <w:sz w:val="18"/>
          <w:szCs w:val="18"/>
        </w:rPr>
      </w:pPr>
      <w:r w:rsidRPr="00613B8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B9964DA" wp14:editId="76BEEEFC">
                <wp:simplePos x="0" y="0"/>
                <wp:positionH relativeFrom="margin">
                  <wp:posOffset>228600</wp:posOffset>
                </wp:positionH>
                <wp:positionV relativeFrom="paragraph">
                  <wp:posOffset>110973</wp:posOffset>
                </wp:positionV>
                <wp:extent cx="6953629" cy="489585"/>
                <wp:effectExtent l="0" t="0" r="19050" b="247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629" cy="489585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chemeClr val="accent1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EB2" w:rsidRDefault="00BA3B92" w:rsidP="002B1EB2">
                            <w:pPr>
                              <w:pStyle w:val="NoSpacing"/>
                              <w:ind w:right="320"/>
                              <w:rPr>
                                <w:sz w:val="16"/>
                                <w:szCs w:val="16"/>
                              </w:rPr>
                            </w:pPr>
                            <w:r w:rsidRPr="0028644E">
                              <w:rPr>
                                <w:sz w:val="16"/>
                                <w:szCs w:val="16"/>
                              </w:rPr>
                              <w:t>Meeting 8 times since its inception, Feb 2016, members consist of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28644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FAO, </w:t>
                            </w:r>
                            <w:r w:rsidR="0028644E">
                              <w:rPr>
                                <w:b/>
                                <w:sz w:val="16"/>
                                <w:szCs w:val="16"/>
                              </w:rPr>
                              <w:t>ICRC, ICVA, IFRC,</w:t>
                            </w:r>
                            <w:r w:rsidR="0028644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644E">
                              <w:rPr>
                                <w:b/>
                                <w:sz w:val="16"/>
                                <w:szCs w:val="16"/>
                              </w:rPr>
                              <w:t>INTERACTION, IOM</w:t>
                            </w:r>
                            <w:r w:rsidR="0028644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28644E">
                              <w:rPr>
                                <w:b/>
                                <w:sz w:val="16"/>
                                <w:szCs w:val="16"/>
                              </w:rPr>
                              <w:t>OHCHR,</w:t>
                            </w:r>
                            <w:r w:rsidR="0028644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644E">
                              <w:rPr>
                                <w:b/>
                                <w:sz w:val="16"/>
                                <w:szCs w:val="16"/>
                              </w:rPr>
                              <w:t>UNDP, UNFPA, UNHCR,</w:t>
                            </w:r>
                            <w:r w:rsidR="0028644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UNICEF, </w:t>
                            </w:r>
                            <w:r w:rsidR="0028644E">
                              <w:rPr>
                                <w:b/>
                                <w:sz w:val="16"/>
                                <w:szCs w:val="16"/>
                              </w:rPr>
                              <w:t>UN OCHA, WFP,</w:t>
                            </w:r>
                            <w:r w:rsidR="0028644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WHO and the WORLD BANK. </w:t>
                            </w:r>
                            <w:r w:rsidR="002B1EB2">
                              <w:rPr>
                                <w:b/>
                                <w:sz w:val="16"/>
                                <w:szCs w:val="16"/>
                              </w:rPr>
                              <w:t>Co-Chairs</w:t>
                            </w:r>
                            <w:r w:rsidR="002B1EB2">
                              <w:rPr>
                                <w:sz w:val="16"/>
                                <w:szCs w:val="16"/>
                              </w:rPr>
                              <w:t>: Sara Sekkenes (UNDP) and Rudi Coninx (WHO)</w:t>
                            </w:r>
                            <w:r w:rsidR="0028644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28644E">
                              <w:rPr>
                                <w:b/>
                                <w:sz w:val="16"/>
                                <w:szCs w:val="16"/>
                              </w:rPr>
                              <w:t>WG Sponsors</w:t>
                            </w:r>
                            <w:r w:rsidR="0028644E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28644E" w:rsidRPr="005127AA">
                              <w:rPr>
                                <w:sz w:val="16"/>
                                <w:szCs w:val="16"/>
                              </w:rPr>
                              <w:t>UNICEF and Interaction</w:t>
                            </w:r>
                            <w:r w:rsidR="0028644E" w:rsidRPr="005127AA">
                              <w:rPr>
                                <w:sz w:val="16"/>
                                <w:szCs w:val="16"/>
                              </w:rPr>
                              <w:t xml:space="preserve"> and with </w:t>
                            </w:r>
                            <w:r w:rsidR="0028644E">
                              <w:rPr>
                                <w:sz w:val="16"/>
                                <w:szCs w:val="16"/>
                              </w:rPr>
                              <w:t>Simona Chladkova (UNDP</w:t>
                            </w:r>
                            <w:r w:rsidR="0028644E">
                              <w:rPr>
                                <w:sz w:val="16"/>
                                <w:szCs w:val="16"/>
                              </w:rPr>
                              <w:t xml:space="preserve">) and Kwame Poku (WHO) as </w:t>
                            </w:r>
                            <w:r w:rsidR="0028644E" w:rsidRPr="0028644E">
                              <w:rPr>
                                <w:b/>
                                <w:sz w:val="16"/>
                                <w:szCs w:val="16"/>
                              </w:rPr>
                              <w:t>Task Team</w:t>
                            </w:r>
                            <w:r w:rsidR="0028644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644E">
                              <w:rPr>
                                <w:b/>
                                <w:sz w:val="16"/>
                                <w:szCs w:val="16"/>
                              </w:rPr>
                              <w:t>Secretariat</w:t>
                            </w:r>
                            <w:r w:rsidR="0028644E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964DA" id="Text Box 1" o:spid="_x0000_s1033" type="#_x0000_t202" style="position:absolute;left:0;text-align:left;margin-left:18pt;margin-top:8.75pt;width:547.55pt;height:38.5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" fillcolor="#95b3d7 [1940]" strokecolor="#92cddc [1944]">
                <v:fill r:id="rId9" o:title="" color2="white [3212]" type="pattern"/>
                <v:textbox>
                  <w:txbxContent>
                    <w:p w:rsidR="002B1EB2" w:rsidRDefault="00BA3B92" w:rsidP="002B1EB2">
                      <w:pPr>
                        <w:pStyle w:val="NoSpacing"/>
                        <w:ind w:right="320"/>
                        <w:rPr>
                          <w:sz w:val="16"/>
                          <w:szCs w:val="16"/>
                        </w:rPr>
                      </w:pPr>
                      <w:r w:rsidRPr="0028644E">
                        <w:rPr>
                          <w:sz w:val="16"/>
                          <w:szCs w:val="16"/>
                        </w:rPr>
                        <w:t>Meeting 8 times since its inception, Feb 2016, members consist of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28644E">
                        <w:rPr>
                          <w:b/>
                          <w:sz w:val="16"/>
                          <w:szCs w:val="16"/>
                        </w:rPr>
                        <w:t xml:space="preserve">FAO, </w:t>
                      </w:r>
                      <w:r w:rsidR="0028644E">
                        <w:rPr>
                          <w:b/>
                          <w:sz w:val="16"/>
                          <w:szCs w:val="16"/>
                        </w:rPr>
                        <w:t>ICRC, ICVA, IFRC,</w:t>
                      </w:r>
                      <w:r w:rsidR="0028644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8644E">
                        <w:rPr>
                          <w:b/>
                          <w:sz w:val="16"/>
                          <w:szCs w:val="16"/>
                        </w:rPr>
                        <w:t>INTERACTION, IOM</w:t>
                      </w:r>
                      <w:r w:rsidR="0028644E">
                        <w:rPr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="0028644E">
                        <w:rPr>
                          <w:b/>
                          <w:sz w:val="16"/>
                          <w:szCs w:val="16"/>
                        </w:rPr>
                        <w:t>OHCHR,</w:t>
                      </w:r>
                      <w:r w:rsidR="0028644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8644E">
                        <w:rPr>
                          <w:b/>
                          <w:sz w:val="16"/>
                          <w:szCs w:val="16"/>
                        </w:rPr>
                        <w:t>UNDP, UNFPA, UNHCR,</w:t>
                      </w:r>
                      <w:r w:rsidR="0028644E">
                        <w:rPr>
                          <w:b/>
                          <w:sz w:val="16"/>
                          <w:szCs w:val="16"/>
                        </w:rPr>
                        <w:t xml:space="preserve"> UNICEF, </w:t>
                      </w:r>
                      <w:r w:rsidR="0028644E">
                        <w:rPr>
                          <w:b/>
                          <w:sz w:val="16"/>
                          <w:szCs w:val="16"/>
                        </w:rPr>
                        <w:t>UN OCHA, WFP,</w:t>
                      </w:r>
                      <w:r w:rsidR="0028644E">
                        <w:rPr>
                          <w:b/>
                          <w:sz w:val="16"/>
                          <w:szCs w:val="16"/>
                        </w:rPr>
                        <w:t xml:space="preserve"> WHO and the WORLD BANK. </w:t>
                      </w:r>
                      <w:r w:rsidR="002B1EB2">
                        <w:rPr>
                          <w:b/>
                          <w:sz w:val="16"/>
                          <w:szCs w:val="16"/>
                        </w:rPr>
                        <w:t>Co-Chairs</w:t>
                      </w:r>
                      <w:r w:rsidR="002B1EB2">
                        <w:rPr>
                          <w:sz w:val="16"/>
                          <w:szCs w:val="16"/>
                        </w:rPr>
                        <w:t>: Sara Sekkenes (UNDP) and Rudi Coninx (WHO)</w:t>
                      </w:r>
                      <w:r w:rsidR="0028644E">
                        <w:rPr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="0028644E">
                        <w:rPr>
                          <w:b/>
                          <w:sz w:val="16"/>
                          <w:szCs w:val="16"/>
                        </w:rPr>
                        <w:t>WG Sponsors</w:t>
                      </w:r>
                      <w:r w:rsidR="0028644E"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28644E" w:rsidRPr="005127AA">
                        <w:rPr>
                          <w:sz w:val="16"/>
                          <w:szCs w:val="16"/>
                        </w:rPr>
                        <w:t>UNICEF and Interaction</w:t>
                      </w:r>
                      <w:r w:rsidR="0028644E" w:rsidRPr="005127AA">
                        <w:rPr>
                          <w:sz w:val="16"/>
                          <w:szCs w:val="16"/>
                        </w:rPr>
                        <w:t xml:space="preserve"> and with </w:t>
                      </w:r>
                      <w:r w:rsidR="0028644E">
                        <w:rPr>
                          <w:sz w:val="16"/>
                          <w:szCs w:val="16"/>
                        </w:rPr>
                        <w:t>Simona Chladkova (UNDP</w:t>
                      </w:r>
                      <w:r w:rsidR="0028644E">
                        <w:rPr>
                          <w:sz w:val="16"/>
                          <w:szCs w:val="16"/>
                        </w:rPr>
                        <w:t xml:space="preserve">) and Kwame Poku (WHO) as </w:t>
                      </w:r>
                      <w:r w:rsidR="0028644E" w:rsidRPr="0028644E">
                        <w:rPr>
                          <w:b/>
                          <w:sz w:val="16"/>
                          <w:szCs w:val="16"/>
                        </w:rPr>
                        <w:t>Task Team</w:t>
                      </w:r>
                      <w:r w:rsidR="0028644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8644E">
                        <w:rPr>
                          <w:b/>
                          <w:sz w:val="16"/>
                          <w:szCs w:val="16"/>
                        </w:rPr>
                        <w:t>Secretariat</w:t>
                      </w:r>
                      <w:r w:rsidR="0028644E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1C61" w:rsidRPr="00613B87" w:rsidRDefault="00041C61" w:rsidP="00041C61">
      <w:pPr>
        <w:pStyle w:val="NoSpacing"/>
        <w:jc w:val="both"/>
        <w:rPr>
          <w:color w:val="000000" w:themeColor="text1"/>
          <w:sz w:val="18"/>
          <w:szCs w:val="18"/>
        </w:rPr>
      </w:pPr>
      <w:bookmarkStart w:id="0" w:name="_GoBack"/>
      <w:bookmarkEnd w:id="0"/>
      <w:r w:rsidRPr="00613B87">
        <w:rPr>
          <w:color w:val="000000" w:themeColor="text1"/>
        </w:rPr>
        <w:br w:type="column"/>
      </w:r>
    </w:p>
    <w:p w:rsidR="00041C61" w:rsidRPr="00613B87" w:rsidRDefault="00041C61" w:rsidP="00041C61">
      <w:pPr>
        <w:pStyle w:val="NoSpacing"/>
        <w:jc w:val="both"/>
        <w:rPr>
          <w:color w:val="000000" w:themeColor="text1"/>
          <w:sz w:val="18"/>
          <w:szCs w:val="18"/>
        </w:rPr>
      </w:pPr>
    </w:p>
    <w:p w:rsidR="00041C61" w:rsidRPr="00613B87" w:rsidRDefault="00041C61" w:rsidP="00041C61">
      <w:pPr>
        <w:pStyle w:val="NoSpacing"/>
        <w:ind w:left="284"/>
        <w:jc w:val="both"/>
        <w:rPr>
          <w:color w:val="000000" w:themeColor="text1"/>
          <w:sz w:val="10"/>
          <w:szCs w:val="10"/>
        </w:rPr>
      </w:pPr>
    </w:p>
    <w:p w:rsidR="00F425BD" w:rsidRPr="00613B87" w:rsidRDefault="00A446FC" w:rsidP="00A446FC">
      <w:pPr>
        <w:pStyle w:val="NoSpacing"/>
        <w:numPr>
          <w:ilvl w:val="0"/>
          <w:numId w:val="5"/>
        </w:numPr>
        <w:spacing w:after="120"/>
        <w:ind w:left="425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In</w:t>
      </w:r>
      <w:r w:rsidR="002B1EB2" w:rsidRPr="00613B87">
        <w:rPr>
          <w:color w:val="000000" w:themeColor="text1"/>
          <w:sz w:val="18"/>
          <w:szCs w:val="18"/>
        </w:rPr>
        <w:t xml:space="preserve"> 2017, the </w:t>
      </w:r>
      <w:r>
        <w:rPr>
          <w:color w:val="000000" w:themeColor="text1"/>
          <w:sz w:val="18"/>
          <w:szCs w:val="18"/>
        </w:rPr>
        <w:t>HDN</w:t>
      </w:r>
      <w:r w:rsidR="00EB2794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TT</w:t>
      </w:r>
      <w:r w:rsidR="002B1EB2" w:rsidRPr="00613B87">
        <w:rPr>
          <w:color w:val="000000" w:themeColor="text1"/>
          <w:sz w:val="18"/>
          <w:szCs w:val="18"/>
        </w:rPr>
        <w:t xml:space="preserve"> </w:t>
      </w:r>
      <w:r w:rsidR="002B1EB2" w:rsidRPr="00A446FC">
        <w:rPr>
          <w:b/>
          <w:bCs/>
          <w:color w:val="000000" w:themeColor="text1"/>
          <w:sz w:val="18"/>
          <w:szCs w:val="18"/>
        </w:rPr>
        <w:t xml:space="preserve">will prioritize </w:t>
      </w:r>
      <w:r w:rsidR="00EB2794">
        <w:rPr>
          <w:b/>
          <w:bCs/>
          <w:color w:val="000000" w:themeColor="text1"/>
          <w:sz w:val="18"/>
          <w:szCs w:val="18"/>
        </w:rPr>
        <w:t>technical support to country teams</w:t>
      </w:r>
      <w:r w:rsidR="00622075">
        <w:rPr>
          <w:b/>
          <w:bCs/>
          <w:color w:val="000000" w:themeColor="text1"/>
          <w:sz w:val="18"/>
          <w:szCs w:val="18"/>
        </w:rPr>
        <w:t xml:space="preserve">, </w:t>
      </w:r>
      <w:r w:rsidR="002B1EB2" w:rsidRPr="00A446FC">
        <w:rPr>
          <w:b/>
          <w:bCs/>
          <w:color w:val="000000" w:themeColor="text1"/>
          <w:sz w:val="18"/>
          <w:szCs w:val="18"/>
        </w:rPr>
        <w:t xml:space="preserve">mission support and </w:t>
      </w:r>
      <w:r w:rsidR="00831F26">
        <w:rPr>
          <w:b/>
          <w:bCs/>
          <w:color w:val="000000" w:themeColor="text1"/>
          <w:sz w:val="18"/>
          <w:szCs w:val="18"/>
        </w:rPr>
        <w:t xml:space="preserve">field </w:t>
      </w:r>
      <w:r w:rsidR="002B1EB2" w:rsidRPr="00A446FC">
        <w:rPr>
          <w:b/>
          <w:bCs/>
          <w:color w:val="000000" w:themeColor="text1"/>
          <w:sz w:val="18"/>
          <w:szCs w:val="18"/>
        </w:rPr>
        <w:t>implementation</w:t>
      </w:r>
      <w:r w:rsidR="002B1EB2" w:rsidRPr="00613B87">
        <w:rPr>
          <w:color w:val="000000" w:themeColor="text1"/>
          <w:sz w:val="18"/>
          <w:szCs w:val="18"/>
        </w:rPr>
        <w:t xml:space="preserve"> of the </w:t>
      </w:r>
      <w:r w:rsidR="00831F26" w:rsidRPr="00613B87">
        <w:rPr>
          <w:color w:val="000000" w:themeColor="text1"/>
          <w:sz w:val="18"/>
          <w:szCs w:val="20"/>
        </w:rPr>
        <w:t>New Way of Working</w:t>
      </w:r>
      <w:r w:rsidR="00622075">
        <w:rPr>
          <w:color w:val="000000" w:themeColor="text1"/>
          <w:sz w:val="18"/>
          <w:szCs w:val="20"/>
        </w:rPr>
        <w:t xml:space="preserve"> upon request</w:t>
      </w:r>
      <w:r w:rsidR="002B1EB2" w:rsidRPr="00613B87">
        <w:rPr>
          <w:color w:val="000000" w:themeColor="text1"/>
          <w:sz w:val="18"/>
          <w:szCs w:val="18"/>
        </w:rPr>
        <w:t xml:space="preserve">. </w:t>
      </w:r>
      <w:r w:rsidR="00F425BD" w:rsidRPr="00613B87">
        <w:rPr>
          <w:color w:val="000000" w:themeColor="text1"/>
          <w:sz w:val="18"/>
          <w:szCs w:val="18"/>
        </w:rPr>
        <w:t xml:space="preserve">The overall objective of </w:t>
      </w:r>
      <w:r w:rsidR="002B1EB2" w:rsidRPr="00613B87">
        <w:rPr>
          <w:color w:val="000000" w:themeColor="text1"/>
          <w:sz w:val="18"/>
          <w:szCs w:val="18"/>
        </w:rPr>
        <w:t>these missions</w:t>
      </w:r>
      <w:r w:rsidR="00F425BD" w:rsidRPr="00613B87">
        <w:rPr>
          <w:color w:val="000000" w:themeColor="text1"/>
          <w:sz w:val="18"/>
          <w:szCs w:val="18"/>
        </w:rPr>
        <w:t xml:space="preserve"> </w:t>
      </w:r>
      <w:r w:rsidR="002B1EB2" w:rsidRPr="00613B87">
        <w:rPr>
          <w:color w:val="000000" w:themeColor="text1"/>
          <w:sz w:val="18"/>
          <w:szCs w:val="18"/>
        </w:rPr>
        <w:t>will be</w:t>
      </w:r>
      <w:r w:rsidR="00F425BD" w:rsidRPr="00613B87">
        <w:rPr>
          <w:color w:val="000000" w:themeColor="text1"/>
          <w:sz w:val="18"/>
          <w:szCs w:val="18"/>
        </w:rPr>
        <w:t xml:space="preserve"> to facilitate a more collaborative approach and </w:t>
      </w:r>
      <w:r w:rsidR="002B1EB2" w:rsidRPr="00613B87">
        <w:rPr>
          <w:color w:val="000000" w:themeColor="text1"/>
          <w:sz w:val="18"/>
          <w:szCs w:val="18"/>
        </w:rPr>
        <w:t xml:space="preserve">build on the ongoing efforts in-country </w:t>
      </w:r>
      <w:r w:rsidR="00F425BD" w:rsidRPr="00613B87">
        <w:rPr>
          <w:color w:val="000000" w:themeColor="text1"/>
          <w:sz w:val="18"/>
          <w:szCs w:val="18"/>
        </w:rPr>
        <w:t>to strengthen the effectiveness of work in the humanitarian, development and peace nexus and to agree on a roadmap, informed by operational considerations, good practices and field realities.</w:t>
      </w:r>
      <w:r w:rsidR="002B1EB2" w:rsidRPr="00613B87">
        <w:rPr>
          <w:color w:val="000000" w:themeColor="text1"/>
          <w:sz w:val="18"/>
          <w:szCs w:val="18"/>
        </w:rPr>
        <w:t xml:space="preserve"> </w:t>
      </w:r>
      <w:r w:rsidR="002B1EB2" w:rsidRPr="00613B87">
        <w:rPr>
          <w:b/>
          <w:bCs/>
          <w:color w:val="000000" w:themeColor="text1"/>
          <w:sz w:val="18"/>
          <w:szCs w:val="18"/>
        </w:rPr>
        <w:t xml:space="preserve">The first of these missions will be held in Sudan in late March, at the request of the RC/HC and in collaboration with WGT and the </w:t>
      </w:r>
      <w:r w:rsidR="00831F26">
        <w:rPr>
          <w:b/>
          <w:bCs/>
          <w:color w:val="000000" w:themeColor="text1"/>
          <w:sz w:val="18"/>
          <w:szCs w:val="18"/>
        </w:rPr>
        <w:t>Global Cluster Coordinators</w:t>
      </w:r>
      <w:r w:rsidR="002B1EB2" w:rsidRPr="00613B87">
        <w:rPr>
          <w:b/>
          <w:bCs/>
          <w:color w:val="000000" w:themeColor="text1"/>
          <w:sz w:val="18"/>
          <w:szCs w:val="18"/>
        </w:rPr>
        <w:t>.</w:t>
      </w:r>
    </w:p>
    <w:p w:rsidR="00622075" w:rsidRDefault="00622075" w:rsidP="00622075">
      <w:pPr>
        <w:pStyle w:val="NoSpacing"/>
        <w:spacing w:after="80"/>
        <w:jc w:val="both"/>
        <w:rPr>
          <w:color w:val="000000" w:themeColor="text1"/>
          <w:sz w:val="18"/>
          <w:szCs w:val="18"/>
        </w:rPr>
      </w:pPr>
    </w:p>
    <w:p w:rsidR="00622075" w:rsidRPr="00622075" w:rsidRDefault="00622075" w:rsidP="00622075">
      <w:pPr>
        <w:pStyle w:val="NoSpacing"/>
        <w:spacing w:after="80"/>
        <w:jc w:val="both"/>
        <w:rPr>
          <w:color w:val="000000" w:themeColor="text1"/>
          <w:sz w:val="4"/>
          <w:szCs w:val="4"/>
        </w:rPr>
      </w:pPr>
    </w:p>
    <w:p w:rsidR="00F425BD" w:rsidRPr="00613B87" w:rsidRDefault="00F425BD" w:rsidP="00622075">
      <w:pPr>
        <w:pStyle w:val="NoSpacing"/>
        <w:numPr>
          <w:ilvl w:val="0"/>
          <w:numId w:val="5"/>
        </w:numPr>
        <w:spacing w:after="120"/>
        <w:ind w:left="425"/>
        <w:jc w:val="both"/>
        <w:rPr>
          <w:color w:val="000000" w:themeColor="text1"/>
          <w:sz w:val="18"/>
          <w:szCs w:val="18"/>
        </w:rPr>
      </w:pPr>
      <w:r w:rsidRPr="00613B87">
        <w:rPr>
          <w:color w:val="000000" w:themeColor="text1"/>
          <w:sz w:val="18"/>
          <w:szCs w:val="18"/>
        </w:rPr>
        <w:t xml:space="preserve">Strengthening the Humanitarian-Development Nexus, and promoting the New Way of Working amongst humanitarian, development, and peace </w:t>
      </w:r>
      <w:r w:rsidR="00831F26">
        <w:rPr>
          <w:color w:val="000000" w:themeColor="text1"/>
          <w:sz w:val="18"/>
          <w:szCs w:val="18"/>
        </w:rPr>
        <w:t xml:space="preserve">(HDP) </w:t>
      </w:r>
      <w:r w:rsidRPr="00613B87">
        <w:rPr>
          <w:color w:val="000000" w:themeColor="text1"/>
          <w:sz w:val="18"/>
          <w:szCs w:val="18"/>
        </w:rPr>
        <w:t xml:space="preserve">actors requires the concerted efforts of IASC, UNDG, and other bodies who </w:t>
      </w:r>
      <w:r w:rsidR="00FA0F0E" w:rsidRPr="00613B87">
        <w:rPr>
          <w:color w:val="000000" w:themeColor="text1"/>
          <w:sz w:val="18"/>
          <w:szCs w:val="18"/>
        </w:rPr>
        <w:t>possess</w:t>
      </w:r>
      <w:r w:rsidRPr="00613B87">
        <w:rPr>
          <w:color w:val="000000" w:themeColor="text1"/>
          <w:sz w:val="18"/>
          <w:szCs w:val="18"/>
        </w:rPr>
        <w:t xml:space="preserve"> the technical know-how. To this end, the HDN TT has</w:t>
      </w:r>
      <w:r w:rsidR="00A446FC">
        <w:rPr>
          <w:color w:val="000000" w:themeColor="text1"/>
          <w:sz w:val="18"/>
          <w:szCs w:val="18"/>
        </w:rPr>
        <w:t xml:space="preserve"> established</w:t>
      </w:r>
      <w:r w:rsidRPr="00613B87">
        <w:rPr>
          <w:color w:val="000000" w:themeColor="text1"/>
          <w:sz w:val="18"/>
          <w:szCs w:val="18"/>
        </w:rPr>
        <w:t>, or is in the process</w:t>
      </w:r>
      <w:r w:rsidR="00A446FC">
        <w:rPr>
          <w:color w:val="000000" w:themeColor="text1"/>
          <w:sz w:val="18"/>
          <w:szCs w:val="18"/>
        </w:rPr>
        <w:t xml:space="preserve"> of </w:t>
      </w:r>
      <w:r w:rsidRPr="00613B87">
        <w:rPr>
          <w:color w:val="000000" w:themeColor="text1"/>
          <w:sz w:val="18"/>
          <w:szCs w:val="18"/>
        </w:rPr>
        <w:t>establishing</w:t>
      </w:r>
      <w:r w:rsidR="00A446FC">
        <w:rPr>
          <w:color w:val="000000" w:themeColor="text1"/>
          <w:sz w:val="18"/>
          <w:szCs w:val="18"/>
        </w:rPr>
        <w:t>,</w:t>
      </w:r>
      <w:r w:rsidRPr="00613B87">
        <w:rPr>
          <w:color w:val="000000" w:themeColor="text1"/>
          <w:sz w:val="18"/>
          <w:szCs w:val="18"/>
        </w:rPr>
        <w:t xml:space="preserve"> functional linkages with a number of other mechanisms:</w:t>
      </w:r>
    </w:p>
    <w:p w:rsidR="00F425BD" w:rsidRPr="00613B87" w:rsidRDefault="00F425BD" w:rsidP="00A446FC">
      <w:pPr>
        <w:pStyle w:val="NoSpacing"/>
        <w:numPr>
          <w:ilvl w:val="1"/>
          <w:numId w:val="4"/>
        </w:numPr>
        <w:spacing w:after="80"/>
        <w:ind w:left="851"/>
        <w:jc w:val="both"/>
        <w:rPr>
          <w:color w:val="000000" w:themeColor="text1"/>
          <w:sz w:val="18"/>
          <w:szCs w:val="18"/>
        </w:rPr>
      </w:pPr>
      <w:r w:rsidRPr="00613B87">
        <w:rPr>
          <w:b/>
          <w:bCs/>
          <w:color w:val="000000" w:themeColor="text1"/>
          <w:sz w:val="18"/>
          <w:szCs w:val="18"/>
        </w:rPr>
        <w:t>With the HFTT (sub-group on HDN)</w:t>
      </w:r>
      <w:r w:rsidRPr="00613B87">
        <w:rPr>
          <w:color w:val="000000" w:themeColor="text1"/>
          <w:sz w:val="18"/>
          <w:szCs w:val="18"/>
        </w:rPr>
        <w:t>, work together to Map financial flows and pooled fund mechanis</w:t>
      </w:r>
      <w:r w:rsidR="00A446FC">
        <w:rPr>
          <w:color w:val="000000" w:themeColor="text1"/>
          <w:sz w:val="18"/>
          <w:szCs w:val="18"/>
        </w:rPr>
        <w:t>ms which support the HDP nexus; d</w:t>
      </w:r>
      <w:r w:rsidRPr="00613B87">
        <w:rPr>
          <w:color w:val="000000" w:themeColor="text1"/>
          <w:sz w:val="18"/>
          <w:szCs w:val="18"/>
        </w:rPr>
        <w:t>evelop a concept note on addressing financial fragmenta</w:t>
      </w:r>
      <w:r w:rsidR="00A446FC">
        <w:rPr>
          <w:color w:val="000000" w:themeColor="text1"/>
          <w:sz w:val="18"/>
          <w:szCs w:val="18"/>
        </w:rPr>
        <w:t>tion; d</w:t>
      </w:r>
      <w:r w:rsidRPr="00613B87">
        <w:rPr>
          <w:color w:val="000000" w:themeColor="text1"/>
          <w:sz w:val="18"/>
          <w:szCs w:val="18"/>
        </w:rPr>
        <w:t>etermine areas of engagement with donors following the WHS to reduce financial fragmentation.</w:t>
      </w:r>
      <w:r w:rsidR="00622075">
        <w:rPr>
          <w:color w:val="000000" w:themeColor="text1"/>
          <w:sz w:val="18"/>
          <w:szCs w:val="18"/>
        </w:rPr>
        <w:t xml:space="preserve"> This work is also done in coordination with the</w:t>
      </w:r>
      <w:r w:rsidR="00194BD4">
        <w:rPr>
          <w:color w:val="000000" w:themeColor="text1"/>
          <w:sz w:val="18"/>
          <w:szCs w:val="18"/>
        </w:rPr>
        <w:t xml:space="preserve"> </w:t>
      </w:r>
      <w:r w:rsidR="00622075">
        <w:rPr>
          <w:color w:val="000000" w:themeColor="text1"/>
          <w:sz w:val="18"/>
          <w:szCs w:val="18"/>
        </w:rPr>
        <w:t xml:space="preserve">WGT and the MPTFO as part of the joint </w:t>
      </w:r>
      <w:r w:rsidR="005127AA">
        <w:rPr>
          <w:color w:val="000000" w:themeColor="text1"/>
          <w:sz w:val="18"/>
          <w:szCs w:val="18"/>
        </w:rPr>
        <w:t>workplan</w:t>
      </w:r>
    </w:p>
    <w:p w:rsidR="00F425BD" w:rsidRPr="00613B87" w:rsidRDefault="00F425BD" w:rsidP="00F425BD">
      <w:pPr>
        <w:pStyle w:val="NoSpacing"/>
        <w:numPr>
          <w:ilvl w:val="1"/>
          <w:numId w:val="4"/>
        </w:numPr>
        <w:spacing w:after="80"/>
        <w:ind w:left="851"/>
        <w:jc w:val="both"/>
        <w:rPr>
          <w:color w:val="000000" w:themeColor="text1"/>
          <w:sz w:val="18"/>
          <w:szCs w:val="18"/>
        </w:rPr>
      </w:pPr>
      <w:r w:rsidRPr="00613B87">
        <w:rPr>
          <w:b/>
          <w:bCs/>
          <w:color w:val="000000" w:themeColor="text1"/>
          <w:sz w:val="18"/>
          <w:szCs w:val="18"/>
        </w:rPr>
        <w:t xml:space="preserve">With Sphere Secretariat, </w:t>
      </w:r>
      <w:r w:rsidRPr="00613B87">
        <w:rPr>
          <w:color w:val="000000" w:themeColor="text1"/>
          <w:sz w:val="18"/>
          <w:szCs w:val="18"/>
        </w:rPr>
        <w:t>serve as thematic experts by providing subject brief on the issue of how humanitarian standards may need to be adapted in protracted crises; provide technical support to chapter authors.</w:t>
      </w:r>
    </w:p>
    <w:p w:rsidR="00F425BD" w:rsidRPr="00613B87" w:rsidRDefault="00F425BD" w:rsidP="00F425BD">
      <w:pPr>
        <w:pStyle w:val="NoSpacing"/>
        <w:numPr>
          <w:ilvl w:val="1"/>
          <w:numId w:val="4"/>
        </w:numPr>
        <w:spacing w:after="80"/>
        <w:ind w:left="851"/>
        <w:jc w:val="both"/>
        <w:rPr>
          <w:color w:val="000000" w:themeColor="text1"/>
          <w:sz w:val="18"/>
          <w:szCs w:val="18"/>
        </w:rPr>
      </w:pPr>
      <w:r w:rsidRPr="00613B87">
        <w:rPr>
          <w:b/>
          <w:bCs/>
          <w:color w:val="000000" w:themeColor="text1"/>
          <w:sz w:val="18"/>
          <w:szCs w:val="18"/>
        </w:rPr>
        <w:t xml:space="preserve">With </w:t>
      </w:r>
      <w:r w:rsidR="00622075">
        <w:rPr>
          <w:b/>
          <w:bCs/>
          <w:color w:val="000000" w:themeColor="text1"/>
          <w:sz w:val="18"/>
          <w:szCs w:val="18"/>
        </w:rPr>
        <w:t>RG</w:t>
      </w:r>
      <w:r w:rsidR="00622075" w:rsidRPr="00613B87">
        <w:rPr>
          <w:b/>
          <w:bCs/>
          <w:color w:val="000000" w:themeColor="text1"/>
          <w:sz w:val="18"/>
          <w:szCs w:val="18"/>
        </w:rPr>
        <w:t xml:space="preserve"> </w:t>
      </w:r>
      <w:r w:rsidRPr="00613B87">
        <w:rPr>
          <w:b/>
          <w:bCs/>
          <w:color w:val="000000" w:themeColor="text1"/>
          <w:sz w:val="18"/>
          <w:szCs w:val="18"/>
        </w:rPr>
        <w:t xml:space="preserve">on MCHUA, </w:t>
      </w:r>
      <w:r w:rsidRPr="00613B87">
        <w:rPr>
          <w:color w:val="000000" w:themeColor="text1"/>
          <w:sz w:val="18"/>
          <w:szCs w:val="18"/>
        </w:rPr>
        <w:t>strengthening cooperation around issues on area-based programming, localisation, and alternative coordination structures in urban settings.</w:t>
      </w:r>
    </w:p>
    <w:p w:rsidR="00F425BD" w:rsidRPr="00613B87" w:rsidRDefault="00F425BD" w:rsidP="00421880">
      <w:pPr>
        <w:pStyle w:val="NoSpacing"/>
        <w:numPr>
          <w:ilvl w:val="1"/>
          <w:numId w:val="4"/>
        </w:numPr>
        <w:spacing w:after="80"/>
        <w:ind w:left="851"/>
        <w:jc w:val="both"/>
        <w:rPr>
          <w:color w:val="000000" w:themeColor="text1"/>
          <w:sz w:val="18"/>
          <w:szCs w:val="18"/>
        </w:rPr>
      </w:pPr>
      <w:r w:rsidRPr="00613B87">
        <w:rPr>
          <w:b/>
          <w:bCs/>
          <w:color w:val="000000" w:themeColor="text1"/>
          <w:sz w:val="18"/>
          <w:szCs w:val="18"/>
        </w:rPr>
        <w:t>With GHD/Grand Bargain (sub-working group on HDN</w:t>
      </w:r>
      <w:r w:rsidR="00421880">
        <w:rPr>
          <w:b/>
          <w:bCs/>
          <w:color w:val="000000" w:themeColor="text1"/>
          <w:sz w:val="18"/>
          <w:szCs w:val="18"/>
        </w:rPr>
        <w:t>/</w:t>
      </w:r>
      <w:r w:rsidR="00A446FC">
        <w:rPr>
          <w:b/>
          <w:bCs/>
          <w:color w:val="000000" w:themeColor="text1"/>
          <w:sz w:val="18"/>
          <w:szCs w:val="18"/>
        </w:rPr>
        <w:t xml:space="preserve"> Workstream 10</w:t>
      </w:r>
      <w:r w:rsidRPr="00613B87">
        <w:rPr>
          <w:b/>
          <w:bCs/>
          <w:color w:val="000000" w:themeColor="text1"/>
          <w:sz w:val="18"/>
          <w:szCs w:val="18"/>
        </w:rPr>
        <w:t xml:space="preserve">), </w:t>
      </w:r>
      <w:r w:rsidRPr="00613B87">
        <w:rPr>
          <w:color w:val="000000" w:themeColor="text1"/>
          <w:sz w:val="18"/>
          <w:szCs w:val="18"/>
        </w:rPr>
        <w:t>strengthening donor engagement around the shift from financing to funding, and promoting donor engagement in financing collective outcomes.</w:t>
      </w:r>
    </w:p>
    <w:p w:rsidR="00071984" w:rsidRPr="00622075" w:rsidRDefault="00F425BD" w:rsidP="00BA3B92">
      <w:pPr>
        <w:pStyle w:val="NoSpacing"/>
        <w:numPr>
          <w:ilvl w:val="1"/>
          <w:numId w:val="4"/>
        </w:numPr>
        <w:spacing w:after="80"/>
        <w:ind w:left="851"/>
        <w:jc w:val="both"/>
        <w:rPr>
          <w:color w:val="000000" w:themeColor="text1"/>
          <w:sz w:val="18"/>
          <w:szCs w:val="18"/>
        </w:rPr>
      </w:pPr>
      <w:r w:rsidRPr="00622075">
        <w:rPr>
          <w:b/>
          <w:bCs/>
          <w:color w:val="000000" w:themeColor="text1"/>
          <w:sz w:val="18"/>
          <w:szCs w:val="18"/>
        </w:rPr>
        <w:t>With HL</w:t>
      </w:r>
      <w:r w:rsidR="00831F26" w:rsidRPr="00622075">
        <w:rPr>
          <w:b/>
          <w:bCs/>
          <w:color w:val="000000" w:themeColor="text1"/>
          <w:sz w:val="18"/>
          <w:szCs w:val="18"/>
        </w:rPr>
        <w:t>C</w:t>
      </w:r>
      <w:r w:rsidRPr="00622075">
        <w:rPr>
          <w:b/>
          <w:bCs/>
          <w:color w:val="000000" w:themeColor="text1"/>
          <w:sz w:val="18"/>
          <w:szCs w:val="18"/>
        </w:rPr>
        <w:t xml:space="preserve">P (Informal TT on Risk, Prevention, and Resilience), </w:t>
      </w:r>
      <w:r w:rsidRPr="00622075">
        <w:rPr>
          <w:color w:val="000000" w:themeColor="text1"/>
          <w:sz w:val="18"/>
          <w:szCs w:val="18"/>
        </w:rPr>
        <w:t>supporting the development of a common understand</w:t>
      </w:r>
      <w:r w:rsidR="00622075" w:rsidRPr="00622075">
        <w:rPr>
          <w:color w:val="000000" w:themeColor="text1"/>
          <w:sz w:val="18"/>
          <w:szCs w:val="18"/>
        </w:rPr>
        <w:t xml:space="preserve">ing </w:t>
      </w:r>
      <w:r w:rsidR="00194BD4">
        <w:rPr>
          <w:color w:val="000000" w:themeColor="text1"/>
          <w:sz w:val="18"/>
          <w:szCs w:val="18"/>
        </w:rPr>
        <w:t>of Risk, Prevention and Resilience across UN pillars.</w:t>
      </w:r>
    </w:p>
    <w:sectPr w:rsidR="00071984" w:rsidRPr="00622075" w:rsidSect="0023118B">
      <w:type w:val="continuous"/>
      <w:pgSz w:w="11906" w:h="16838"/>
      <w:pgMar w:top="567" w:right="284" w:bottom="567" w:left="284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882" w:rsidRDefault="000A4882" w:rsidP="00613B87">
      <w:pPr>
        <w:spacing w:after="0" w:line="240" w:lineRule="auto"/>
      </w:pPr>
      <w:r>
        <w:separator/>
      </w:r>
    </w:p>
  </w:endnote>
  <w:endnote w:type="continuationSeparator" w:id="0">
    <w:p w:rsidR="000A4882" w:rsidRDefault="000A4882" w:rsidP="0061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882" w:rsidRDefault="000A4882" w:rsidP="00613B87">
      <w:pPr>
        <w:spacing w:after="0" w:line="240" w:lineRule="auto"/>
      </w:pPr>
      <w:r>
        <w:separator/>
      </w:r>
    </w:p>
  </w:footnote>
  <w:footnote w:type="continuationSeparator" w:id="0">
    <w:p w:rsidR="000A4882" w:rsidRDefault="000A4882" w:rsidP="00613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96C"/>
    <w:multiLevelType w:val="hybridMultilevel"/>
    <w:tmpl w:val="6158C21C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C0F13CE"/>
    <w:multiLevelType w:val="hybridMultilevel"/>
    <w:tmpl w:val="33C8C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814334"/>
    <w:multiLevelType w:val="hybridMultilevel"/>
    <w:tmpl w:val="C92C5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92889"/>
    <w:multiLevelType w:val="hybridMultilevel"/>
    <w:tmpl w:val="48AE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61"/>
    <w:rsid w:val="00041C61"/>
    <w:rsid w:val="00071984"/>
    <w:rsid w:val="000A4882"/>
    <w:rsid w:val="001800CB"/>
    <w:rsid w:val="00194BD4"/>
    <w:rsid w:val="001A2CF5"/>
    <w:rsid w:val="00212E4F"/>
    <w:rsid w:val="002334CE"/>
    <w:rsid w:val="00250AC7"/>
    <w:rsid w:val="0028644E"/>
    <w:rsid w:val="002B1EB2"/>
    <w:rsid w:val="00421880"/>
    <w:rsid w:val="004337BF"/>
    <w:rsid w:val="005127AA"/>
    <w:rsid w:val="00516EDE"/>
    <w:rsid w:val="005C3413"/>
    <w:rsid w:val="00613B87"/>
    <w:rsid w:val="00622075"/>
    <w:rsid w:val="006307E3"/>
    <w:rsid w:val="00831F26"/>
    <w:rsid w:val="0089341C"/>
    <w:rsid w:val="008C7A1B"/>
    <w:rsid w:val="008E5C3F"/>
    <w:rsid w:val="00A446FC"/>
    <w:rsid w:val="00B01C0C"/>
    <w:rsid w:val="00BA3B92"/>
    <w:rsid w:val="00BB7A34"/>
    <w:rsid w:val="00D31277"/>
    <w:rsid w:val="00D6024B"/>
    <w:rsid w:val="00EB2794"/>
    <w:rsid w:val="00F425BD"/>
    <w:rsid w:val="00FA0F0E"/>
    <w:rsid w:val="00FC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C4BC0"/>
  <w15:docId w15:val="{52F42B0C-AE0A-4CAC-80DD-59F6AA20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41C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41C61"/>
    <w:pPr>
      <w:spacing w:after="0" w:line="240" w:lineRule="auto"/>
    </w:pPr>
    <w:rPr>
      <w:rFonts w:eastAsiaTheme="minorHAnsi"/>
      <w:lang w:eastAsia="en-US"/>
    </w:rPr>
  </w:style>
  <w:style w:type="character" w:customStyle="1" w:styleId="NoSpacingChar">
    <w:name w:val="No Spacing Char"/>
    <w:link w:val="NoSpacing"/>
    <w:uiPriority w:val="1"/>
    <w:rsid w:val="00041C61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041C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41C61"/>
    <w:rPr>
      <w:color w:val="0000FF" w:themeColor="hyperlink"/>
      <w:u w:val="single"/>
    </w:rPr>
  </w:style>
  <w:style w:type="paragraph" w:customStyle="1" w:styleId="Body">
    <w:name w:val="Body"/>
    <w:rsid w:val="00041C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B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B87"/>
  </w:style>
  <w:style w:type="paragraph" w:styleId="Footer">
    <w:name w:val="footer"/>
    <w:basedOn w:val="Normal"/>
    <w:link w:val="FooterChar"/>
    <w:uiPriority w:val="99"/>
    <w:unhideWhenUsed/>
    <w:rsid w:val="00613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POKU, Kwame</dc:creator>
  <cp:lastModifiedBy>Sara SEKKENES</cp:lastModifiedBy>
  <cp:revision>2</cp:revision>
  <cp:lastPrinted>2017-02-20T12:12:00Z</cp:lastPrinted>
  <dcterms:created xsi:type="dcterms:W3CDTF">2017-02-22T12:11:00Z</dcterms:created>
  <dcterms:modified xsi:type="dcterms:W3CDTF">2017-02-22T12:11:00Z</dcterms:modified>
</cp:coreProperties>
</file>