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9BA1" w14:textId="4940CD53" w:rsidR="00041C61" w:rsidRPr="00613B87" w:rsidRDefault="00DD1FC7" w:rsidP="00041C61">
      <w:pPr>
        <w:rPr>
          <w:color w:val="000000" w:themeColor="text1"/>
        </w:rPr>
      </w:pPr>
      <w:r w:rsidRPr="00613B87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152B7" wp14:editId="032773CD">
                <wp:simplePos x="0" y="0"/>
                <wp:positionH relativeFrom="margin">
                  <wp:posOffset>-8890</wp:posOffset>
                </wp:positionH>
                <wp:positionV relativeFrom="paragraph">
                  <wp:posOffset>296545</wp:posOffset>
                </wp:positionV>
                <wp:extent cx="7179945" cy="657225"/>
                <wp:effectExtent l="0" t="0" r="2095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65722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DE8D7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D9B2" w14:textId="77777777" w:rsidR="00041C61" w:rsidRPr="009B1168" w:rsidRDefault="00FC20D2" w:rsidP="00B665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>HDN TT’s</w:t>
                            </w:r>
                            <w:r w:rsidR="00041C6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B6654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>2017/2018</w:t>
                            </w:r>
                            <w:r w:rsidR="00041C6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041C61" w:rsidRPr="009B116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work plan has </w:t>
                            </w:r>
                            <w:r w:rsidR="00B6654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>three</w:t>
                            </w:r>
                            <w:r w:rsidR="00041C61" w:rsidRPr="009B116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objectives:</w:t>
                            </w:r>
                          </w:p>
                          <w:p w14:paraId="572F792C" w14:textId="77777777" w:rsidR="002334CE" w:rsidRDefault="00746E4A" w:rsidP="00A44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Shape and contribute to common understanding of what is required to strengthen the humanitarian development and peacebuilding nexus</w:t>
                            </w:r>
                          </w:p>
                          <w:p w14:paraId="53488265" w14:textId="77777777" w:rsidR="00746E4A" w:rsidRDefault="00746E4A" w:rsidP="00A44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Review and assess current policy, guidance, and operational tools based on common understand to identify gaps and best practices</w:t>
                            </w:r>
                          </w:p>
                          <w:p w14:paraId="1FBF4EBC" w14:textId="77777777" w:rsidR="00746E4A" w:rsidRPr="00AF1E08" w:rsidRDefault="00746E4A" w:rsidP="00A44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Ensure coherence in field support towards successful implementation of the New Way of Working</w:t>
                            </w:r>
                            <w:r w:rsidR="00A12773"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 xml:space="preserve"> (NWoW)</w:t>
                            </w:r>
                          </w:p>
                          <w:p w14:paraId="093C474F" w14:textId="77777777" w:rsidR="00041C61" w:rsidRDefault="00041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5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3.35pt;width:565.3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" fillcolor="#fde8d7" strokecolor="#31849b [2408]">
                <v:fill r:id="rId7" o:title="" color2="white [3212]" type="pattern"/>
                <v:textbox>
                  <w:txbxContent>
                    <w:p w14:paraId="6B5FD9B2" w14:textId="77777777" w:rsidR="00041C61" w:rsidRPr="009B1168" w:rsidRDefault="00FC20D2" w:rsidP="00B665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>HDN TT’s</w:t>
                      </w:r>
                      <w:r w:rsidR="00041C61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B66548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>2017/2018</w:t>
                      </w:r>
                      <w:r w:rsidR="00041C61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041C61" w:rsidRPr="009B1168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 xml:space="preserve">work plan has </w:t>
                      </w:r>
                      <w:r w:rsidR="00B66548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>three</w:t>
                      </w:r>
                      <w:r w:rsidR="00041C61" w:rsidRPr="009B1168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 xml:space="preserve"> objectives:</w:t>
                      </w:r>
                    </w:p>
                    <w:p w14:paraId="572F792C" w14:textId="77777777" w:rsidR="002334CE" w:rsidRDefault="00746E4A" w:rsidP="00A44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>Shape and contribute to common understanding of what is required to strengthen the humanitarian development and peacebuilding nexus</w:t>
                      </w:r>
                    </w:p>
                    <w:p w14:paraId="53488265" w14:textId="77777777" w:rsidR="00746E4A" w:rsidRDefault="00746E4A" w:rsidP="00A44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>Review and assess current policy, guidance, and operational tools based on common understand to identify gaps and best practices</w:t>
                      </w:r>
                    </w:p>
                    <w:p w14:paraId="1FBF4EBC" w14:textId="77777777" w:rsidR="00746E4A" w:rsidRPr="00AF1E08" w:rsidRDefault="00746E4A" w:rsidP="00A44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>Ensure coherence in field support towards successful implementation of the New Way of Working</w:t>
                      </w:r>
                      <w:r w:rsidR="00A12773">
                        <w:rPr>
                          <w:rFonts w:ascii="Calibri" w:hAnsi="Calibri" w:cs="Calibri"/>
                          <w:sz w:val="18"/>
                          <w:szCs w:val="21"/>
                        </w:rPr>
                        <w:t xml:space="preserve"> (NWoW)</w:t>
                      </w:r>
                    </w:p>
                    <w:p w14:paraId="093C474F" w14:textId="77777777" w:rsidR="00041C61" w:rsidRDefault="00041C61"/>
                  </w:txbxContent>
                </v:textbox>
                <w10:wrap anchorx="margin"/>
              </v:shape>
            </w:pict>
          </mc:Fallback>
        </mc:AlternateContent>
      </w:r>
      <w:r w:rsidR="00041C61" w:rsidRPr="00613B87"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4DD70" wp14:editId="17929542">
                <wp:simplePos x="0" y="0"/>
                <wp:positionH relativeFrom="margin">
                  <wp:posOffset>-2540</wp:posOffset>
                </wp:positionH>
                <wp:positionV relativeFrom="paragraph">
                  <wp:posOffset>-357505</wp:posOffset>
                </wp:positionV>
                <wp:extent cx="7180028" cy="552734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028" cy="5527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260BF" w14:textId="77777777" w:rsidR="00041C61" w:rsidRPr="0089341C" w:rsidRDefault="00041C61" w:rsidP="0089341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IASC 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Task Team on Strengthening</w:t>
                            </w:r>
                            <w:r w:rsid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Humanitarian-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Development Nexus</w:t>
                            </w:r>
                            <w:r w:rsidR="00A446F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(HDN TT)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20D2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Protracted Settings</w:t>
                            </w:r>
                            <w:r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DD70" id="_x0000_s1027" type="#_x0000_t202" style="position:absolute;margin-left:-.2pt;margin-top:-28.15pt;width:565.3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" fillcolor="#8db3e2 [1311]">
                <v:textbox>
                  <w:txbxContent>
                    <w:p w14:paraId="234260BF" w14:textId="77777777" w:rsidR="00041C61" w:rsidRPr="0089341C" w:rsidRDefault="00041C61" w:rsidP="0089341C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IASC 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Task Team on Strengthening</w:t>
                      </w:r>
                      <w:r w:rsid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Humanitarian-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Development Nexus</w:t>
                      </w:r>
                      <w:r w:rsidR="00A446F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(HDN TT)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20D2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Protracted Settings</w:t>
                      </w:r>
                      <w:r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Progress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65EAE" w14:textId="6513F23C" w:rsidR="00041C61" w:rsidRPr="00613B87" w:rsidRDefault="00041C61" w:rsidP="00041C61">
      <w:pPr>
        <w:rPr>
          <w:color w:val="000000" w:themeColor="text1"/>
        </w:rPr>
      </w:pPr>
    </w:p>
    <w:p w14:paraId="2B5B2855" w14:textId="243D05D0" w:rsidR="00041C61" w:rsidRPr="00613B87" w:rsidRDefault="00041C61" w:rsidP="00041C61">
      <w:pPr>
        <w:rPr>
          <w:color w:val="000000" w:themeColor="text1"/>
        </w:rPr>
      </w:pPr>
    </w:p>
    <w:p w14:paraId="632706BD" w14:textId="3982DCF1" w:rsidR="00041C61" w:rsidRPr="00613B87" w:rsidRDefault="00DD1FC7" w:rsidP="00041C61">
      <w:pPr>
        <w:rPr>
          <w:color w:val="000000" w:themeColor="text1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B4DEC" wp14:editId="21AAC5C5">
                <wp:simplePos x="0" y="0"/>
                <wp:positionH relativeFrom="column">
                  <wp:posOffset>2800985</wp:posOffset>
                </wp:positionH>
                <wp:positionV relativeFrom="paragraph">
                  <wp:posOffset>158750</wp:posOffset>
                </wp:positionV>
                <wp:extent cx="1698625" cy="273685"/>
                <wp:effectExtent l="0" t="0" r="1587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736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BDC0" w14:textId="77777777" w:rsidR="00041C61" w:rsidRPr="00FD1C55" w:rsidRDefault="00041C61" w:rsidP="00041C6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  <w:t>General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4DEC" id="_x0000_s1028" type="#_x0000_t202" style="position:absolute;margin-left:220.55pt;margin-top:12.5pt;width:133.7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" fillcolor="#f2dbdb [661]" strokecolor="#f4e0e0">
                <v:fill r:id="rId8" o:title="" color2="white [3212]" type="pattern"/>
                <v:textbox>
                  <w:txbxContent>
                    <w:p w14:paraId="52E4BDC0" w14:textId="77777777" w:rsidR="00041C61" w:rsidRPr="00FD1C55" w:rsidRDefault="00041C61" w:rsidP="00041C6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  <w:t>General Achievements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C7D2655" w14:textId="68B38598" w:rsidR="00746E4A" w:rsidRDefault="00746E4A" w:rsidP="00DD1FC7">
      <w:pPr>
        <w:pStyle w:val="NoSpacing"/>
        <w:spacing w:after="80"/>
        <w:ind w:right="284"/>
        <w:jc w:val="both"/>
        <w:rPr>
          <w:color w:val="000000" w:themeColor="text1"/>
          <w:sz w:val="18"/>
          <w:szCs w:val="20"/>
        </w:rPr>
      </w:pPr>
    </w:p>
    <w:p w14:paraId="28345463" w14:textId="77777777" w:rsidR="005C3413" w:rsidRPr="00613B87" w:rsidRDefault="008C7A1B" w:rsidP="00152104">
      <w:pPr>
        <w:pStyle w:val="NoSpacing"/>
        <w:numPr>
          <w:ilvl w:val="0"/>
          <w:numId w:val="2"/>
        </w:numPr>
        <w:spacing w:after="80" w:line="228" w:lineRule="auto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Organized a </w:t>
      </w:r>
      <w:r w:rsidR="00746E4A">
        <w:rPr>
          <w:b/>
          <w:bCs/>
          <w:color w:val="000000" w:themeColor="text1"/>
          <w:sz w:val="18"/>
          <w:szCs w:val="20"/>
        </w:rPr>
        <w:t>peer-to-peer workshop</w:t>
      </w:r>
      <w:r w:rsidR="00152104">
        <w:rPr>
          <w:b/>
          <w:bCs/>
          <w:color w:val="000000" w:themeColor="text1"/>
          <w:sz w:val="18"/>
          <w:szCs w:val="20"/>
        </w:rPr>
        <w:t xml:space="preserve"> </w:t>
      </w:r>
      <w:r w:rsidR="00152104">
        <w:rPr>
          <w:color w:val="000000" w:themeColor="text1"/>
          <w:sz w:val="18"/>
          <w:szCs w:val="20"/>
        </w:rPr>
        <w:t>on HDPN</w:t>
      </w:r>
      <w:r w:rsidR="00746E4A">
        <w:rPr>
          <w:color w:val="000000" w:themeColor="text1"/>
          <w:sz w:val="18"/>
          <w:szCs w:val="20"/>
        </w:rPr>
        <w:t>, the first of its kind. The workshop was an opportunity to bring together field practitioners working on advancing collaboration between humanitarian, development, and peace-related activities.</w:t>
      </w:r>
    </w:p>
    <w:p w14:paraId="7A9614B5" w14:textId="77777777" w:rsidR="00041C61" w:rsidRPr="00613B87" w:rsidRDefault="002334CE" w:rsidP="00152104">
      <w:pPr>
        <w:pStyle w:val="NoSpacing"/>
        <w:numPr>
          <w:ilvl w:val="0"/>
          <w:numId w:val="2"/>
        </w:numPr>
        <w:spacing w:after="80" w:line="228" w:lineRule="auto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Produced </w:t>
      </w:r>
      <w:proofErr w:type="gramStart"/>
      <w:r w:rsidRPr="00613B87">
        <w:rPr>
          <w:color w:val="000000" w:themeColor="text1"/>
          <w:sz w:val="18"/>
          <w:szCs w:val="20"/>
        </w:rPr>
        <w:t xml:space="preserve">a number </w:t>
      </w:r>
      <w:r w:rsidRPr="00613B87">
        <w:rPr>
          <w:b/>
          <w:bCs/>
          <w:color w:val="000000" w:themeColor="text1"/>
          <w:sz w:val="18"/>
          <w:szCs w:val="20"/>
        </w:rPr>
        <w:t>of</w:t>
      </w:r>
      <w:proofErr w:type="gramEnd"/>
      <w:r w:rsidRPr="00613B87">
        <w:rPr>
          <w:b/>
          <w:bCs/>
          <w:color w:val="000000" w:themeColor="text1"/>
          <w:sz w:val="18"/>
          <w:szCs w:val="20"/>
        </w:rPr>
        <w:t xml:space="preserve"> key documents </w:t>
      </w:r>
      <w:r w:rsidR="00A446FC">
        <w:rPr>
          <w:b/>
          <w:bCs/>
          <w:color w:val="000000" w:themeColor="text1"/>
          <w:sz w:val="18"/>
          <w:szCs w:val="20"/>
        </w:rPr>
        <w:t>to advance</w:t>
      </w:r>
      <w:r w:rsidRPr="00613B87">
        <w:rPr>
          <w:b/>
          <w:bCs/>
          <w:color w:val="000000" w:themeColor="text1"/>
          <w:sz w:val="18"/>
          <w:szCs w:val="20"/>
        </w:rPr>
        <w:t xml:space="preserve"> a common understanding</w:t>
      </w:r>
      <w:r w:rsidR="00A446FC">
        <w:rPr>
          <w:b/>
          <w:bCs/>
          <w:color w:val="000000" w:themeColor="text1"/>
          <w:sz w:val="18"/>
          <w:szCs w:val="20"/>
        </w:rPr>
        <w:t xml:space="preserve">: </w:t>
      </w:r>
      <w:r w:rsidR="00A446FC" w:rsidRPr="00A446FC">
        <w:rPr>
          <w:color w:val="000000" w:themeColor="text1"/>
          <w:sz w:val="18"/>
          <w:szCs w:val="20"/>
        </w:rPr>
        <w:t>including</w:t>
      </w:r>
      <w:r w:rsidRPr="00613B87">
        <w:rPr>
          <w:color w:val="000000" w:themeColor="text1"/>
          <w:sz w:val="18"/>
          <w:szCs w:val="20"/>
        </w:rPr>
        <w:t xml:space="preserve"> </w:t>
      </w:r>
      <w:r w:rsidR="00746E4A">
        <w:rPr>
          <w:color w:val="000000" w:themeColor="text1"/>
          <w:sz w:val="18"/>
          <w:szCs w:val="20"/>
        </w:rPr>
        <w:t>updating the</w:t>
      </w:r>
      <w:r w:rsidR="00A446FC">
        <w:rPr>
          <w:color w:val="000000" w:themeColor="text1"/>
          <w:sz w:val="18"/>
          <w:szCs w:val="20"/>
        </w:rPr>
        <w:t xml:space="preserve"> mapping of</w:t>
      </w:r>
      <w:r w:rsidRPr="00613B87">
        <w:rPr>
          <w:color w:val="000000" w:themeColor="text1"/>
          <w:sz w:val="18"/>
          <w:szCs w:val="20"/>
        </w:rPr>
        <w:t xml:space="preserve"> existing operational and guidance documents on the </w:t>
      </w:r>
      <w:r w:rsidR="00A446FC">
        <w:rPr>
          <w:color w:val="000000" w:themeColor="text1"/>
          <w:sz w:val="18"/>
          <w:szCs w:val="20"/>
        </w:rPr>
        <w:t>HDN;</w:t>
      </w:r>
      <w:r w:rsidRPr="00613B87">
        <w:rPr>
          <w:color w:val="000000" w:themeColor="text1"/>
          <w:sz w:val="18"/>
          <w:szCs w:val="20"/>
        </w:rPr>
        <w:t xml:space="preserve"> </w:t>
      </w:r>
      <w:r w:rsidR="00746E4A">
        <w:rPr>
          <w:color w:val="000000" w:themeColor="text1"/>
          <w:sz w:val="18"/>
          <w:szCs w:val="20"/>
        </w:rPr>
        <w:t>country snapshots on HDN progress</w:t>
      </w:r>
      <w:r w:rsidR="001D69DA">
        <w:rPr>
          <w:color w:val="000000" w:themeColor="text1"/>
          <w:sz w:val="18"/>
          <w:szCs w:val="20"/>
        </w:rPr>
        <w:t>, a field survey to HC/RC and a questionnaire to field practitioners</w:t>
      </w:r>
      <w:r w:rsidR="00A12773">
        <w:rPr>
          <w:color w:val="000000" w:themeColor="text1"/>
          <w:sz w:val="18"/>
          <w:szCs w:val="20"/>
        </w:rPr>
        <w:t xml:space="preserve"> and together with the TT on HDPN of the UNDG Sustainable Development – Sustaining Peace Results Group, a draft Key Messages on the HDP Nexus</w:t>
      </w:r>
      <w:r w:rsidR="00746E4A">
        <w:rPr>
          <w:color w:val="000000" w:themeColor="text1"/>
          <w:sz w:val="18"/>
          <w:szCs w:val="20"/>
        </w:rPr>
        <w:t>.</w:t>
      </w:r>
    </w:p>
    <w:p w14:paraId="6AA54D2D" w14:textId="0303F412" w:rsidR="00041C61" w:rsidRPr="00613B87" w:rsidRDefault="00041C61" w:rsidP="00D41A7E">
      <w:pPr>
        <w:pStyle w:val="NoSpacing"/>
        <w:numPr>
          <w:ilvl w:val="0"/>
          <w:numId w:val="2"/>
        </w:numPr>
        <w:spacing w:after="80" w:line="228" w:lineRule="auto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Strengthened the </w:t>
      </w:r>
      <w:r w:rsidRPr="00613B87">
        <w:rPr>
          <w:b/>
          <w:bCs/>
          <w:color w:val="000000" w:themeColor="text1"/>
          <w:sz w:val="18"/>
          <w:szCs w:val="20"/>
        </w:rPr>
        <w:t xml:space="preserve">cooperation between IASC and </w:t>
      </w:r>
      <w:r w:rsidR="005C3413" w:rsidRPr="00613B87">
        <w:rPr>
          <w:b/>
          <w:bCs/>
          <w:color w:val="000000" w:themeColor="text1"/>
          <w:sz w:val="18"/>
          <w:szCs w:val="20"/>
        </w:rPr>
        <w:t>related mechanisms</w:t>
      </w:r>
      <w:r w:rsidRPr="00613B87">
        <w:rPr>
          <w:color w:val="000000" w:themeColor="text1"/>
          <w:sz w:val="18"/>
          <w:szCs w:val="20"/>
        </w:rPr>
        <w:t xml:space="preserve"> through </w:t>
      </w:r>
      <w:r w:rsidR="00746E4A">
        <w:rPr>
          <w:color w:val="000000" w:themeColor="text1"/>
          <w:sz w:val="18"/>
          <w:szCs w:val="20"/>
        </w:rPr>
        <w:t xml:space="preserve">effective information exchange with between </w:t>
      </w:r>
      <w:r w:rsidRPr="00613B87">
        <w:rPr>
          <w:color w:val="000000" w:themeColor="text1"/>
          <w:sz w:val="18"/>
          <w:szCs w:val="20"/>
        </w:rPr>
        <w:t xml:space="preserve">co-chairs of </w:t>
      </w:r>
      <w:r w:rsidR="0089341C" w:rsidRPr="00613B87">
        <w:rPr>
          <w:color w:val="000000" w:themeColor="text1"/>
          <w:sz w:val="18"/>
          <w:szCs w:val="20"/>
        </w:rPr>
        <w:t>HDN TT</w:t>
      </w:r>
      <w:r w:rsidR="00A12773">
        <w:rPr>
          <w:color w:val="000000" w:themeColor="text1"/>
          <w:sz w:val="18"/>
          <w:szCs w:val="20"/>
        </w:rPr>
        <w:t xml:space="preserve"> and</w:t>
      </w:r>
      <w:r w:rsidR="0089341C" w:rsidRPr="00613B87">
        <w:rPr>
          <w:color w:val="000000" w:themeColor="text1"/>
          <w:sz w:val="18"/>
          <w:szCs w:val="20"/>
        </w:rPr>
        <w:t xml:space="preserve"> </w:t>
      </w:r>
      <w:r w:rsidR="00746E4A">
        <w:rPr>
          <w:color w:val="000000" w:themeColor="text1"/>
          <w:sz w:val="18"/>
          <w:szCs w:val="20"/>
        </w:rPr>
        <w:t>co-chairs/process owners of</w:t>
      </w:r>
      <w:r w:rsidR="005C3413" w:rsidRPr="00613B87">
        <w:rPr>
          <w:color w:val="000000" w:themeColor="text1"/>
          <w:sz w:val="18"/>
          <w:szCs w:val="20"/>
        </w:rPr>
        <w:t xml:space="preserve"> those</w:t>
      </w:r>
      <w:r w:rsidRPr="00613B87">
        <w:rPr>
          <w:color w:val="000000" w:themeColor="text1"/>
          <w:sz w:val="18"/>
          <w:szCs w:val="20"/>
        </w:rPr>
        <w:t xml:space="preserve"> groups</w:t>
      </w:r>
      <w:r w:rsidR="005C3413" w:rsidRPr="00613B87">
        <w:rPr>
          <w:color w:val="000000" w:themeColor="text1"/>
          <w:sz w:val="18"/>
          <w:szCs w:val="20"/>
        </w:rPr>
        <w:t xml:space="preserve"> (</w:t>
      </w:r>
      <w:r w:rsidR="00D7214C">
        <w:rPr>
          <w:color w:val="000000" w:themeColor="text1"/>
          <w:sz w:val="18"/>
          <w:szCs w:val="20"/>
        </w:rPr>
        <w:t>STAIT</w:t>
      </w:r>
      <w:r w:rsidR="005C3413" w:rsidRPr="00613B87">
        <w:rPr>
          <w:color w:val="000000" w:themeColor="text1"/>
          <w:sz w:val="18"/>
          <w:szCs w:val="20"/>
        </w:rPr>
        <w:t xml:space="preserve">, IASC TT on Humanitarian Financing, Sphere Standards revision process, </w:t>
      </w:r>
      <w:r w:rsidR="00EB2794">
        <w:rPr>
          <w:color w:val="000000" w:themeColor="text1"/>
          <w:sz w:val="18"/>
          <w:szCs w:val="20"/>
        </w:rPr>
        <w:t xml:space="preserve">ICVA Webinar on recent developments in the HDP Nexus discussions, </w:t>
      </w:r>
      <w:r w:rsidR="005C3413" w:rsidRPr="00613B87">
        <w:rPr>
          <w:color w:val="000000" w:themeColor="text1"/>
          <w:sz w:val="18"/>
          <w:szCs w:val="20"/>
        </w:rPr>
        <w:t>Grand Bargain</w:t>
      </w:r>
      <w:r w:rsidR="00A12773">
        <w:rPr>
          <w:color w:val="000000" w:themeColor="text1"/>
          <w:sz w:val="18"/>
          <w:szCs w:val="20"/>
        </w:rPr>
        <w:t>, the TT on HDPN of the UNDG Results Group</w:t>
      </w:r>
      <w:r w:rsidR="005C3413" w:rsidRPr="00613B87">
        <w:rPr>
          <w:color w:val="000000" w:themeColor="text1"/>
          <w:sz w:val="18"/>
          <w:szCs w:val="20"/>
        </w:rPr>
        <w:t>)</w:t>
      </w:r>
    </w:p>
    <w:p w14:paraId="628EA710" w14:textId="77777777" w:rsidR="00041C61" w:rsidRDefault="00710E9B" w:rsidP="00A12773">
      <w:pPr>
        <w:pStyle w:val="NoSpacing"/>
        <w:spacing w:line="228" w:lineRule="auto"/>
        <w:ind w:left="284"/>
        <w:jc w:val="both"/>
        <w:rPr>
          <w:color w:val="000000" w:themeColor="text1"/>
          <w:sz w:val="18"/>
          <w:szCs w:val="20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45DD" wp14:editId="2AAA1E55">
                <wp:simplePos x="0" y="0"/>
                <wp:positionH relativeFrom="column">
                  <wp:posOffset>505460</wp:posOffset>
                </wp:positionH>
                <wp:positionV relativeFrom="paragraph">
                  <wp:posOffset>23495</wp:posOffset>
                </wp:positionV>
                <wp:extent cx="2819400" cy="273685"/>
                <wp:effectExtent l="0" t="0" r="1905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36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BBB2" w14:textId="77777777" w:rsidR="00041C61" w:rsidRPr="0089341C" w:rsidRDefault="0089341C" w:rsidP="00152104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Establish</w:t>
                            </w:r>
                            <w:r w:rsidR="006307E3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ing a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 xml:space="preserve"> Common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45DD" id="_x0000_s1029" type="#_x0000_t202" style="position:absolute;left:0;text-align:left;margin-left:39.8pt;margin-top:1.85pt;width:22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" fillcolor="#f2dbdb [661]" strokecolor="#f4e0e0">
                <v:fill r:id="rId8" o:title="" color2="white [3212]" type="pattern"/>
                <v:textbox>
                  <w:txbxContent>
                    <w:p w14:paraId="1EE3BBB2" w14:textId="77777777" w:rsidR="00041C61" w:rsidRPr="0089341C" w:rsidRDefault="0089341C" w:rsidP="00152104">
                      <w:pPr>
                        <w:pStyle w:val="Body"/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Establish</w:t>
                      </w:r>
                      <w:r w:rsidR="006307E3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ing a</w:t>
                      </w: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 xml:space="preserve"> Common Narrative</w:t>
                      </w:r>
                    </w:p>
                  </w:txbxContent>
                </v:textbox>
              </v:shape>
            </w:pict>
          </mc:Fallback>
        </mc:AlternateContent>
      </w: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DAB3E0" wp14:editId="07337DAF">
                <wp:simplePos x="0" y="0"/>
                <wp:positionH relativeFrom="margin">
                  <wp:posOffset>4166235</wp:posOffset>
                </wp:positionH>
                <wp:positionV relativeFrom="paragraph">
                  <wp:posOffset>13970</wp:posOffset>
                </wp:positionV>
                <wp:extent cx="2712085" cy="287020"/>
                <wp:effectExtent l="0" t="0" r="120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28702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CCBA" w14:textId="77777777" w:rsidR="00B66548" w:rsidRPr="0089341C" w:rsidRDefault="00152104" w:rsidP="00B6654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 xml:space="preserve">2. </w:t>
                            </w:r>
                            <w:r w:rsidR="00B66548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Identifying Gaps and Best Practices</w:t>
                            </w:r>
                          </w:p>
                          <w:p w14:paraId="65CCC0A7" w14:textId="77777777" w:rsidR="00041C61" w:rsidRPr="00FD1C55" w:rsidRDefault="00041C61" w:rsidP="00041C6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B3E0" id="_x0000_s1030" type="#_x0000_t202" style="position:absolute;left:0;text-align:left;margin-left:328.05pt;margin-top:1.1pt;width:213.55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" fillcolor="#f2dbdb [661]" strokecolor="#f4e0e0">
                <v:fill r:id="rId8" o:title="" color2="white [3212]" type="pattern"/>
                <v:textbox>
                  <w:txbxContent>
                    <w:p w14:paraId="373ACCBA" w14:textId="77777777" w:rsidR="00B66548" w:rsidRPr="0089341C" w:rsidRDefault="00152104" w:rsidP="00B66548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 xml:space="preserve">2. </w:t>
                      </w:r>
                      <w:r w:rsidR="00B66548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Identifying Gaps and Best Practices</w:t>
                      </w:r>
                    </w:p>
                    <w:p w14:paraId="65CCC0A7" w14:textId="77777777" w:rsidR="00041C61" w:rsidRPr="00FD1C55" w:rsidRDefault="00041C61" w:rsidP="00041C6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C0A59" w14:textId="77777777" w:rsidR="00A12773" w:rsidRPr="00613B87" w:rsidRDefault="00A12773" w:rsidP="00A12773">
      <w:pPr>
        <w:pStyle w:val="NoSpacing"/>
        <w:spacing w:line="228" w:lineRule="auto"/>
        <w:ind w:left="284"/>
        <w:jc w:val="both"/>
        <w:rPr>
          <w:color w:val="000000" w:themeColor="text1"/>
          <w:sz w:val="18"/>
          <w:szCs w:val="20"/>
        </w:rPr>
        <w:sectPr w:rsidR="00A12773" w:rsidRPr="00613B87" w:rsidSect="00B665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284" w:bottom="567" w:left="284" w:header="709" w:footer="709" w:gutter="0"/>
          <w:cols w:space="708"/>
          <w:docGrid w:linePitch="360"/>
        </w:sectPr>
      </w:pPr>
    </w:p>
    <w:p w14:paraId="0415C3A4" w14:textId="77777777" w:rsidR="00041C61" w:rsidRPr="00613B87" w:rsidRDefault="00041C61" w:rsidP="00152104">
      <w:pPr>
        <w:pStyle w:val="ListParagraph"/>
        <w:spacing w:line="228" w:lineRule="auto"/>
        <w:rPr>
          <w:color w:val="000000" w:themeColor="text1"/>
          <w:sz w:val="18"/>
          <w:szCs w:val="20"/>
        </w:rPr>
      </w:pPr>
    </w:p>
    <w:p w14:paraId="51FF0CBF" w14:textId="77777777" w:rsidR="00041C61" w:rsidRPr="00613B87" w:rsidRDefault="00041C61" w:rsidP="00A12773">
      <w:pPr>
        <w:pStyle w:val="NoSpacing"/>
        <w:spacing w:line="228" w:lineRule="auto"/>
        <w:jc w:val="both"/>
        <w:rPr>
          <w:color w:val="000000" w:themeColor="text1"/>
          <w:sz w:val="18"/>
          <w:szCs w:val="20"/>
        </w:rPr>
      </w:pPr>
    </w:p>
    <w:p w14:paraId="4098CEA2" w14:textId="77777777" w:rsidR="00D31277" w:rsidRPr="00613B87" w:rsidRDefault="00D31277" w:rsidP="00152104">
      <w:pPr>
        <w:pStyle w:val="NoSpacing"/>
        <w:numPr>
          <w:ilvl w:val="0"/>
          <w:numId w:val="2"/>
        </w:numPr>
        <w:spacing w:after="80" w:line="228" w:lineRule="auto"/>
        <w:ind w:left="426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Along with the support team of the co-chairs of the Working Group on Transitions, the HDN TT is in the process of developing a series of key messages on the </w:t>
      </w:r>
      <w:r w:rsidR="00A12773">
        <w:rPr>
          <w:color w:val="000000" w:themeColor="text1"/>
          <w:sz w:val="18"/>
          <w:szCs w:val="20"/>
        </w:rPr>
        <w:t>NWoW</w:t>
      </w:r>
      <w:r w:rsidRPr="00613B87">
        <w:rPr>
          <w:color w:val="000000" w:themeColor="text1"/>
          <w:sz w:val="18"/>
          <w:szCs w:val="20"/>
        </w:rPr>
        <w:t xml:space="preserve">. Building on bilateral meetings held with various agencies, this document presents a </w:t>
      </w:r>
      <w:r w:rsidRPr="00613B87">
        <w:rPr>
          <w:b/>
          <w:bCs/>
          <w:color w:val="000000" w:themeColor="text1"/>
          <w:sz w:val="18"/>
          <w:szCs w:val="20"/>
        </w:rPr>
        <w:t>shared view of the context, challenges and, opportunities</w:t>
      </w:r>
      <w:r w:rsidRPr="00613B87">
        <w:rPr>
          <w:color w:val="000000" w:themeColor="text1"/>
          <w:sz w:val="18"/>
          <w:szCs w:val="20"/>
        </w:rPr>
        <w:t xml:space="preserve"> related to implementing the </w:t>
      </w:r>
      <w:r w:rsidR="00A12773">
        <w:rPr>
          <w:color w:val="000000" w:themeColor="text1"/>
          <w:sz w:val="18"/>
          <w:szCs w:val="20"/>
        </w:rPr>
        <w:t>NWoW</w:t>
      </w:r>
      <w:r w:rsidRPr="00613B87">
        <w:rPr>
          <w:color w:val="000000" w:themeColor="text1"/>
          <w:sz w:val="18"/>
          <w:szCs w:val="20"/>
        </w:rPr>
        <w:t>.</w:t>
      </w:r>
      <w:r w:rsidR="00746E4A">
        <w:rPr>
          <w:color w:val="000000" w:themeColor="text1"/>
          <w:sz w:val="18"/>
          <w:szCs w:val="20"/>
        </w:rPr>
        <w:t xml:space="preserve"> This document is currently with the </w:t>
      </w:r>
      <w:r w:rsidR="001D69DA">
        <w:rPr>
          <w:color w:val="000000" w:themeColor="text1"/>
          <w:sz w:val="18"/>
          <w:szCs w:val="20"/>
        </w:rPr>
        <w:t>co-chairs of the UNDG Results G</w:t>
      </w:r>
      <w:r w:rsidR="00746E4A">
        <w:rPr>
          <w:color w:val="000000" w:themeColor="text1"/>
          <w:sz w:val="18"/>
          <w:szCs w:val="20"/>
        </w:rPr>
        <w:t>roup on Sustaining Peace and Sustainable Development’s Task Team on HDP</w:t>
      </w:r>
      <w:r w:rsidR="001D69DA">
        <w:rPr>
          <w:color w:val="000000" w:themeColor="text1"/>
          <w:sz w:val="18"/>
          <w:szCs w:val="20"/>
        </w:rPr>
        <w:t>N</w:t>
      </w:r>
      <w:r w:rsidR="00152104">
        <w:rPr>
          <w:color w:val="000000" w:themeColor="text1"/>
          <w:sz w:val="18"/>
          <w:szCs w:val="20"/>
        </w:rPr>
        <w:t>.</w:t>
      </w:r>
    </w:p>
    <w:p w14:paraId="413BEF20" w14:textId="77777777" w:rsidR="00041C61" w:rsidRPr="00613B87" w:rsidRDefault="00B01C0C" w:rsidP="00152104">
      <w:pPr>
        <w:pStyle w:val="NoSpacing"/>
        <w:numPr>
          <w:ilvl w:val="0"/>
          <w:numId w:val="2"/>
        </w:numPr>
        <w:spacing w:after="80" w:line="228" w:lineRule="auto"/>
        <w:ind w:left="426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The </w:t>
      </w:r>
      <w:r w:rsidR="00A12773">
        <w:rPr>
          <w:color w:val="000000" w:themeColor="text1"/>
          <w:sz w:val="18"/>
          <w:szCs w:val="20"/>
        </w:rPr>
        <w:t xml:space="preserve">HDN TT </w:t>
      </w:r>
      <w:r w:rsidRPr="00613B87">
        <w:rPr>
          <w:color w:val="000000" w:themeColor="text1"/>
          <w:sz w:val="18"/>
          <w:szCs w:val="20"/>
        </w:rPr>
        <w:t xml:space="preserve">currently serves as a repository for tracking and compiling both agency-specific and inter-agency processes related to the </w:t>
      </w:r>
      <w:r w:rsidR="00A12773">
        <w:rPr>
          <w:color w:val="000000" w:themeColor="text1"/>
          <w:sz w:val="18"/>
          <w:szCs w:val="20"/>
        </w:rPr>
        <w:t>NWoW</w:t>
      </w:r>
      <w:r w:rsidR="00041C61" w:rsidRPr="00613B87">
        <w:rPr>
          <w:color w:val="000000" w:themeColor="text1"/>
          <w:sz w:val="18"/>
          <w:szCs w:val="20"/>
        </w:rPr>
        <w:t xml:space="preserve">. </w:t>
      </w:r>
      <w:r w:rsidR="00D31277" w:rsidRPr="00613B87">
        <w:rPr>
          <w:color w:val="000000" w:themeColor="text1"/>
          <w:sz w:val="18"/>
          <w:szCs w:val="20"/>
        </w:rPr>
        <w:t xml:space="preserve">To this end, the TT </w:t>
      </w:r>
      <w:r w:rsidR="001D69DA">
        <w:rPr>
          <w:color w:val="000000" w:themeColor="text1"/>
          <w:sz w:val="18"/>
          <w:szCs w:val="20"/>
        </w:rPr>
        <w:t>continues to keep</w:t>
      </w:r>
      <w:r w:rsidR="00D31277" w:rsidRPr="00613B87">
        <w:rPr>
          <w:color w:val="000000" w:themeColor="text1"/>
          <w:sz w:val="18"/>
          <w:szCs w:val="20"/>
        </w:rPr>
        <w:t xml:space="preserve"> a </w:t>
      </w:r>
      <w:r w:rsidR="00D31277" w:rsidRPr="00613B87">
        <w:rPr>
          <w:b/>
          <w:bCs/>
          <w:color w:val="000000" w:themeColor="text1"/>
          <w:sz w:val="18"/>
          <w:szCs w:val="20"/>
        </w:rPr>
        <w:t xml:space="preserve">Mapping of Existing Operational and Guidance Documents </w:t>
      </w:r>
      <w:r w:rsidR="00D31277" w:rsidRPr="00613B87">
        <w:rPr>
          <w:color w:val="000000" w:themeColor="text1"/>
          <w:sz w:val="18"/>
          <w:szCs w:val="20"/>
        </w:rPr>
        <w:t xml:space="preserve">which has served as common reference point and background document for various meetings </w:t>
      </w:r>
      <w:r w:rsidR="00A446FC">
        <w:rPr>
          <w:color w:val="000000" w:themeColor="text1"/>
          <w:sz w:val="18"/>
          <w:szCs w:val="20"/>
        </w:rPr>
        <w:t>incl</w:t>
      </w:r>
      <w:r w:rsidR="00A12773">
        <w:rPr>
          <w:color w:val="000000" w:themeColor="text1"/>
          <w:sz w:val="18"/>
          <w:szCs w:val="20"/>
        </w:rPr>
        <w:t>.</w:t>
      </w:r>
      <w:r w:rsidR="00A446FC">
        <w:rPr>
          <w:color w:val="000000" w:themeColor="text1"/>
          <w:sz w:val="18"/>
          <w:szCs w:val="20"/>
        </w:rPr>
        <w:t xml:space="preserve"> </w:t>
      </w:r>
      <w:r w:rsidR="00D31277" w:rsidRPr="00613B87">
        <w:rPr>
          <w:color w:val="000000" w:themeColor="text1"/>
          <w:sz w:val="18"/>
          <w:szCs w:val="20"/>
        </w:rPr>
        <w:t>the Grand Bargain Sherpas meeting.</w:t>
      </w:r>
    </w:p>
    <w:p w14:paraId="33516309" w14:textId="0CEE59CE" w:rsidR="00D31277" w:rsidRPr="00613B87" w:rsidRDefault="00D31277" w:rsidP="00152104">
      <w:pPr>
        <w:pStyle w:val="NoSpacing"/>
        <w:numPr>
          <w:ilvl w:val="0"/>
          <w:numId w:val="2"/>
        </w:numPr>
        <w:spacing w:after="80" w:line="228" w:lineRule="auto"/>
        <w:ind w:left="426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>Acknowled</w:t>
      </w:r>
      <w:r w:rsidR="001D69DA">
        <w:rPr>
          <w:color w:val="000000" w:themeColor="text1"/>
          <w:sz w:val="18"/>
          <w:szCs w:val="20"/>
        </w:rPr>
        <w:t>ging that many prot</w:t>
      </w:r>
      <w:r w:rsidR="00BA3915">
        <w:rPr>
          <w:color w:val="000000" w:themeColor="text1"/>
          <w:sz w:val="18"/>
          <w:szCs w:val="20"/>
        </w:rPr>
        <w:t>ra</w:t>
      </w:r>
      <w:r w:rsidR="001D69DA">
        <w:rPr>
          <w:color w:val="000000" w:themeColor="text1"/>
          <w:sz w:val="18"/>
          <w:szCs w:val="20"/>
        </w:rPr>
        <w:t>cted crises are either cause</w:t>
      </w:r>
      <w:r w:rsidR="00BA3915">
        <w:rPr>
          <w:color w:val="000000" w:themeColor="text1"/>
          <w:sz w:val="18"/>
          <w:szCs w:val="20"/>
        </w:rPr>
        <w:t>d</w:t>
      </w:r>
      <w:r w:rsidR="001D69DA">
        <w:rPr>
          <w:color w:val="000000" w:themeColor="text1"/>
          <w:sz w:val="18"/>
          <w:szCs w:val="20"/>
        </w:rPr>
        <w:t xml:space="preserve"> or exacerbated by </w:t>
      </w:r>
      <w:r w:rsidR="00BA3915">
        <w:rPr>
          <w:color w:val="000000" w:themeColor="text1"/>
          <w:sz w:val="18"/>
          <w:szCs w:val="20"/>
        </w:rPr>
        <w:t xml:space="preserve">unresolved </w:t>
      </w:r>
      <w:r w:rsidR="001D69DA">
        <w:rPr>
          <w:color w:val="000000" w:themeColor="text1"/>
          <w:sz w:val="18"/>
          <w:szCs w:val="20"/>
        </w:rPr>
        <w:t>conflict situation</w:t>
      </w:r>
      <w:r w:rsidR="00BA3915">
        <w:rPr>
          <w:color w:val="000000" w:themeColor="text1"/>
          <w:sz w:val="18"/>
          <w:szCs w:val="20"/>
        </w:rPr>
        <w:t>s</w:t>
      </w:r>
      <w:r w:rsidR="001D69DA">
        <w:rPr>
          <w:color w:val="000000" w:themeColor="text1"/>
          <w:sz w:val="18"/>
          <w:szCs w:val="20"/>
        </w:rPr>
        <w:t>, as well as against the background of the sustaining peace resolution</w:t>
      </w:r>
      <w:r w:rsidR="00BA3915">
        <w:rPr>
          <w:color w:val="000000" w:themeColor="text1"/>
          <w:sz w:val="18"/>
          <w:szCs w:val="20"/>
        </w:rPr>
        <w:t>s</w:t>
      </w:r>
      <w:r w:rsidR="001D69DA">
        <w:rPr>
          <w:color w:val="000000" w:themeColor="text1"/>
          <w:sz w:val="18"/>
          <w:szCs w:val="20"/>
        </w:rPr>
        <w:t xml:space="preserve">, the TT produced an </w:t>
      </w:r>
      <w:hyperlink r:id="rId15" w:history="1">
        <w:r w:rsidR="001D69DA" w:rsidRPr="00BA3915">
          <w:rPr>
            <w:rStyle w:val="Hyperlink"/>
            <w:sz w:val="18"/>
            <w:szCs w:val="20"/>
          </w:rPr>
          <w:t>Analysis Piece on the Intersection</w:t>
        </w:r>
      </w:hyperlink>
      <w:r w:rsidR="001D69DA">
        <w:rPr>
          <w:b/>
          <w:bCs/>
          <w:color w:val="000000" w:themeColor="text1"/>
          <w:sz w:val="18"/>
          <w:szCs w:val="20"/>
        </w:rPr>
        <w:t xml:space="preserve"> between the </w:t>
      </w:r>
      <w:r w:rsidR="00A12773">
        <w:rPr>
          <w:b/>
          <w:bCs/>
          <w:color w:val="000000" w:themeColor="text1"/>
          <w:sz w:val="18"/>
          <w:szCs w:val="20"/>
        </w:rPr>
        <w:t>NWoW</w:t>
      </w:r>
      <w:r w:rsidR="001D69DA">
        <w:rPr>
          <w:b/>
          <w:bCs/>
          <w:color w:val="000000" w:themeColor="text1"/>
          <w:sz w:val="18"/>
          <w:szCs w:val="20"/>
        </w:rPr>
        <w:t xml:space="preserve"> and the Sustaining Peace Resolutions.</w:t>
      </w:r>
    </w:p>
    <w:p w14:paraId="545123E3" w14:textId="77777777" w:rsidR="00041C61" w:rsidRPr="00613B87" w:rsidRDefault="001D69DA" w:rsidP="00152104">
      <w:pPr>
        <w:pStyle w:val="NoSpacing"/>
        <w:spacing w:after="80" w:line="228" w:lineRule="auto"/>
        <w:jc w:val="both"/>
        <w:rPr>
          <w:color w:val="000000" w:themeColor="text1"/>
          <w:sz w:val="18"/>
          <w:szCs w:val="18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EDC89" wp14:editId="230F7399">
                <wp:simplePos x="0" y="0"/>
                <wp:positionH relativeFrom="column">
                  <wp:posOffset>772160</wp:posOffset>
                </wp:positionH>
                <wp:positionV relativeFrom="paragraph">
                  <wp:posOffset>20955</wp:posOffset>
                </wp:positionV>
                <wp:extent cx="2162175" cy="27432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432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0D99" w14:textId="77777777" w:rsidR="00B66548" w:rsidRPr="0065090C" w:rsidRDefault="00152104" w:rsidP="00B6654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  <w:t xml:space="preserve">3. </w:t>
                            </w:r>
                            <w:r w:rsidR="00B66548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  <w:t>Country and Field Support</w:t>
                            </w:r>
                          </w:p>
                          <w:p w14:paraId="19DFA67D" w14:textId="77777777" w:rsidR="00041C61" w:rsidRPr="0089341C" w:rsidRDefault="00041C61" w:rsidP="001800CB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DC89" id="_x0000_s1031" type="#_x0000_t202" style="position:absolute;left:0;text-align:left;margin-left:60.8pt;margin-top:1.65pt;width:170.2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" fillcolor="#f2dbdb [661]" strokecolor="#f4e0e0">
                <v:fill r:id="rId8" o:title="" color2="white [3212]" type="pattern"/>
                <v:textbox>
                  <w:txbxContent>
                    <w:p w14:paraId="715D0D99" w14:textId="77777777" w:rsidR="00B66548" w:rsidRPr="0065090C" w:rsidRDefault="00152104" w:rsidP="00B66548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  <w:t xml:space="preserve">3. </w:t>
                      </w:r>
                      <w:r w:rsidR="00B66548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  <w:t>Country and Field Support</w:t>
                      </w:r>
                    </w:p>
                    <w:p w14:paraId="19DFA67D" w14:textId="77777777" w:rsidR="00041C61" w:rsidRPr="0089341C" w:rsidRDefault="00041C61" w:rsidP="001800CB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AB094" w14:textId="77777777" w:rsidR="00041C61" w:rsidRPr="00613B87" w:rsidRDefault="00041C61" w:rsidP="00152104">
      <w:pPr>
        <w:pStyle w:val="NoSpacing"/>
        <w:spacing w:after="80" w:line="228" w:lineRule="auto"/>
        <w:ind w:left="284"/>
        <w:jc w:val="both"/>
        <w:rPr>
          <w:color w:val="000000" w:themeColor="text1"/>
          <w:sz w:val="18"/>
          <w:szCs w:val="18"/>
        </w:rPr>
      </w:pPr>
    </w:p>
    <w:p w14:paraId="2BB4F3EF" w14:textId="2BA87447" w:rsidR="009F0B03" w:rsidRDefault="009F0B03" w:rsidP="00152104">
      <w:pPr>
        <w:pStyle w:val="NoSpacing"/>
        <w:numPr>
          <w:ilvl w:val="0"/>
          <w:numId w:val="5"/>
        </w:numPr>
        <w:spacing w:after="120" w:line="228" w:lineRule="auto"/>
        <w:ind w:left="425"/>
        <w:jc w:val="both"/>
        <w:rPr>
          <w:rFonts w:ascii="Calibri" w:hAnsi="Calibri" w:cs="Calibri"/>
          <w:sz w:val="18"/>
          <w:szCs w:val="21"/>
        </w:rPr>
      </w:pPr>
      <w:r>
        <w:rPr>
          <w:color w:val="000000" w:themeColor="text1"/>
          <w:sz w:val="18"/>
          <w:szCs w:val="18"/>
        </w:rPr>
        <w:t>In</w:t>
      </w:r>
      <w:r w:rsidRPr="00613B87">
        <w:rPr>
          <w:color w:val="000000" w:themeColor="text1"/>
          <w:sz w:val="18"/>
          <w:szCs w:val="18"/>
        </w:rPr>
        <w:t xml:space="preserve"> 2017, the </w:t>
      </w:r>
      <w:r>
        <w:rPr>
          <w:color w:val="000000" w:themeColor="text1"/>
          <w:sz w:val="18"/>
          <w:szCs w:val="18"/>
        </w:rPr>
        <w:t>HDN TT</w:t>
      </w:r>
      <w:r w:rsidRPr="00613B87">
        <w:rPr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continued to</w:t>
      </w:r>
      <w:r w:rsidRPr="00A50468">
        <w:rPr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r</w:t>
      </w:r>
      <w:r>
        <w:rPr>
          <w:rFonts w:ascii="Calibri" w:hAnsi="Calibri" w:cs="Calibri"/>
          <w:sz w:val="18"/>
          <w:szCs w:val="21"/>
        </w:rPr>
        <w:t>eview and assess current policy, g</w:t>
      </w:r>
      <w:r w:rsidRPr="002334CE">
        <w:rPr>
          <w:rFonts w:ascii="Calibri" w:hAnsi="Calibri" w:cs="Calibri"/>
          <w:sz w:val="18"/>
          <w:szCs w:val="21"/>
        </w:rPr>
        <w:t xml:space="preserve">uidance and operational tools to identify gaps and </w:t>
      </w:r>
      <w:r>
        <w:rPr>
          <w:rFonts w:ascii="Calibri" w:hAnsi="Calibri" w:cs="Calibri"/>
          <w:sz w:val="18"/>
          <w:szCs w:val="21"/>
        </w:rPr>
        <w:t xml:space="preserve">good </w:t>
      </w:r>
      <w:r w:rsidRPr="002334CE">
        <w:rPr>
          <w:rFonts w:ascii="Calibri" w:hAnsi="Calibri" w:cs="Calibri"/>
          <w:sz w:val="18"/>
          <w:szCs w:val="21"/>
        </w:rPr>
        <w:t>practices</w:t>
      </w:r>
      <w:r>
        <w:rPr>
          <w:rFonts w:ascii="Calibri" w:hAnsi="Calibri" w:cs="Calibri"/>
          <w:sz w:val="18"/>
          <w:szCs w:val="21"/>
        </w:rPr>
        <w:t xml:space="preserve"> in field operations, collate good practices, and provide </w:t>
      </w:r>
      <w:r w:rsidRPr="00A50468">
        <w:rPr>
          <w:b/>
          <w:bCs/>
          <w:color w:val="000000" w:themeColor="text1"/>
          <w:sz w:val="18"/>
          <w:szCs w:val="18"/>
        </w:rPr>
        <w:t xml:space="preserve">technical support </w:t>
      </w:r>
      <w:r>
        <w:rPr>
          <w:b/>
          <w:bCs/>
          <w:color w:val="000000" w:themeColor="text1"/>
          <w:sz w:val="18"/>
          <w:szCs w:val="18"/>
        </w:rPr>
        <w:t xml:space="preserve">and guidance on the implementation </w:t>
      </w:r>
      <w:r w:rsidRPr="00A50468">
        <w:rPr>
          <w:color w:val="000000" w:themeColor="text1"/>
          <w:sz w:val="18"/>
          <w:szCs w:val="18"/>
        </w:rPr>
        <w:t xml:space="preserve">of the </w:t>
      </w:r>
      <w:r w:rsidR="00BA3915">
        <w:rPr>
          <w:color w:val="000000" w:themeColor="text1"/>
          <w:sz w:val="18"/>
          <w:szCs w:val="20"/>
        </w:rPr>
        <w:t>NWoW</w:t>
      </w:r>
      <w:r w:rsidRPr="00A50468">
        <w:rPr>
          <w:color w:val="000000" w:themeColor="text1"/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t>To this end</w:t>
      </w:r>
      <w:r w:rsidRPr="00A50468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 xml:space="preserve">a </w:t>
      </w:r>
      <w:r w:rsidRPr="00A50468">
        <w:rPr>
          <w:b/>
          <w:bCs/>
          <w:color w:val="000000" w:themeColor="text1"/>
          <w:sz w:val="18"/>
          <w:szCs w:val="18"/>
        </w:rPr>
        <w:t xml:space="preserve">mission </w:t>
      </w:r>
      <w:r>
        <w:rPr>
          <w:b/>
          <w:bCs/>
          <w:color w:val="000000" w:themeColor="text1"/>
          <w:sz w:val="18"/>
          <w:szCs w:val="18"/>
        </w:rPr>
        <w:t>was undertaken</w:t>
      </w:r>
      <w:r w:rsidRPr="00A50468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to</w:t>
      </w:r>
      <w:r w:rsidRPr="00A50468">
        <w:rPr>
          <w:b/>
          <w:bCs/>
          <w:color w:val="000000" w:themeColor="text1"/>
          <w:sz w:val="18"/>
          <w:szCs w:val="18"/>
        </w:rPr>
        <w:t xml:space="preserve"> Sudan, at the request of the RC/HC and in collaboration with WGT and the Global Cluster Coordinators.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Also at the request of the HC/RC</w:t>
      </w:r>
      <w:r w:rsidR="00152104">
        <w:rPr>
          <w:color w:val="000000" w:themeColor="text1"/>
          <w:sz w:val="18"/>
          <w:szCs w:val="18"/>
        </w:rPr>
        <w:t xml:space="preserve"> Mali</w:t>
      </w:r>
      <w:r>
        <w:rPr>
          <w:color w:val="000000" w:themeColor="text1"/>
          <w:sz w:val="18"/>
          <w:szCs w:val="18"/>
        </w:rPr>
        <w:t xml:space="preserve"> terms of reference are currently being finalized to </w:t>
      </w:r>
      <w:r w:rsidRPr="00BA3915">
        <w:rPr>
          <w:b/>
          <w:color w:val="000000" w:themeColor="text1"/>
          <w:sz w:val="18"/>
          <w:szCs w:val="18"/>
        </w:rPr>
        <w:t>p</w:t>
      </w:r>
      <w:r w:rsidRPr="00BA3915">
        <w:rPr>
          <w:b/>
          <w:bCs/>
          <w:color w:val="000000" w:themeColor="text1"/>
          <w:sz w:val="18"/>
          <w:szCs w:val="18"/>
        </w:rPr>
        <w:t>ro</w:t>
      </w:r>
      <w:r w:rsidRPr="00152104">
        <w:rPr>
          <w:b/>
          <w:bCs/>
          <w:color w:val="000000" w:themeColor="text1"/>
          <w:sz w:val="18"/>
          <w:szCs w:val="18"/>
        </w:rPr>
        <w:t xml:space="preserve">vide short term support to the </w:t>
      </w:r>
      <w:r w:rsidR="00BA3915">
        <w:rPr>
          <w:b/>
          <w:bCs/>
          <w:color w:val="000000" w:themeColor="text1"/>
          <w:sz w:val="18"/>
          <w:szCs w:val="18"/>
        </w:rPr>
        <w:t>UNCT</w:t>
      </w:r>
      <w:r>
        <w:rPr>
          <w:color w:val="000000" w:themeColor="text1"/>
          <w:sz w:val="18"/>
          <w:szCs w:val="18"/>
        </w:rPr>
        <w:t xml:space="preserve"> to further current advancements in strengthening collaboration between humanitarian, development, and mission actors.</w:t>
      </w:r>
    </w:p>
    <w:p w14:paraId="57FEED51" w14:textId="37F748FA" w:rsidR="009F0B03" w:rsidRPr="00610366" w:rsidRDefault="009F0B03" w:rsidP="00D41A7E">
      <w:pPr>
        <w:pStyle w:val="NoSpacing"/>
        <w:numPr>
          <w:ilvl w:val="0"/>
          <w:numId w:val="5"/>
        </w:numPr>
        <w:spacing w:after="120" w:line="228" w:lineRule="auto"/>
        <w:ind w:left="425"/>
        <w:jc w:val="both"/>
        <w:rPr>
          <w:rFonts w:ascii="Calibri" w:hAnsi="Calibri" w:cs="Calibri"/>
          <w:sz w:val="18"/>
          <w:szCs w:val="21"/>
        </w:rPr>
      </w:pPr>
      <w:r w:rsidRPr="00610366">
        <w:rPr>
          <w:color w:val="000000" w:themeColor="text1"/>
          <w:sz w:val="18"/>
          <w:szCs w:val="18"/>
        </w:rPr>
        <w:t xml:space="preserve">The participants of the workshop in Entebbe, </w:t>
      </w:r>
      <w:r w:rsidRPr="00610366">
        <w:rPr>
          <w:b/>
          <w:bCs/>
          <w:color w:val="000000" w:themeColor="text1"/>
          <w:sz w:val="18"/>
          <w:szCs w:val="18"/>
        </w:rPr>
        <w:t>establish</w:t>
      </w:r>
      <w:r w:rsidR="00BA3915">
        <w:rPr>
          <w:b/>
          <w:bCs/>
          <w:color w:val="000000" w:themeColor="text1"/>
          <w:sz w:val="18"/>
          <w:szCs w:val="18"/>
        </w:rPr>
        <w:t>ed</w:t>
      </w:r>
      <w:r w:rsidRPr="00610366">
        <w:rPr>
          <w:b/>
          <w:bCs/>
          <w:color w:val="000000" w:themeColor="text1"/>
          <w:sz w:val="18"/>
          <w:szCs w:val="18"/>
        </w:rPr>
        <w:t xml:space="preserve"> a community of practice (HDN </w:t>
      </w:r>
      <w:proofErr w:type="spellStart"/>
      <w:r w:rsidRPr="00610366">
        <w:rPr>
          <w:b/>
          <w:bCs/>
          <w:color w:val="000000" w:themeColor="text1"/>
          <w:sz w:val="18"/>
          <w:szCs w:val="18"/>
        </w:rPr>
        <w:t>CoP</w:t>
      </w:r>
      <w:proofErr w:type="spellEnd"/>
      <w:r w:rsidRPr="00610366">
        <w:rPr>
          <w:b/>
          <w:bCs/>
          <w:color w:val="000000" w:themeColor="text1"/>
          <w:sz w:val="18"/>
          <w:szCs w:val="18"/>
        </w:rPr>
        <w:t>)</w:t>
      </w:r>
      <w:r w:rsidR="00BA3915">
        <w:rPr>
          <w:b/>
          <w:bCs/>
          <w:color w:val="000000" w:themeColor="text1"/>
          <w:sz w:val="18"/>
          <w:szCs w:val="18"/>
        </w:rPr>
        <w:t xml:space="preserve"> </w:t>
      </w:r>
      <w:r w:rsidR="00BA3915" w:rsidRPr="00BA3915">
        <w:rPr>
          <w:bCs/>
          <w:color w:val="000000" w:themeColor="text1"/>
          <w:sz w:val="18"/>
          <w:szCs w:val="18"/>
        </w:rPr>
        <w:t>supported by the HDN TT</w:t>
      </w:r>
      <w:r w:rsidRPr="00610366">
        <w:rPr>
          <w:color w:val="000000" w:themeColor="text1"/>
          <w:sz w:val="18"/>
          <w:szCs w:val="18"/>
        </w:rPr>
        <w:t xml:space="preserve">. The </w:t>
      </w:r>
      <w:proofErr w:type="spellStart"/>
      <w:r>
        <w:rPr>
          <w:color w:val="000000" w:themeColor="text1"/>
          <w:sz w:val="18"/>
          <w:szCs w:val="18"/>
        </w:rPr>
        <w:t>CoP</w:t>
      </w:r>
      <w:proofErr w:type="spellEnd"/>
      <w:r w:rsidRPr="00610366">
        <w:rPr>
          <w:color w:val="000000" w:themeColor="text1"/>
          <w:sz w:val="18"/>
          <w:szCs w:val="18"/>
        </w:rPr>
        <w:t xml:space="preserve"> will include practitioners from UN, NGOs, ICRC, IFRC and, </w:t>
      </w:r>
      <w:r w:rsidR="00BA3915">
        <w:rPr>
          <w:color w:val="000000" w:themeColor="text1"/>
          <w:sz w:val="18"/>
          <w:szCs w:val="18"/>
        </w:rPr>
        <w:t>as relevant</w:t>
      </w:r>
      <w:r w:rsidRPr="00610366">
        <w:rPr>
          <w:color w:val="000000" w:themeColor="text1"/>
          <w:sz w:val="18"/>
          <w:szCs w:val="18"/>
        </w:rPr>
        <w:t xml:space="preserve">, can </w:t>
      </w:r>
      <w:r w:rsidR="00BA3915">
        <w:rPr>
          <w:color w:val="000000" w:themeColor="text1"/>
          <w:sz w:val="18"/>
          <w:szCs w:val="18"/>
        </w:rPr>
        <w:t xml:space="preserve">also </w:t>
      </w:r>
      <w:r w:rsidRPr="00610366">
        <w:rPr>
          <w:color w:val="000000" w:themeColor="text1"/>
          <w:sz w:val="18"/>
          <w:szCs w:val="18"/>
        </w:rPr>
        <w:t>be expanded to other constituencies (e.g. IFIs).</w:t>
      </w:r>
      <w:r w:rsidRPr="00610366">
        <w:t xml:space="preserve"> </w:t>
      </w:r>
      <w:r w:rsidRPr="00610366">
        <w:rPr>
          <w:color w:val="000000" w:themeColor="text1"/>
          <w:sz w:val="18"/>
          <w:szCs w:val="18"/>
        </w:rPr>
        <w:t>the HDN T</w:t>
      </w:r>
      <w:r w:rsidR="00BA3915">
        <w:rPr>
          <w:color w:val="000000" w:themeColor="text1"/>
          <w:sz w:val="18"/>
          <w:szCs w:val="18"/>
        </w:rPr>
        <w:t>T</w:t>
      </w:r>
      <w:r w:rsidRPr="00610366">
        <w:rPr>
          <w:color w:val="000000" w:themeColor="text1"/>
          <w:sz w:val="18"/>
          <w:szCs w:val="18"/>
        </w:rPr>
        <w:t xml:space="preserve"> will </w:t>
      </w:r>
      <w:r>
        <w:rPr>
          <w:color w:val="000000" w:themeColor="text1"/>
          <w:sz w:val="18"/>
          <w:szCs w:val="18"/>
        </w:rPr>
        <w:t>act as a Secretariat by providing</w:t>
      </w:r>
      <w:r w:rsidRPr="00610366">
        <w:rPr>
          <w:color w:val="000000" w:themeColor="text1"/>
          <w:sz w:val="18"/>
          <w:szCs w:val="18"/>
        </w:rPr>
        <w:t xml:space="preserve"> support to a) establish a web-based platform, password protected for practitioners’ use and exchange of information</w:t>
      </w:r>
      <w:r>
        <w:rPr>
          <w:color w:val="000000" w:themeColor="text1"/>
          <w:sz w:val="18"/>
          <w:szCs w:val="18"/>
        </w:rPr>
        <w:t>; b</w:t>
      </w:r>
      <w:r w:rsidRPr="00610366">
        <w:rPr>
          <w:color w:val="000000" w:themeColor="text1"/>
          <w:sz w:val="18"/>
          <w:szCs w:val="18"/>
        </w:rPr>
        <w:t xml:space="preserve">) </w:t>
      </w:r>
      <w:r>
        <w:rPr>
          <w:color w:val="000000" w:themeColor="text1"/>
          <w:sz w:val="18"/>
          <w:szCs w:val="18"/>
        </w:rPr>
        <w:t>convene periodic teleconferences and webinars; c</w:t>
      </w:r>
      <w:r w:rsidRPr="00610366">
        <w:rPr>
          <w:color w:val="000000" w:themeColor="text1"/>
          <w:sz w:val="18"/>
          <w:szCs w:val="18"/>
        </w:rPr>
        <w:t xml:space="preserve">) organise </w:t>
      </w:r>
      <w:r>
        <w:rPr>
          <w:color w:val="000000" w:themeColor="text1"/>
          <w:sz w:val="18"/>
          <w:szCs w:val="18"/>
        </w:rPr>
        <w:t>further</w:t>
      </w:r>
      <w:r w:rsidR="00BA3915">
        <w:rPr>
          <w:color w:val="000000" w:themeColor="text1"/>
          <w:sz w:val="18"/>
          <w:szCs w:val="18"/>
        </w:rPr>
        <w:t xml:space="preserve"> and geographically spaced work</w:t>
      </w:r>
      <w:r w:rsidRPr="00610366">
        <w:rPr>
          <w:color w:val="000000" w:themeColor="text1"/>
          <w:sz w:val="18"/>
          <w:szCs w:val="18"/>
        </w:rPr>
        <w:t xml:space="preserve">shops with field practitioners on the </w:t>
      </w:r>
      <w:r w:rsidR="00116263" w:rsidRPr="00610366">
        <w:rPr>
          <w:color w:val="000000" w:themeColor="text1"/>
          <w:sz w:val="18"/>
          <w:szCs w:val="18"/>
        </w:rPr>
        <w:t>NW</w:t>
      </w:r>
      <w:r w:rsidR="00116263">
        <w:rPr>
          <w:color w:val="000000" w:themeColor="text1"/>
          <w:sz w:val="18"/>
          <w:szCs w:val="18"/>
        </w:rPr>
        <w:t>o</w:t>
      </w:r>
      <w:r w:rsidR="00116263" w:rsidRPr="00610366">
        <w:rPr>
          <w:color w:val="000000" w:themeColor="text1"/>
          <w:sz w:val="18"/>
          <w:szCs w:val="18"/>
        </w:rPr>
        <w:t>W.</w:t>
      </w:r>
      <w:r>
        <w:rPr>
          <w:color w:val="000000" w:themeColor="text1"/>
          <w:sz w:val="18"/>
          <w:szCs w:val="18"/>
        </w:rPr>
        <w:t xml:space="preserve"> Lastly the </w:t>
      </w:r>
      <w:proofErr w:type="spellStart"/>
      <w:r>
        <w:rPr>
          <w:color w:val="000000" w:themeColor="text1"/>
          <w:sz w:val="18"/>
          <w:szCs w:val="18"/>
        </w:rPr>
        <w:t>CoP</w:t>
      </w:r>
      <w:proofErr w:type="spellEnd"/>
      <w:r>
        <w:rPr>
          <w:color w:val="000000" w:themeColor="text1"/>
          <w:sz w:val="18"/>
          <w:szCs w:val="18"/>
        </w:rPr>
        <w:t xml:space="preserve"> may, in time, constitute a light roster of deployable staff for short term support upon request from HCT/UNCT</w:t>
      </w:r>
      <w:r w:rsidRPr="00610366">
        <w:rPr>
          <w:color w:val="000000" w:themeColor="text1"/>
          <w:sz w:val="18"/>
          <w:szCs w:val="18"/>
        </w:rPr>
        <w:t xml:space="preserve"> </w:t>
      </w:r>
    </w:p>
    <w:p w14:paraId="69E31FEE" w14:textId="77777777" w:rsidR="00041C61" w:rsidRPr="00613B87" w:rsidRDefault="00B66548" w:rsidP="00152104">
      <w:pPr>
        <w:pStyle w:val="NoSpacing"/>
        <w:spacing w:line="228" w:lineRule="auto"/>
        <w:jc w:val="both"/>
        <w:rPr>
          <w:color w:val="000000" w:themeColor="text1"/>
          <w:sz w:val="18"/>
          <w:szCs w:val="18"/>
        </w:rPr>
      </w:pPr>
      <w:r w:rsidRPr="00613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289C7" wp14:editId="6DD51F1C">
                <wp:simplePos x="0" y="0"/>
                <wp:positionH relativeFrom="margin">
                  <wp:posOffset>124460</wp:posOffset>
                </wp:positionH>
                <wp:positionV relativeFrom="paragraph">
                  <wp:posOffset>356235</wp:posOffset>
                </wp:positionV>
                <wp:extent cx="7056120" cy="489585"/>
                <wp:effectExtent l="0" t="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48958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1DFF" w14:textId="36B82F25" w:rsidR="00750EAB" w:rsidRDefault="00750EAB" w:rsidP="00750EAB">
                            <w:pPr>
                              <w:pStyle w:val="NoSpacing"/>
                              <w:ind w:right="32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0623F">
                              <w:rPr>
                                <w:sz w:val="16"/>
                                <w:szCs w:val="16"/>
                              </w:rPr>
                              <w:t xml:space="preserve">Meeting </w:t>
                            </w:r>
                            <w:r w:rsidR="004036B8" w:rsidRPr="00C0623F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C0623F">
                              <w:rPr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710E9B">
                              <w:rPr>
                                <w:sz w:val="16"/>
                                <w:szCs w:val="16"/>
                              </w:rPr>
                              <w:t>imes since its inception,</w:t>
                            </w:r>
                            <w:r w:rsidRPr="0028644E">
                              <w:rPr>
                                <w:sz w:val="16"/>
                                <w:szCs w:val="16"/>
                              </w:rPr>
                              <w:t xml:space="preserve"> Feb 2016, </w:t>
                            </w:r>
                            <w:r w:rsidR="00116263">
                              <w:rPr>
                                <w:sz w:val="16"/>
                                <w:szCs w:val="16"/>
                              </w:rPr>
                              <w:t xml:space="preserve">the number of </w:t>
                            </w:r>
                            <w:r w:rsidRPr="0028644E">
                              <w:rPr>
                                <w:sz w:val="16"/>
                                <w:szCs w:val="16"/>
                              </w:rPr>
                              <w:t xml:space="preserve">members </w:t>
                            </w:r>
                            <w:r w:rsidR="00116263">
                              <w:rPr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="00710E9B">
                              <w:rPr>
                                <w:sz w:val="16"/>
                                <w:szCs w:val="16"/>
                              </w:rPr>
                              <w:t xml:space="preserve">steadily </w:t>
                            </w:r>
                            <w:r w:rsidR="00116263">
                              <w:rPr>
                                <w:sz w:val="16"/>
                                <w:szCs w:val="16"/>
                              </w:rPr>
                              <w:t xml:space="preserve">growing and currently </w:t>
                            </w:r>
                            <w:r w:rsidRPr="0028644E">
                              <w:rPr>
                                <w:sz w:val="16"/>
                                <w:szCs w:val="16"/>
                              </w:rPr>
                              <w:t>consist of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 FAO, ICRC, ICVA, IFRC, INTERACTION,</w:t>
                            </w:r>
                            <w:r w:rsidR="001162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Oxfam, Action </w:t>
                            </w:r>
                            <w:proofErr w:type="spellStart"/>
                            <w:r w:rsidR="00116263">
                              <w:rPr>
                                <w:b/>
                                <w:sz w:val="16"/>
                                <w:szCs w:val="16"/>
                              </w:rPr>
                              <w:t>contre</w:t>
                            </w:r>
                            <w:proofErr w:type="spellEnd"/>
                            <w:r w:rsidR="001162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="00116263">
                              <w:rPr>
                                <w:b/>
                                <w:sz w:val="16"/>
                                <w:szCs w:val="16"/>
                              </w:rPr>
                              <w:t>Faim</w:t>
                            </w:r>
                            <w:proofErr w:type="spellEnd"/>
                            <w:r w:rsidR="00116263">
                              <w:rPr>
                                <w:b/>
                                <w:sz w:val="16"/>
                                <w:szCs w:val="16"/>
                              </w:rPr>
                              <w:t>, NRC,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IOM, </w:t>
                            </w:r>
                            <w:r w:rsidR="001162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ILO,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OHCHR, UNDP, UNFPA, UNHCR, UNICEF, UN OCHA, WFP, WHO and the WORLD BANK. Co-Chairs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Sara Sekkenes (UNDP) and Rudi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Coninx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(WHO)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WG Sponsors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127AA">
                              <w:rPr>
                                <w:sz w:val="16"/>
                                <w:szCs w:val="16"/>
                              </w:rPr>
                              <w:t xml:space="preserve">UNICEF and Interaction and with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Simona Chladkova (UNDP) and Kwame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Poku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(WHO) as </w:t>
                            </w:r>
                            <w:r w:rsidRPr="0028644E">
                              <w:rPr>
                                <w:b/>
                                <w:sz w:val="16"/>
                                <w:szCs w:val="16"/>
                              </w:rPr>
                              <w:t>Task Team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Secretariat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89C7" id="_x0000_s1032" type="#_x0000_t202" style="position:absolute;left:0;text-align:left;margin-left:9.8pt;margin-top:28.05pt;width:555.6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" fillcolor="#95b3d7 [1940]" strokecolor="#92cddc [1944]">
                <v:fill r:id="rId16" o:title="" color2="white [3212]" type="pattern"/>
                <v:textbox>
                  <w:txbxContent>
                    <w:p w14:paraId="68711DFF" w14:textId="36B82F25" w:rsidR="00750EAB" w:rsidRDefault="00750EAB" w:rsidP="00750EAB">
                      <w:pPr>
                        <w:pStyle w:val="NoSpacing"/>
                        <w:ind w:right="32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C0623F">
                        <w:rPr>
                          <w:sz w:val="16"/>
                          <w:szCs w:val="16"/>
                        </w:rPr>
                        <w:t xml:space="preserve">Meeting </w:t>
                      </w:r>
                      <w:r w:rsidR="004036B8" w:rsidRPr="00C0623F">
                        <w:rPr>
                          <w:sz w:val="16"/>
                          <w:szCs w:val="16"/>
                        </w:rPr>
                        <w:t>15</w:t>
                      </w:r>
                      <w:r w:rsidRPr="00C0623F">
                        <w:rPr>
                          <w:sz w:val="16"/>
                          <w:szCs w:val="16"/>
                        </w:rPr>
                        <w:t xml:space="preserve"> t</w:t>
                      </w:r>
                      <w:r w:rsidRPr="00710E9B">
                        <w:rPr>
                          <w:sz w:val="16"/>
                          <w:szCs w:val="16"/>
                        </w:rPr>
                        <w:t>imes since its inception,</w:t>
                      </w:r>
                      <w:r w:rsidRPr="0028644E">
                        <w:rPr>
                          <w:sz w:val="16"/>
                          <w:szCs w:val="16"/>
                        </w:rPr>
                        <w:t xml:space="preserve"> Feb 2016, </w:t>
                      </w:r>
                      <w:r w:rsidR="00116263">
                        <w:rPr>
                          <w:sz w:val="16"/>
                          <w:szCs w:val="16"/>
                        </w:rPr>
                        <w:t xml:space="preserve">the number of </w:t>
                      </w:r>
                      <w:r w:rsidRPr="0028644E">
                        <w:rPr>
                          <w:sz w:val="16"/>
                          <w:szCs w:val="16"/>
                        </w:rPr>
                        <w:t xml:space="preserve">members </w:t>
                      </w:r>
                      <w:r w:rsidR="00116263">
                        <w:rPr>
                          <w:sz w:val="16"/>
                          <w:szCs w:val="16"/>
                        </w:rPr>
                        <w:t xml:space="preserve">are </w:t>
                      </w:r>
                      <w:r w:rsidR="00710E9B">
                        <w:rPr>
                          <w:sz w:val="16"/>
                          <w:szCs w:val="16"/>
                        </w:rPr>
                        <w:t xml:space="preserve">steadily </w:t>
                      </w:r>
                      <w:r w:rsidR="00116263">
                        <w:rPr>
                          <w:sz w:val="16"/>
                          <w:szCs w:val="16"/>
                        </w:rPr>
                        <w:t xml:space="preserve">growing and currently </w:t>
                      </w:r>
                      <w:r w:rsidRPr="0028644E">
                        <w:rPr>
                          <w:sz w:val="16"/>
                          <w:szCs w:val="16"/>
                        </w:rPr>
                        <w:t>consist of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 FAO, ICRC, ICVA, IFRC, INTERACTION,</w:t>
                      </w:r>
                      <w:r w:rsidR="00116263">
                        <w:rPr>
                          <w:b/>
                          <w:sz w:val="16"/>
                          <w:szCs w:val="16"/>
                        </w:rPr>
                        <w:t xml:space="preserve"> Oxfam, Action </w:t>
                      </w:r>
                      <w:proofErr w:type="spellStart"/>
                      <w:r w:rsidR="00116263">
                        <w:rPr>
                          <w:b/>
                          <w:sz w:val="16"/>
                          <w:szCs w:val="16"/>
                        </w:rPr>
                        <w:t>contre</w:t>
                      </w:r>
                      <w:proofErr w:type="spellEnd"/>
                      <w:r w:rsidR="00116263">
                        <w:rPr>
                          <w:b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="00116263">
                        <w:rPr>
                          <w:b/>
                          <w:sz w:val="16"/>
                          <w:szCs w:val="16"/>
                        </w:rPr>
                        <w:t>Faim</w:t>
                      </w:r>
                      <w:proofErr w:type="spellEnd"/>
                      <w:r w:rsidR="00116263">
                        <w:rPr>
                          <w:b/>
                          <w:sz w:val="16"/>
                          <w:szCs w:val="16"/>
                        </w:rPr>
                        <w:t>, NRC,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IOM, </w:t>
                      </w:r>
                      <w:r w:rsidR="00116263">
                        <w:rPr>
                          <w:b/>
                          <w:sz w:val="16"/>
                          <w:szCs w:val="16"/>
                        </w:rPr>
                        <w:t xml:space="preserve">ILO,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OHCHR, UNDP, UNFPA, UNHCR, UNICEF, UN OCHA, WFP, WHO and the WORLD BANK. Co-Chairs</w:t>
                      </w:r>
                      <w:r>
                        <w:rPr>
                          <w:sz w:val="16"/>
                          <w:szCs w:val="16"/>
                        </w:rPr>
                        <w:t xml:space="preserve">: Sara Sekkenes (UNDP) and Rudi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Coninx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(WHO)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 WG Sponsors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5127AA">
                        <w:rPr>
                          <w:sz w:val="16"/>
                          <w:szCs w:val="16"/>
                        </w:rPr>
                        <w:t xml:space="preserve">UNICEF and Interaction and with </w:t>
                      </w:r>
                      <w:r>
                        <w:rPr>
                          <w:sz w:val="16"/>
                          <w:szCs w:val="16"/>
                        </w:rPr>
                        <w:t xml:space="preserve">Simona Chladkova (UNDP) and Kwame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Poku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(WHO) as </w:t>
                      </w:r>
                      <w:r w:rsidRPr="0028644E">
                        <w:rPr>
                          <w:b/>
                          <w:sz w:val="16"/>
                          <w:szCs w:val="16"/>
                        </w:rPr>
                        <w:t>Task Team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Secretariat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0468" w:rsidRPr="00613B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27673" wp14:editId="2A16F724">
                <wp:simplePos x="0" y="0"/>
                <wp:positionH relativeFrom="margin">
                  <wp:posOffset>121285</wp:posOffset>
                </wp:positionH>
                <wp:positionV relativeFrom="paragraph">
                  <wp:posOffset>3428365</wp:posOffset>
                </wp:positionV>
                <wp:extent cx="6953629" cy="489585"/>
                <wp:effectExtent l="0" t="0" r="1905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629" cy="48958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4A86" w14:textId="77777777" w:rsidR="002B1EB2" w:rsidRDefault="00BA3B92" w:rsidP="002B1EB2">
                            <w:pPr>
                              <w:pStyle w:val="NoSpacing"/>
                              <w:ind w:right="320"/>
                              <w:rPr>
                                <w:sz w:val="16"/>
                                <w:szCs w:val="16"/>
                              </w:rPr>
                            </w:pPr>
                            <w:r w:rsidRPr="0028644E">
                              <w:rPr>
                                <w:sz w:val="16"/>
                                <w:szCs w:val="16"/>
                              </w:rPr>
                              <w:t>Meeting 8 times since its inception, Feb 2016, members consist of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46E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ACF,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FAO, ICRC, ICVA, IFRC, INTERACTION, IOM, OHCHR, UNDP, UNFPA, UNHCR, UNICEF, UN OCHA, WFP, WHO and the WORLD BANK. </w:t>
                            </w:r>
                            <w:r w:rsidR="002B1EB2">
                              <w:rPr>
                                <w:b/>
                                <w:sz w:val="16"/>
                                <w:szCs w:val="16"/>
                              </w:rPr>
                              <w:t>Co-Chairs</w:t>
                            </w:r>
                            <w:r w:rsidR="002B1EB2">
                              <w:rPr>
                                <w:sz w:val="16"/>
                                <w:szCs w:val="16"/>
                              </w:rPr>
                              <w:t xml:space="preserve">: Sara Sekkenes (UNDP) and Rudi </w:t>
                            </w:r>
                            <w:proofErr w:type="spellStart"/>
                            <w:r w:rsidR="002B1EB2">
                              <w:rPr>
                                <w:sz w:val="16"/>
                                <w:szCs w:val="16"/>
                              </w:rPr>
                              <w:t>Coninx</w:t>
                            </w:r>
                            <w:proofErr w:type="spellEnd"/>
                            <w:r w:rsidR="002B1EB2">
                              <w:rPr>
                                <w:sz w:val="16"/>
                                <w:szCs w:val="16"/>
                              </w:rPr>
                              <w:t xml:space="preserve"> (WHO)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, WG Sponsors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8644E" w:rsidRPr="005127AA">
                              <w:rPr>
                                <w:sz w:val="16"/>
                                <w:szCs w:val="16"/>
                              </w:rPr>
                              <w:t xml:space="preserve">UNICEF and Interaction and with 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Simona Chladkova (UNDP) and Kwame </w:t>
                            </w:r>
                            <w:proofErr w:type="spellStart"/>
                            <w:r w:rsidR="0028644E">
                              <w:rPr>
                                <w:sz w:val="16"/>
                                <w:szCs w:val="16"/>
                              </w:rPr>
                              <w:t>Poku</w:t>
                            </w:r>
                            <w:proofErr w:type="spellEnd"/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 (WHO) as </w:t>
                            </w:r>
                            <w:r w:rsidR="0028644E" w:rsidRPr="0028644E">
                              <w:rPr>
                                <w:b/>
                                <w:sz w:val="16"/>
                                <w:szCs w:val="16"/>
                              </w:rPr>
                              <w:t>Task Team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Secretariat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7673" id="Text Box 1" o:spid="_x0000_s1033" type="#_x0000_t202" style="position:absolute;left:0;text-align:left;margin-left:9.55pt;margin-top:269.95pt;width:547.55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" fillcolor="#95b3d7 [1940]" strokecolor="#92cddc [1944]">
                <v:fill r:id="rId16" o:title="" color2="white [3212]" type="pattern"/>
                <v:textbox>
                  <w:txbxContent>
                    <w:p w14:paraId="3A6F4A86" w14:textId="77777777" w:rsidR="002B1EB2" w:rsidRDefault="00BA3B92" w:rsidP="002B1EB2">
                      <w:pPr>
                        <w:pStyle w:val="NoSpacing"/>
                        <w:ind w:right="320"/>
                        <w:rPr>
                          <w:sz w:val="16"/>
                          <w:szCs w:val="16"/>
                        </w:rPr>
                      </w:pPr>
                      <w:r w:rsidRPr="0028644E">
                        <w:rPr>
                          <w:sz w:val="16"/>
                          <w:szCs w:val="16"/>
                        </w:rPr>
                        <w:t>Meeting 8 times since its inception, Feb 2016, members consist of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746E4A">
                        <w:rPr>
                          <w:b/>
                          <w:sz w:val="16"/>
                          <w:szCs w:val="16"/>
                        </w:rPr>
                        <w:t xml:space="preserve">ACF,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FAO, ICRC, ICVA, IFRC, INTERACTION, IOM, OHCHR, UNDP, UNFPA, UNHCR, UNICEF, UN OCHA, WFP, WHO and the WORLD BANK. </w:t>
                      </w:r>
                      <w:r w:rsidR="002B1EB2">
                        <w:rPr>
                          <w:b/>
                          <w:sz w:val="16"/>
                          <w:szCs w:val="16"/>
                        </w:rPr>
                        <w:t>Co-Chairs</w:t>
                      </w:r>
                      <w:r w:rsidR="002B1EB2">
                        <w:rPr>
                          <w:sz w:val="16"/>
                          <w:szCs w:val="16"/>
                        </w:rPr>
                        <w:t xml:space="preserve">: Sara Sekkenes (UNDP) and Rudi </w:t>
                      </w:r>
                      <w:proofErr w:type="spellStart"/>
                      <w:r w:rsidR="002B1EB2">
                        <w:rPr>
                          <w:sz w:val="16"/>
                          <w:szCs w:val="16"/>
                        </w:rPr>
                        <w:t>Coninx</w:t>
                      </w:r>
                      <w:proofErr w:type="spellEnd"/>
                      <w:r w:rsidR="002B1EB2">
                        <w:rPr>
                          <w:sz w:val="16"/>
                          <w:szCs w:val="16"/>
                        </w:rPr>
                        <w:t xml:space="preserve"> (WHO)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, WG Sponsors</w:t>
                      </w:r>
                      <w:r w:rsidR="0028644E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28644E" w:rsidRPr="005127AA">
                        <w:rPr>
                          <w:sz w:val="16"/>
                          <w:szCs w:val="16"/>
                        </w:rPr>
                        <w:t xml:space="preserve">UNICEF and Interaction and with </w:t>
                      </w:r>
                      <w:r w:rsidR="0028644E">
                        <w:rPr>
                          <w:sz w:val="16"/>
                          <w:szCs w:val="16"/>
                        </w:rPr>
                        <w:t xml:space="preserve">Simona Chladkova (UNDP) and Kwame </w:t>
                      </w:r>
                      <w:proofErr w:type="spellStart"/>
                      <w:r w:rsidR="0028644E">
                        <w:rPr>
                          <w:sz w:val="16"/>
                          <w:szCs w:val="16"/>
                        </w:rPr>
                        <w:t>Poku</w:t>
                      </w:r>
                      <w:proofErr w:type="spellEnd"/>
                      <w:r w:rsidR="0028644E">
                        <w:rPr>
                          <w:sz w:val="16"/>
                          <w:szCs w:val="16"/>
                        </w:rPr>
                        <w:t xml:space="preserve"> (WHO) as </w:t>
                      </w:r>
                      <w:r w:rsidR="0028644E" w:rsidRPr="0028644E">
                        <w:rPr>
                          <w:b/>
                          <w:sz w:val="16"/>
                          <w:szCs w:val="16"/>
                        </w:rPr>
                        <w:t>Task Team</w:t>
                      </w:r>
                      <w:r w:rsidR="002864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Secretariat</w:t>
                      </w:r>
                      <w:r w:rsidR="0028644E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C61" w:rsidRPr="00613B87">
        <w:rPr>
          <w:color w:val="000000" w:themeColor="text1"/>
        </w:rPr>
        <w:br w:type="column"/>
      </w:r>
    </w:p>
    <w:p w14:paraId="494CCFB1" w14:textId="77777777" w:rsidR="00041C61" w:rsidRPr="00613B87" w:rsidRDefault="00041C61" w:rsidP="00152104">
      <w:pPr>
        <w:pStyle w:val="NoSpacing"/>
        <w:spacing w:line="228" w:lineRule="auto"/>
        <w:jc w:val="both"/>
        <w:rPr>
          <w:color w:val="000000" w:themeColor="text1"/>
          <w:sz w:val="18"/>
          <w:szCs w:val="18"/>
        </w:rPr>
      </w:pPr>
    </w:p>
    <w:p w14:paraId="22C89829" w14:textId="1FDCEA02" w:rsidR="009F0B03" w:rsidRDefault="009F0B03" w:rsidP="00152104">
      <w:pPr>
        <w:pStyle w:val="NoSpacing"/>
        <w:numPr>
          <w:ilvl w:val="0"/>
          <w:numId w:val="3"/>
        </w:numPr>
        <w:spacing w:after="80" w:line="228" w:lineRule="auto"/>
        <w:ind w:left="426"/>
        <w:jc w:val="both"/>
        <w:rPr>
          <w:color w:val="000000" w:themeColor="text1"/>
          <w:sz w:val="18"/>
        </w:rPr>
      </w:pPr>
      <w:r w:rsidRPr="001D69DA">
        <w:rPr>
          <w:color w:val="000000" w:themeColor="text1"/>
          <w:sz w:val="18"/>
        </w:rPr>
        <w:t xml:space="preserve">In July, at the request of the IASC Working Group, the TT conducted a </w:t>
      </w:r>
      <w:r w:rsidRPr="00D7214C">
        <w:rPr>
          <w:b/>
          <w:bCs/>
          <w:color w:val="000000" w:themeColor="text1"/>
          <w:sz w:val="18"/>
        </w:rPr>
        <w:t xml:space="preserve">field survey </w:t>
      </w:r>
      <w:r w:rsidR="00116263">
        <w:rPr>
          <w:b/>
          <w:bCs/>
          <w:color w:val="000000" w:themeColor="text1"/>
          <w:sz w:val="18"/>
        </w:rPr>
        <w:t>among</w:t>
      </w:r>
      <w:r w:rsidRPr="00D7214C">
        <w:rPr>
          <w:b/>
          <w:bCs/>
          <w:color w:val="000000" w:themeColor="text1"/>
          <w:sz w:val="18"/>
        </w:rPr>
        <w:t xml:space="preserve"> </w:t>
      </w:r>
      <w:r w:rsidR="00116263">
        <w:rPr>
          <w:b/>
          <w:bCs/>
          <w:color w:val="000000" w:themeColor="text1"/>
          <w:sz w:val="18"/>
        </w:rPr>
        <w:t>RC</w:t>
      </w:r>
      <w:r w:rsidRPr="00D7214C">
        <w:rPr>
          <w:b/>
          <w:bCs/>
          <w:color w:val="000000" w:themeColor="text1"/>
          <w:sz w:val="18"/>
        </w:rPr>
        <w:t>/</w:t>
      </w:r>
      <w:r w:rsidR="00116263">
        <w:rPr>
          <w:b/>
          <w:bCs/>
          <w:color w:val="000000" w:themeColor="text1"/>
          <w:sz w:val="18"/>
        </w:rPr>
        <w:t>HCs</w:t>
      </w:r>
      <w:r>
        <w:rPr>
          <w:b/>
          <w:bCs/>
          <w:color w:val="000000" w:themeColor="text1"/>
          <w:sz w:val="18"/>
        </w:rPr>
        <w:t xml:space="preserve"> and their country teams</w:t>
      </w:r>
      <w:r w:rsidRPr="00D7214C">
        <w:rPr>
          <w:color w:val="000000" w:themeColor="text1"/>
          <w:sz w:val="18"/>
        </w:rPr>
        <w:t>.</w:t>
      </w:r>
      <w:r w:rsidRPr="001D69DA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t>The survey highlighted</w:t>
      </w:r>
      <w:r w:rsidRPr="001D69DA">
        <w:rPr>
          <w:color w:val="000000" w:themeColor="text1"/>
          <w:sz w:val="18"/>
        </w:rPr>
        <w:t xml:space="preserve"> that </w:t>
      </w:r>
      <w:proofErr w:type="spellStart"/>
      <w:r w:rsidRPr="001D69DA">
        <w:rPr>
          <w:color w:val="000000" w:themeColor="text1"/>
          <w:sz w:val="18"/>
        </w:rPr>
        <w:t>i</w:t>
      </w:r>
      <w:proofErr w:type="spellEnd"/>
      <w:r w:rsidRPr="001D69DA">
        <w:rPr>
          <w:color w:val="000000" w:themeColor="text1"/>
          <w:sz w:val="18"/>
        </w:rPr>
        <w:t>) understanding in country teams varies; ii) the parameters of NWoW remain unclear; iii) implementation is unequal; and further support and guidance is</w:t>
      </w:r>
      <w:r w:rsidR="00116263">
        <w:rPr>
          <w:color w:val="000000" w:themeColor="text1"/>
          <w:sz w:val="18"/>
        </w:rPr>
        <w:t xml:space="preserve"> requested and</w:t>
      </w:r>
      <w:r w:rsidRPr="001D69DA">
        <w:rPr>
          <w:color w:val="000000" w:themeColor="text1"/>
          <w:sz w:val="18"/>
        </w:rPr>
        <w:t xml:space="preserve"> required</w:t>
      </w:r>
      <w:r>
        <w:rPr>
          <w:color w:val="000000" w:themeColor="text1"/>
          <w:sz w:val="18"/>
        </w:rPr>
        <w:t>.</w:t>
      </w:r>
    </w:p>
    <w:p w14:paraId="04823517" w14:textId="77777777" w:rsidR="009F0B03" w:rsidRPr="00750EAB" w:rsidRDefault="009F0B03" w:rsidP="00152104">
      <w:pPr>
        <w:pStyle w:val="NoSpacing"/>
        <w:numPr>
          <w:ilvl w:val="0"/>
          <w:numId w:val="3"/>
        </w:numPr>
        <w:spacing w:after="80" w:line="228" w:lineRule="auto"/>
        <w:ind w:left="426"/>
        <w:jc w:val="both"/>
        <w:rPr>
          <w:color w:val="000000" w:themeColor="text1"/>
          <w:sz w:val="18"/>
        </w:rPr>
      </w:pPr>
      <w:r w:rsidRPr="00750EAB">
        <w:rPr>
          <w:color w:val="000000" w:themeColor="text1"/>
          <w:sz w:val="18"/>
          <w:szCs w:val="18"/>
        </w:rPr>
        <w:t xml:space="preserve">In November, at the request of field practitioners, and based on the outcomes of the HC/RC Survey, the HDN TT convened a </w:t>
      </w:r>
      <w:r w:rsidRPr="00750EAB">
        <w:rPr>
          <w:b/>
          <w:bCs/>
          <w:color w:val="000000" w:themeColor="text1"/>
          <w:sz w:val="18"/>
          <w:szCs w:val="18"/>
        </w:rPr>
        <w:t>peer-to-peer</w:t>
      </w:r>
      <w:r w:rsidRPr="00750EAB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750EAB">
        <w:rPr>
          <w:color w:val="000000" w:themeColor="text1"/>
          <w:sz w:val="18"/>
          <w:szCs w:val="18"/>
        </w:rPr>
        <w:t xml:space="preserve">workshop in Entebbe. The Peer-to-peer support network meeting targeted approx. 20-25 peer practitioners </w:t>
      </w:r>
      <w:r w:rsidRPr="00116263">
        <w:rPr>
          <w:bCs/>
          <w:color w:val="000000" w:themeColor="text1"/>
          <w:sz w:val="18"/>
          <w:szCs w:val="18"/>
        </w:rPr>
        <w:t>incl</w:t>
      </w:r>
      <w:r w:rsidR="00116263" w:rsidRPr="00116263">
        <w:rPr>
          <w:bCs/>
          <w:color w:val="000000" w:themeColor="text1"/>
          <w:sz w:val="18"/>
          <w:szCs w:val="18"/>
        </w:rPr>
        <w:t>.</w:t>
      </w:r>
      <w:r w:rsidR="00116263">
        <w:rPr>
          <w:b/>
          <w:bCs/>
          <w:color w:val="000000" w:themeColor="text1"/>
          <w:sz w:val="18"/>
          <w:szCs w:val="18"/>
        </w:rPr>
        <w:t xml:space="preserve"> </w:t>
      </w:r>
      <w:r w:rsidRPr="00750EAB">
        <w:rPr>
          <w:b/>
          <w:bCs/>
          <w:color w:val="000000" w:themeColor="text1"/>
          <w:sz w:val="18"/>
          <w:szCs w:val="18"/>
        </w:rPr>
        <w:t>representatives from the UN, NGO community and the Red Cross and Red Crescent Movement</w:t>
      </w:r>
      <w:r w:rsidRPr="00750EAB">
        <w:rPr>
          <w:color w:val="000000" w:themeColor="text1"/>
          <w:sz w:val="18"/>
          <w:szCs w:val="18"/>
        </w:rPr>
        <w:t>, possessing the mind-set, in-depth knowledge and hands-on experience in advancing a strengthened collaboration across sectors in the field.</w:t>
      </w:r>
    </w:p>
    <w:p w14:paraId="123B5ED1" w14:textId="7256B443" w:rsidR="009F0B03" w:rsidRPr="00750EAB" w:rsidRDefault="00D41A7E" w:rsidP="00152104">
      <w:pPr>
        <w:pStyle w:val="NoSpacing"/>
        <w:numPr>
          <w:ilvl w:val="0"/>
          <w:numId w:val="3"/>
        </w:numPr>
        <w:spacing w:after="80" w:line="228" w:lineRule="auto"/>
        <w:ind w:left="426"/>
        <w:jc w:val="both"/>
        <w:rPr>
          <w:color w:val="000000" w:themeColor="text1"/>
          <w:sz w:val="18"/>
        </w:rPr>
      </w:pPr>
      <w:r>
        <w:rPr>
          <w:noProof/>
          <w:color w:val="000000" w:themeColor="text1"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9BA179" wp14:editId="735277E6">
                <wp:simplePos x="0" y="0"/>
                <wp:positionH relativeFrom="column">
                  <wp:posOffset>235585</wp:posOffset>
                </wp:positionH>
                <wp:positionV relativeFrom="paragraph">
                  <wp:posOffset>846455</wp:posOffset>
                </wp:positionV>
                <wp:extent cx="1343025" cy="267335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4302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B8B8E" w14:textId="45742155" w:rsidR="00D41A7E" w:rsidRPr="00D41A7E" w:rsidRDefault="00BD0F9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A179" id="Text Box 7" o:spid="_x0000_s1034" type="#_x0000_t202" style="position:absolute;left:0;text-align:left;margin-left:18.55pt;margin-top:66.65pt;width:105.75pt;height:2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" filled="f" strokeweight=".5pt">
                <v:textbox>
                  <w:txbxContent>
                    <w:p w14:paraId="4E8B8B8E" w14:textId="45742155" w:rsidR="00D41A7E" w:rsidRPr="00D41A7E" w:rsidRDefault="00BD0F9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  <w:r w:rsidR="00710E9B"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14A4C" wp14:editId="6B8C19C0">
                <wp:simplePos x="0" y="0"/>
                <wp:positionH relativeFrom="page">
                  <wp:posOffset>5019675</wp:posOffset>
                </wp:positionH>
                <wp:positionV relativeFrom="paragraph">
                  <wp:posOffset>846455</wp:posOffset>
                </wp:positionV>
                <wp:extent cx="1549400" cy="267335"/>
                <wp:effectExtent l="0" t="0" r="1270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6733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E42A" w14:textId="3BE9461F" w:rsidR="00041C61" w:rsidRPr="0089341C" w:rsidRDefault="00D41A7E" w:rsidP="00D41A7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4. Planned for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4A4C" id="_x0000_s1035" type="#_x0000_t202" style="position:absolute;left:0;text-align:left;margin-left:395.25pt;margin-top:66.65pt;width:122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" fillcolor="#f2dbdb [661]" strokecolor="#f4e0e0">
                <v:fill r:id="rId8" o:title="" color2="white [3212]" type="pattern"/>
                <v:textbox>
                  <w:txbxContent>
                    <w:p w14:paraId="18ADE42A" w14:textId="3BE9461F" w:rsidR="00041C61" w:rsidRPr="0089341C" w:rsidRDefault="00D41A7E" w:rsidP="00D41A7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4. Planned for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0B03">
        <w:rPr>
          <w:color w:val="000000" w:themeColor="text1"/>
          <w:sz w:val="18"/>
          <w:szCs w:val="18"/>
        </w:rPr>
        <w:t xml:space="preserve">Through the Survey, a pre-workshop questionnaire, and through the discussion held during the peer-to-peer workshop itself, the HDN TT has developed a set of </w:t>
      </w:r>
      <w:r w:rsidR="009F0B03" w:rsidRPr="00610366">
        <w:rPr>
          <w:b/>
          <w:bCs/>
          <w:color w:val="000000" w:themeColor="text1"/>
          <w:sz w:val="18"/>
          <w:szCs w:val="18"/>
        </w:rPr>
        <w:t>country snapshots highlighting progress against the implementation of the core elements</w:t>
      </w:r>
      <w:r w:rsidR="009F0B03">
        <w:rPr>
          <w:color w:val="000000" w:themeColor="text1"/>
          <w:sz w:val="18"/>
          <w:szCs w:val="18"/>
        </w:rPr>
        <w:t xml:space="preserve"> of HD</w:t>
      </w:r>
      <w:r w:rsidR="00116263">
        <w:rPr>
          <w:color w:val="000000" w:themeColor="text1"/>
          <w:sz w:val="18"/>
          <w:szCs w:val="18"/>
        </w:rPr>
        <w:t>N</w:t>
      </w:r>
      <w:r w:rsidR="009F0B03">
        <w:rPr>
          <w:color w:val="000000" w:themeColor="text1"/>
          <w:sz w:val="18"/>
          <w:szCs w:val="18"/>
        </w:rPr>
        <w:t xml:space="preserve"> namely, joint analysis, joined up planning and programming, as well as coordination and leadership.</w:t>
      </w:r>
    </w:p>
    <w:p w14:paraId="0AB138E4" w14:textId="034E7105" w:rsidR="00622075" w:rsidRDefault="00D41A7E" w:rsidP="00152104">
      <w:pPr>
        <w:pStyle w:val="NoSpacing"/>
        <w:spacing w:after="80" w:line="228" w:lineRule="auto"/>
        <w:jc w:val="both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542B94" wp14:editId="7D48A95B">
                <wp:simplePos x="0" y="0"/>
                <wp:positionH relativeFrom="column">
                  <wp:posOffset>2673985</wp:posOffset>
                </wp:positionH>
                <wp:positionV relativeFrom="paragraph">
                  <wp:posOffset>13335</wp:posOffset>
                </wp:positionV>
                <wp:extent cx="904875" cy="267335"/>
                <wp:effectExtent l="0" t="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0487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C06ED" w14:textId="20D8C753" w:rsidR="00D41A7E" w:rsidRPr="00D41A7E" w:rsidRDefault="00BD0F93" w:rsidP="00D41A7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2B94" id="Text Box 8" o:spid="_x0000_s1036" type="#_x0000_t202" style="position:absolute;left:0;text-align:left;margin-left:210.55pt;margin-top:1.05pt;width:71.25pt;height:2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" filled="f" strokeweight=".5pt">
                <v:textbox>
                  <w:txbxContent>
                    <w:p w14:paraId="0D2C06ED" w14:textId="20D8C753" w:rsidR="00D41A7E" w:rsidRPr="00D41A7E" w:rsidRDefault="00BD0F93" w:rsidP="00D41A7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</w:p>
    <w:p w14:paraId="4BE048D0" w14:textId="77777777" w:rsidR="00622075" w:rsidRPr="00622075" w:rsidRDefault="00622075" w:rsidP="00152104">
      <w:pPr>
        <w:pStyle w:val="NoSpacing"/>
        <w:spacing w:after="80" w:line="228" w:lineRule="auto"/>
        <w:jc w:val="both"/>
        <w:rPr>
          <w:color w:val="000000" w:themeColor="text1"/>
          <w:sz w:val="4"/>
          <w:szCs w:val="4"/>
        </w:rPr>
      </w:pPr>
    </w:p>
    <w:p w14:paraId="76562010" w14:textId="77777777" w:rsidR="00F425BD" w:rsidRPr="00C0623F" w:rsidRDefault="00F425BD" w:rsidP="00C0623F">
      <w:pPr>
        <w:pStyle w:val="NoSpacing"/>
        <w:numPr>
          <w:ilvl w:val="0"/>
          <w:numId w:val="3"/>
        </w:numPr>
        <w:spacing w:after="80" w:line="228" w:lineRule="auto"/>
        <w:ind w:left="426"/>
        <w:jc w:val="both"/>
        <w:rPr>
          <w:color w:val="000000" w:themeColor="text1"/>
          <w:sz w:val="18"/>
          <w:szCs w:val="18"/>
        </w:rPr>
      </w:pPr>
      <w:r w:rsidRPr="00C0623F">
        <w:rPr>
          <w:color w:val="000000" w:themeColor="text1"/>
          <w:sz w:val="18"/>
          <w:szCs w:val="18"/>
        </w:rPr>
        <w:t xml:space="preserve">Strengthening the Humanitarian-Development Nexus, and promoting the </w:t>
      </w:r>
      <w:r w:rsidR="00116263" w:rsidRPr="00C0623F">
        <w:rPr>
          <w:color w:val="000000" w:themeColor="text1"/>
          <w:sz w:val="18"/>
          <w:szCs w:val="18"/>
        </w:rPr>
        <w:t>NWoW</w:t>
      </w:r>
      <w:r w:rsidRPr="00C0623F">
        <w:rPr>
          <w:color w:val="000000" w:themeColor="text1"/>
          <w:sz w:val="18"/>
          <w:szCs w:val="18"/>
        </w:rPr>
        <w:t xml:space="preserve"> amongst humanitarian, development, and peace </w:t>
      </w:r>
      <w:r w:rsidR="00831F26" w:rsidRPr="00C0623F">
        <w:rPr>
          <w:color w:val="000000" w:themeColor="text1"/>
          <w:sz w:val="18"/>
          <w:szCs w:val="18"/>
        </w:rPr>
        <w:t xml:space="preserve">(HDP) </w:t>
      </w:r>
      <w:r w:rsidRPr="00C0623F">
        <w:rPr>
          <w:color w:val="000000" w:themeColor="text1"/>
          <w:sz w:val="18"/>
          <w:szCs w:val="18"/>
        </w:rPr>
        <w:t xml:space="preserve">actors requires the concerted efforts of IASC, UNDG, and other bodies who </w:t>
      </w:r>
      <w:r w:rsidR="00FA0F0E" w:rsidRPr="00C0623F">
        <w:rPr>
          <w:color w:val="000000" w:themeColor="text1"/>
          <w:sz w:val="18"/>
          <w:szCs w:val="18"/>
        </w:rPr>
        <w:t>possess</w:t>
      </w:r>
      <w:r w:rsidRPr="00C0623F">
        <w:rPr>
          <w:color w:val="000000" w:themeColor="text1"/>
          <w:sz w:val="18"/>
          <w:szCs w:val="18"/>
        </w:rPr>
        <w:t xml:space="preserve"> the technical know-how. To this end, the HDN TT </w:t>
      </w:r>
      <w:r w:rsidR="00D7214C" w:rsidRPr="00C0623F">
        <w:rPr>
          <w:color w:val="000000" w:themeColor="text1"/>
          <w:sz w:val="18"/>
          <w:szCs w:val="18"/>
        </w:rPr>
        <w:t xml:space="preserve">will or is </w:t>
      </w:r>
      <w:r w:rsidRPr="00C0623F">
        <w:rPr>
          <w:color w:val="000000" w:themeColor="text1"/>
          <w:sz w:val="18"/>
          <w:szCs w:val="18"/>
        </w:rPr>
        <w:t>in the process</w:t>
      </w:r>
      <w:r w:rsidR="00A446FC" w:rsidRPr="00C0623F">
        <w:rPr>
          <w:color w:val="000000" w:themeColor="text1"/>
          <w:sz w:val="18"/>
          <w:szCs w:val="18"/>
        </w:rPr>
        <w:t xml:space="preserve"> of </w:t>
      </w:r>
      <w:r w:rsidR="00D7214C" w:rsidRPr="00C0623F">
        <w:rPr>
          <w:color w:val="000000" w:themeColor="text1"/>
          <w:sz w:val="18"/>
          <w:szCs w:val="18"/>
        </w:rPr>
        <w:t xml:space="preserve">finalizing the following </w:t>
      </w:r>
      <w:commentRangeStart w:id="2"/>
      <w:r w:rsidR="00D7214C" w:rsidRPr="00C0623F">
        <w:rPr>
          <w:color w:val="000000" w:themeColor="text1"/>
          <w:sz w:val="18"/>
          <w:szCs w:val="18"/>
        </w:rPr>
        <w:t xml:space="preserve">sub-tasks </w:t>
      </w:r>
      <w:commentRangeEnd w:id="2"/>
      <w:r w:rsidR="00D41A7E" w:rsidRPr="00C0623F">
        <w:rPr>
          <w:color w:val="000000" w:themeColor="text1"/>
          <w:sz w:val="18"/>
          <w:szCs w:val="18"/>
        </w:rPr>
        <w:commentReference w:id="2"/>
      </w:r>
      <w:r w:rsidR="00D7214C" w:rsidRPr="00C0623F">
        <w:rPr>
          <w:color w:val="000000" w:themeColor="text1"/>
          <w:sz w:val="18"/>
          <w:szCs w:val="18"/>
        </w:rPr>
        <w:t>in line with the agreed workplan</w:t>
      </w:r>
    </w:p>
    <w:p w14:paraId="6118F11C" w14:textId="5401CCEC" w:rsidR="00610366" w:rsidRPr="009202BD" w:rsidRDefault="00610366" w:rsidP="00152104">
      <w:pPr>
        <w:pStyle w:val="NoSpacing"/>
        <w:numPr>
          <w:ilvl w:val="1"/>
          <w:numId w:val="4"/>
        </w:numPr>
        <w:spacing w:after="80" w:line="228" w:lineRule="auto"/>
        <w:ind w:left="851"/>
        <w:jc w:val="both"/>
        <w:rPr>
          <w:color w:val="000000" w:themeColor="text1"/>
          <w:sz w:val="18"/>
          <w:szCs w:val="18"/>
        </w:rPr>
      </w:pPr>
      <w:r w:rsidRPr="009202BD">
        <w:rPr>
          <w:b/>
          <w:bCs/>
          <w:color w:val="000000" w:themeColor="text1"/>
          <w:sz w:val="18"/>
          <w:szCs w:val="18"/>
        </w:rPr>
        <w:t xml:space="preserve">Continue to grow the HDN Community of Practice: </w:t>
      </w:r>
      <w:r w:rsidRPr="009202BD">
        <w:rPr>
          <w:color w:val="000000" w:themeColor="text1"/>
          <w:sz w:val="18"/>
          <w:szCs w:val="18"/>
        </w:rPr>
        <w:t>in response to demand from the field, the HDN TT will convene 2-3 additional regional level peer-to-peer workshops</w:t>
      </w:r>
      <w:r w:rsidR="00194BD4" w:rsidRPr="009202BD">
        <w:rPr>
          <w:color w:val="000000" w:themeColor="text1"/>
          <w:sz w:val="18"/>
          <w:szCs w:val="18"/>
        </w:rPr>
        <w:t>.</w:t>
      </w:r>
    </w:p>
    <w:p w14:paraId="14E69D36" w14:textId="77777777" w:rsidR="00610366" w:rsidRPr="009202BD" w:rsidRDefault="00610366" w:rsidP="00152104">
      <w:pPr>
        <w:pStyle w:val="NoSpacing"/>
        <w:numPr>
          <w:ilvl w:val="1"/>
          <w:numId w:val="4"/>
        </w:numPr>
        <w:spacing w:after="80" w:line="228" w:lineRule="auto"/>
        <w:ind w:left="851"/>
        <w:jc w:val="both"/>
        <w:rPr>
          <w:color w:val="000000" w:themeColor="text1"/>
          <w:sz w:val="18"/>
          <w:szCs w:val="18"/>
        </w:rPr>
      </w:pPr>
      <w:r w:rsidRPr="009202BD">
        <w:rPr>
          <w:b/>
          <w:color w:val="000000" w:themeColor="text1"/>
          <w:sz w:val="18"/>
          <w:szCs w:val="18"/>
        </w:rPr>
        <w:t>Produce inter</w:t>
      </w:r>
      <w:r w:rsidR="009F0B03" w:rsidRPr="009202BD">
        <w:rPr>
          <w:b/>
          <w:color w:val="000000" w:themeColor="text1"/>
          <w:sz w:val="18"/>
          <w:szCs w:val="18"/>
        </w:rPr>
        <w:t>-</w:t>
      </w:r>
      <w:r w:rsidR="009F0B03" w:rsidRPr="009202BD">
        <w:rPr>
          <w:b/>
          <w:sz w:val="18"/>
          <w:szCs w:val="18"/>
        </w:rPr>
        <w:t>agency guidance</w:t>
      </w:r>
      <w:r w:rsidR="009F0B03" w:rsidRPr="009202BD">
        <w:rPr>
          <w:sz w:val="18"/>
          <w:szCs w:val="18"/>
        </w:rPr>
        <w:t xml:space="preserve">: </w:t>
      </w:r>
      <w:r w:rsidR="009F0B03" w:rsidRPr="009202BD">
        <w:rPr>
          <w:bCs/>
          <w:sz w:val="18"/>
          <w:szCs w:val="18"/>
        </w:rPr>
        <w:t>focusing specifically on Collective Outcomes</w:t>
      </w:r>
      <w:r w:rsidR="009F0B03" w:rsidRPr="009202BD">
        <w:rPr>
          <w:b/>
          <w:bCs/>
          <w:sz w:val="18"/>
          <w:szCs w:val="18"/>
        </w:rPr>
        <w:t xml:space="preserve"> </w:t>
      </w:r>
      <w:r w:rsidR="009F0B03" w:rsidRPr="009202BD">
        <w:rPr>
          <w:sz w:val="18"/>
          <w:szCs w:val="18"/>
        </w:rPr>
        <w:t>(COs)</w:t>
      </w:r>
      <w:r w:rsidR="009F0B03" w:rsidRPr="009202BD">
        <w:rPr>
          <w:b/>
          <w:bCs/>
          <w:sz w:val="18"/>
          <w:szCs w:val="18"/>
        </w:rPr>
        <w:t xml:space="preserve">, </w:t>
      </w:r>
      <w:r w:rsidR="009F0B03" w:rsidRPr="009202BD">
        <w:rPr>
          <w:sz w:val="18"/>
          <w:szCs w:val="18"/>
        </w:rPr>
        <w:t xml:space="preserve">the HDN TT will commission a light review, shepherd a drafting process and will convene a workshop to validate a collective position on </w:t>
      </w:r>
      <w:proofErr w:type="spellStart"/>
      <w:r w:rsidR="009F0B03" w:rsidRPr="009202BD">
        <w:rPr>
          <w:sz w:val="18"/>
          <w:szCs w:val="18"/>
        </w:rPr>
        <w:t>COs.</w:t>
      </w:r>
      <w:proofErr w:type="spellEnd"/>
    </w:p>
    <w:p w14:paraId="6E29D284" w14:textId="77777777" w:rsidR="00710E9B" w:rsidRPr="009202BD" w:rsidRDefault="00710E9B" w:rsidP="00710E9B">
      <w:pPr>
        <w:pStyle w:val="NoSpacing"/>
        <w:numPr>
          <w:ilvl w:val="1"/>
          <w:numId w:val="4"/>
        </w:numPr>
        <w:spacing w:after="80" w:line="228" w:lineRule="auto"/>
        <w:ind w:left="851"/>
        <w:jc w:val="both"/>
        <w:rPr>
          <w:color w:val="000000" w:themeColor="text1"/>
          <w:sz w:val="18"/>
          <w:szCs w:val="18"/>
        </w:rPr>
      </w:pPr>
      <w:r w:rsidRPr="009202BD">
        <w:rPr>
          <w:b/>
          <w:bCs/>
          <w:color w:val="000000" w:themeColor="text1"/>
          <w:sz w:val="18"/>
          <w:szCs w:val="18"/>
        </w:rPr>
        <w:t xml:space="preserve">Convene workshop on advancing Joint Analysis: </w:t>
      </w:r>
      <w:r w:rsidRPr="009202BD">
        <w:rPr>
          <w:color w:val="000000" w:themeColor="text1"/>
          <w:sz w:val="18"/>
          <w:szCs w:val="18"/>
        </w:rPr>
        <w:t>A major outcome of p2p workshop, this meeting will bring together information and data management experts.</w:t>
      </w:r>
    </w:p>
    <w:p w14:paraId="557E111B" w14:textId="4E62A2A5" w:rsidR="009F0B03" w:rsidRPr="009202BD" w:rsidRDefault="009F0B03" w:rsidP="00152104">
      <w:pPr>
        <w:pStyle w:val="NoSpacing"/>
        <w:numPr>
          <w:ilvl w:val="1"/>
          <w:numId w:val="4"/>
        </w:numPr>
        <w:spacing w:after="80" w:line="228" w:lineRule="auto"/>
        <w:ind w:left="851"/>
        <w:jc w:val="both"/>
        <w:rPr>
          <w:color w:val="000000" w:themeColor="text1"/>
          <w:sz w:val="18"/>
          <w:szCs w:val="18"/>
        </w:rPr>
      </w:pPr>
      <w:r w:rsidRPr="009202BD">
        <w:rPr>
          <w:b/>
          <w:bCs/>
          <w:color w:val="000000" w:themeColor="text1"/>
          <w:sz w:val="18"/>
          <w:szCs w:val="18"/>
        </w:rPr>
        <w:t>Accelerate understanding and implementation of HDN:</w:t>
      </w:r>
      <w:r w:rsidRPr="009202BD">
        <w:rPr>
          <w:sz w:val="18"/>
          <w:szCs w:val="18"/>
        </w:rPr>
        <w:t xml:space="preserve">  In collaboration with the UNDG TT on HDPN, the HDN TT </w:t>
      </w:r>
      <w:r w:rsidR="00116263" w:rsidRPr="009202BD">
        <w:rPr>
          <w:sz w:val="18"/>
          <w:szCs w:val="18"/>
        </w:rPr>
        <w:t xml:space="preserve">is </w:t>
      </w:r>
      <w:r w:rsidR="00710E9B" w:rsidRPr="009202BD">
        <w:rPr>
          <w:sz w:val="18"/>
          <w:szCs w:val="18"/>
        </w:rPr>
        <w:t>looking at</w:t>
      </w:r>
      <w:r w:rsidR="00116263" w:rsidRPr="009202BD">
        <w:rPr>
          <w:sz w:val="18"/>
          <w:szCs w:val="18"/>
        </w:rPr>
        <w:t xml:space="preserve"> </w:t>
      </w:r>
      <w:r w:rsidRPr="009202BD">
        <w:rPr>
          <w:sz w:val="18"/>
          <w:szCs w:val="18"/>
        </w:rPr>
        <w:t>conven</w:t>
      </w:r>
      <w:r w:rsidR="00116263" w:rsidRPr="009202BD">
        <w:rPr>
          <w:sz w:val="18"/>
          <w:szCs w:val="18"/>
        </w:rPr>
        <w:t>ing</w:t>
      </w:r>
      <w:r w:rsidRPr="009202BD">
        <w:rPr>
          <w:sz w:val="18"/>
          <w:szCs w:val="18"/>
        </w:rPr>
        <w:t xml:space="preserve"> a series of </w:t>
      </w:r>
      <w:r w:rsidRPr="009202BD">
        <w:rPr>
          <w:b/>
          <w:bCs/>
          <w:sz w:val="18"/>
          <w:szCs w:val="18"/>
        </w:rPr>
        <w:t>HDN Acceleration and Support Workshops</w:t>
      </w:r>
      <w:r w:rsidRPr="009202BD">
        <w:rPr>
          <w:sz w:val="18"/>
          <w:szCs w:val="18"/>
        </w:rPr>
        <w:t xml:space="preserve"> targeting countries commencing UNDAF processes.</w:t>
      </w:r>
    </w:p>
    <w:p w14:paraId="60631C16" w14:textId="77777777" w:rsidR="009F0B03" w:rsidRPr="009202BD" w:rsidRDefault="009F0B03" w:rsidP="00152104">
      <w:pPr>
        <w:pStyle w:val="NoSpacing"/>
        <w:numPr>
          <w:ilvl w:val="1"/>
          <w:numId w:val="4"/>
        </w:numPr>
        <w:spacing w:after="80" w:line="228" w:lineRule="auto"/>
        <w:ind w:left="851"/>
        <w:jc w:val="both"/>
        <w:rPr>
          <w:color w:val="000000" w:themeColor="text1"/>
          <w:sz w:val="18"/>
          <w:szCs w:val="18"/>
        </w:rPr>
      </w:pPr>
      <w:r w:rsidRPr="009202BD">
        <w:rPr>
          <w:color w:val="000000" w:themeColor="text1"/>
          <w:sz w:val="18"/>
          <w:szCs w:val="18"/>
        </w:rPr>
        <w:t xml:space="preserve">Handover for the </w:t>
      </w:r>
      <w:r w:rsidR="00116263" w:rsidRPr="009202BD">
        <w:rPr>
          <w:color w:val="000000" w:themeColor="text1"/>
          <w:sz w:val="18"/>
          <w:szCs w:val="18"/>
        </w:rPr>
        <w:t xml:space="preserve">IASC WGs </w:t>
      </w:r>
      <w:r w:rsidRPr="009202BD">
        <w:rPr>
          <w:color w:val="000000" w:themeColor="text1"/>
          <w:sz w:val="18"/>
          <w:szCs w:val="18"/>
        </w:rPr>
        <w:t>consideration</w:t>
      </w:r>
      <w:r w:rsidRPr="009202BD">
        <w:rPr>
          <w:b/>
          <w:bCs/>
          <w:color w:val="000000" w:themeColor="text1"/>
          <w:sz w:val="18"/>
          <w:szCs w:val="18"/>
        </w:rPr>
        <w:t xml:space="preserve"> a set of system wide recommendations </w:t>
      </w:r>
      <w:r w:rsidRPr="009202BD">
        <w:rPr>
          <w:color w:val="000000" w:themeColor="text1"/>
          <w:sz w:val="18"/>
          <w:szCs w:val="18"/>
        </w:rPr>
        <w:t>on the applicability of IASC protocols in protracted settings</w:t>
      </w:r>
      <w:r w:rsidRPr="009202BD">
        <w:rPr>
          <w:b/>
          <w:bCs/>
          <w:color w:val="000000" w:themeColor="text1"/>
          <w:sz w:val="18"/>
          <w:szCs w:val="18"/>
        </w:rPr>
        <w:t>.</w:t>
      </w:r>
    </w:p>
    <w:p w14:paraId="55396BAE" w14:textId="77777777" w:rsidR="009F0B03" w:rsidRPr="00610366" w:rsidRDefault="009F0B03" w:rsidP="00710E9B">
      <w:pPr>
        <w:pStyle w:val="NoSpacing"/>
        <w:spacing w:after="80" w:line="228" w:lineRule="auto"/>
        <w:ind w:left="851"/>
        <w:jc w:val="both"/>
        <w:rPr>
          <w:color w:val="000000" w:themeColor="text1"/>
          <w:sz w:val="18"/>
          <w:szCs w:val="18"/>
        </w:rPr>
      </w:pPr>
    </w:p>
    <w:sectPr w:rsidR="009F0B03" w:rsidRPr="00610366" w:rsidSect="0023118B">
      <w:type w:val="continuous"/>
      <w:pgSz w:w="11906" w:h="16838"/>
      <w:pgMar w:top="567" w:right="284" w:bottom="567" w:left="284" w:header="709" w:footer="709" w:gutter="0"/>
      <w:cols w:num="2" w:space="282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OKU, Kwame" w:date="2017-12-12T16:23:00Z" w:initials="POKUK">
    <w:p w14:paraId="7F33F7E3" w14:textId="490DF091" w:rsidR="00D41A7E" w:rsidRPr="00D41A7E" w:rsidRDefault="00D41A7E">
      <w:pPr>
        <w:pStyle w:val="CommentText"/>
      </w:pPr>
      <w:r>
        <w:rPr>
          <w:rStyle w:val="CommentReference"/>
        </w:rPr>
        <w:annotationRef/>
      </w:r>
      <w:r>
        <w:t xml:space="preserve">The following sub-tasks have been drafted following brief discussion with some but not all TT members. These sub-tasks have been drafted as </w:t>
      </w:r>
      <w:r>
        <w:rPr>
          <w:b/>
          <w:bCs/>
        </w:rPr>
        <w:t>proposals</w:t>
      </w:r>
      <w:r>
        <w:t xml:space="preserve"> for consideration by the TT as part of its planning for 2018. A decision to go ahead, put on hold, or forego these activities will be discussed and agreed during the 19.12.2017 TT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33F7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7A72" w14:textId="77777777" w:rsidR="00CA1F0A" w:rsidRDefault="00CA1F0A" w:rsidP="00613B87">
      <w:pPr>
        <w:spacing w:after="0" w:line="240" w:lineRule="auto"/>
      </w:pPr>
      <w:r>
        <w:separator/>
      </w:r>
    </w:p>
  </w:endnote>
  <w:endnote w:type="continuationSeparator" w:id="0">
    <w:p w14:paraId="35EF4627" w14:textId="77777777" w:rsidR="00CA1F0A" w:rsidRDefault="00CA1F0A" w:rsidP="0061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B859" w14:textId="77777777" w:rsidR="00DD1FC7" w:rsidRDefault="00DD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6A68C" w14:textId="77777777" w:rsidR="00DD1FC7" w:rsidRDefault="00DD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F102" w14:textId="77777777" w:rsidR="00DD1FC7" w:rsidRDefault="00DD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C325E" w14:textId="77777777" w:rsidR="00CA1F0A" w:rsidRDefault="00CA1F0A" w:rsidP="00613B87">
      <w:pPr>
        <w:spacing w:after="0" w:line="240" w:lineRule="auto"/>
      </w:pPr>
      <w:r>
        <w:separator/>
      </w:r>
    </w:p>
  </w:footnote>
  <w:footnote w:type="continuationSeparator" w:id="0">
    <w:p w14:paraId="4DDEE94D" w14:textId="77777777" w:rsidR="00CA1F0A" w:rsidRDefault="00CA1F0A" w:rsidP="0061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ABF8" w14:textId="77777777" w:rsidR="00DD1FC7" w:rsidRDefault="00DD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82083"/>
      <w:docPartObj>
        <w:docPartGallery w:val="Watermarks"/>
        <w:docPartUnique/>
      </w:docPartObj>
    </w:sdtPr>
    <w:sdtContent>
      <w:p w14:paraId="774CCBF1" w14:textId="54BEC3DE" w:rsidR="00DD1FC7" w:rsidRDefault="00DD1FC7">
        <w:pPr>
          <w:pStyle w:val="Header"/>
        </w:pPr>
        <w:r>
          <w:rPr>
            <w:noProof/>
          </w:rPr>
          <w:pict w14:anchorId="249495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A187" w14:textId="77777777" w:rsidR="00DD1FC7" w:rsidRDefault="00DD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96C"/>
    <w:multiLevelType w:val="hybridMultilevel"/>
    <w:tmpl w:val="6158C21C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C0F13CE"/>
    <w:multiLevelType w:val="hybridMultilevel"/>
    <w:tmpl w:val="33C8C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5300"/>
    <w:multiLevelType w:val="hybridMultilevel"/>
    <w:tmpl w:val="60B0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334"/>
    <w:multiLevelType w:val="hybridMultilevel"/>
    <w:tmpl w:val="C92C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92889"/>
    <w:multiLevelType w:val="hybridMultilevel"/>
    <w:tmpl w:val="48AE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1"/>
    <w:rsid w:val="00041C61"/>
    <w:rsid w:val="00071984"/>
    <w:rsid w:val="000A4882"/>
    <w:rsid w:val="00116263"/>
    <w:rsid w:val="00136386"/>
    <w:rsid w:val="00146B07"/>
    <w:rsid w:val="00152104"/>
    <w:rsid w:val="001800CB"/>
    <w:rsid w:val="00194BD4"/>
    <w:rsid w:val="001A2CF5"/>
    <w:rsid w:val="001D69DA"/>
    <w:rsid w:val="00212E4F"/>
    <w:rsid w:val="002334CE"/>
    <w:rsid w:val="00250AC7"/>
    <w:rsid w:val="0028644E"/>
    <w:rsid w:val="002B1EB2"/>
    <w:rsid w:val="004036B8"/>
    <w:rsid w:val="00421880"/>
    <w:rsid w:val="004337BF"/>
    <w:rsid w:val="005127AA"/>
    <w:rsid w:val="00516EDE"/>
    <w:rsid w:val="005C3413"/>
    <w:rsid w:val="00610366"/>
    <w:rsid w:val="00613B87"/>
    <w:rsid w:val="00622075"/>
    <w:rsid w:val="006307E3"/>
    <w:rsid w:val="00710E9B"/>
    <w:rsid w:val="00746E4A"/>
    <w:rsid w:val="00750EAB"/>
    <w:rsid w:val="007A40BE"/>
    <w:rsid w:val="00831F26"/>
    <w:rsid w:val="0089341C"/>
    <w:rsid w:val="008C7A1B"/>
    <w:rsid w:val="008E5C3F"/>
    <w:rsid w:val="009202BD"/>
    <w:rsid w:val="009F0B03"/>
    <w:rsid w:val="00A12773"/>
    <w:rsid w:val="00A446FC"/>
    <w:rsid w:val="00A50468"/>
    <w:rsid w:val="00B01C0C"/>
    <w:rsid w:val="00B66548"/>
    <w:rsid w:val="00BA3915"/>
    <w:rsid w:val="00BA3B92"/>
    <w:rsid w:val="00BB7A34"/>
    <w:rsid w:val="00BD0F93"/>
    <w:rsid w:val="00C0623F"/>
    <w:rsid w:val="00C70379"/>
    <w:rsid w:val="00CA1F0A"/>
    <w:rsid w:val="00D31277"/>
    <w:rsid w:val="00D41A7E"/>
    <w:rsid w:val="00D6024B"/>
    <w:rsid w:val="00D7214C"/>
    <w:rsid w:val="00DD1FC7"/>
    <w:rsid w:val="00DE666B"/>
    <w:rsid w:val="00EB2794"/>
    <w:rsid w:val="00F425BD"/>
    <w:rsid w:val="00FA0F0E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DF924F"/>
  <w15:docId w15:val="{F2B0FEC3-7C72-4314-BB23-672FA50A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1C6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041C61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41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41C61"/>
    <w:rPr>
      <w:color w:val="0000FF" w:themeColor="hyperlink"/>
      <w:u w:val="single"/>
    </w:rPr>
  </w:style>
  <w:style w:type="paragraph" w:customStyle="1" w:styleId="Body">
    <w:name w:val="Body"/>
    <w:rsid w:val="00041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87"/>
  </w:style>
  <w:style w:type="paragraph" w:styleId="Footer">
    <w:name w:val="footer"/>
    <w:basedOn w:val="Normal"/>
    <w:link w:val="FooterChar"/>
    <w:uiPriority w:val="99"/>
    <w:unhideWhenUsed/>
    <w:rsid w:val="0061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9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1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agencystandingcommittee.org/working-group/content/iasc-wg-analysis-papwer-nwow-sustaining-peac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POKU, Kwame</dc:creator>
  <cp:lastModifiedBy>Sara SEKKENES</cp:lastModifiedBy>
  <cp:revision>4</cp:revision>
  <cp:lastPrinted>2017-02-20T12:12:00Z</cp:lastPrinted>
  <dcterms:created xsi:type="dcterms:W3CDTF">2017-12-12T18:20:00Z</dcterms:created>
  <dcterms:modified xsi:type="dcterms:W3CDTF">2017-12-12T18:22:00Z</dcterms:modified>
</cp:coreProperties>
</file>