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E1C89" w14:textId="77777777" w:rsidR="002907AA" w:rsidRDefault="002907AA">
      <w:pPr>
        <w:rPr>
          <w:b/>
          <w:sz w:val="32"/>
          <w:szCs w:val="32"/>
          <w:u w:val="single"/>
        </w:rPr>
      </w:pPr>
    </w:p>
    <w:p w14:paraId="176356D3" w14:textId="610F7D51" w:rsidR="00973BA6" w:rsidRPr="009D607B" w:rsidRDefault="00973BA6">
      <w:pPr>
        <w:rPr>
          <w:b/>
          <w:sz w:val="32"/>
          <w:szCs w:val="32"/>
          <w:u w:val="single"/>
        </w:rPr>
      </w:pPr>
      <w:r w:rsidRPr="009D607B">
        <w:rPr>
          <w:b/>
          <w:sz w:val="32"/>
          <w:szCs w:val="32"/>
          <w:u w:val="single"/>
        </w:rPr>
        <w:t>PLAN OF ACTION FOR OPERATIONALISING THE HUMANITARIAN-DEVELOPMENT-PEACE NEXUS</w:t>
      </w:r>
    </w:p>
    <w:p w14:paraId="25F6F0B4" w14:textId="77777777" w:rsidR="003061C3" w:rsidRDefault="003061C3" w:rsidP="00973BA6">
      <w:pPr>
        <w:spacing w:after="120"/>
        <w:jc w:val="both"/>
        <w:rPr>
          <w:rFonts w:asciiTheme="majorHAnsi" w:hAnsiTheme="majorHAnsi"/>
        </w:rPr>
      </w:pPr>
    </w:p>
    <w:p w14:paraId="59068A48" w14:textId="77777777" w:rsidR="00973BA6" w:rsidRPr="003061C3" w:rsidRDefault="00973BA6" w:rsidP="00973BA6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3061C3">
        <w:rPr>
          <w:rFonts w:asciiTheme="majorHAnsi" w:hAnsiTheme="majorHAnsi"/>
          <w:sz w:val="24"/>
          <w:szCs w:val="24"/>
        </w:rPr>
        <w:t>On 20-21 October 2016, in response to commitments made at the World Humanitarian Summit (WHS), the Inter-Agency Standing Committee’s Task Team on the Humanitarian-Development Nexus in Protracted Crises and the UN Working Group on Transitions held a joint workshop in New York to increase collaboration amongst humanitarian, development and peace actors.</w:t>
      </w:r>
    </w:p>
    <w:p w14:paraId="0D7CF3B9" w14:textId="77777777" w:rsidR="003061C3" w:rsidRPr="003061C3" w:rsidRDefault="003061C3" w:rsidP="00913081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6AF3DDBF" w14:textId="27D4FDD1" w:rsidR="00913081" w:rsidRPr="003061C3" w:rsidRDefault="00973BA6" w:rsidP="00913081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3061C3">
        <w:rPr>
          <w:rFonts w:asciiTheme="majorHAnsi" w:hAnsiTheme="majorHAnsi"/>
          <w:sz w:val="24"/>
          <w:szCs w:val="24"/>
        </w:rPr>
        <w:t>As a key outcome of the workshop, the participants developed a roadmap</w:t>
      </w:r>
      <w:r w:rsidR="006B2387" w:rsidRPr="003061C3">
        <w:rPr>
          <w:rFonts w:asciiTheme="majorHAnsi" w:hAnsiTheme="majorHAnsi"/>
          <w:sz w:val="24"/>
          <w:szCs w:val="24"/>
        </w:rPr>
        <w:t xml:space="preserve"> proposing that </w:t>
      </w:r>
      <w:r w:rsidR="009A45A6" w:rsidRPr="003061C3">
        <w:rPr>
          <w:rFonts w:asciiTheme="majorHAnsi" w:hAnsiTheme="majorHAnsi"/>
          <w:sz w:val="24"/>
          <w:szCs w:val="24"/>
        </w:rPr>
        <w:t>a select number of country teams</w:t>
      </w:r>
      <w:r w:rsidR="006B2387" w:rsidRPr="003061C3">
        <w:rPr>
          <w:rFonts w:asciiTheme="majorHAnsi" w:hAnsiTheme="majorHAnsi"/>
          <w:sz w:val="24"/>
          <w:szCs w:val="24"/>
        </w:rPr>
        <w:t xml:space="preserve"> will be invited (or to </w:t>
      </w:r>
      <w:r w:rsidR="00D762D3" w:rsidRPr="003061C3">
        <w:rPr>
          <w:rFonts w:asciiTheme="majorHAnsi" w:hAnsiTheme="majorHAnsi"/>
          <w:sz w:val="24"/>
          <w:szCs w:val="24"/>
        </w:rPr>
        <w:t>n</w:t>
      </w:r>
      <w:r w:rsidR="006B2387" w:rsidRPr="003061C3">
        <w:rPr>
          <w:rFonts w:asciiTheme="majorHAnsi" w:hAnsiTheme="majorHAnsi"/>
          <w:sz w:val="24"/>
          <w:szCs w:val="24"/>
        </w:rPr>
        <w:t xml:space="preserve">ominate themselves) for the implementation of the humanitarian-development-peace (HDP) nexus, while the UNWGT and IASC will provide support to the field through the development  of guidance materials </w:t>
      </w:r>
      <w:r w:rsidR="007F0EBC" w:rsidRPr="003061C3">
        <w:rPr>
          <w:rFonts w:asciiTheme="majorHAnsi" w:hAnsiTheme="majorHAnsi"/>
          <w:sz w:val="24"/>
          <w:szCs w:val="24"/>
        </w:rPr>
        <w:t xml:space="preserve">for </w:t>
      </w:r>
      <w:r w:rsidRPr="003061C3">
        <w:rPr>
          <w:rFonts w:asciiTheme="majorHAnsi" w:hAnsiTheme="majorHAnsi"/>
          <w:sz w:val="24"/>
          <w:szCs w:val="24"/>
        </w:rPr>
        <w:t>joint analysis (including context/conflict, vulnerability and risk analysis) and strategic planning</w:t>
      </w:r>
      <w:r w:rsidR="00913081" w:rsidRPr="003061C3">
        <w:rPr>
          <w:rFonts w:asciiTheme="majorHAnsi" w:hAnsiTheme="majorHAnsi"/>
          <w:sz w:val="24"/>
          <w:szCs w:val="24"/>
        </w:rPr>
        <w:t xml:space="preserve"> towards context-specific</w:t>
      </w:r>
      <w:r w:rsidR="009771B0" w:rsidRPr="003061C3">
        <w:rPr>
          <w:rFonts w:asciiTheme="majorHAnsi" w:hAnsiTheme="majorHAnsi"/>
          <w:sz w:val="24"/>
          <w:szCs w:val="24"/>
        </w:rPr>
        <w:t xml:space="preserve"> </w:t>
      </w:r>
      <w:r w:rsidRPr="003061C3">
        <w:rPr>
          <w:rFonts w:asciiTheme="majorHAnsi" w:hAnsiTheme="majorHAnsi"/>
          <w:sz w:val="24"/>
          <w:szCs w:val="24"/>
        </w:rPr>
        <w:t>agree</w:t>
      </w:r>
      <w:r w:rsidR="00913081" w:rsidRPr="003061C3">
        <w:rPr>
          <w:rFonts w:asciiTheme="majorHAnsi" w:hAnsiTheme="majorHAnsi"/>
          <w:sz w:val="24"/>
          <w:szCs w:val="24"/>
        </w:rPr>
        <w:t>d</w:t>
      </w:r>
      <w:r w:rsidRPr="003061C3">
        <w:rPr>
          <w:rFonts w:asciiTheme="majorHAnsi" w:hAnsiTheme="majorHAnsi"/>
          <w:sz w:val="24"/>
          <w:szCs w:val="24"/>
        </w:rPr>
        <w:t xml:space="preserve"> collective outcomes for the short-, medium- and long-term</w:t>
      </w:r>
      <w:r w:rsidR="00913081" w:rsidRPr="003061C3">
        <w:rPr>
          <w:rFonts w:asciiTheme="majorHAnsi" w:hAnsiTheme="majorHAnsi"/>
          <w:sz w:val="24"/>
          <w:szCs w:val="24"/>
        </w:rPr>
        <w:t xml:space="preserve">. It was also agreed </w:t>
      </w:r>
      <w:r w:rsidR="00D762D3" w:rsidRPr="003061C3">
        <w:rPr>
          <w:rFonts w:asciiTheme="majorHAnsi" w:hAnsiTheme="majorHAnsi"/>
          <w:sz w:val="24"/>
          <w:szCs w:val="24"/>
        </w:rPr>
        <w:t>that</w:t>
      </w:r>
      <w:r w:rsidR="00913081" w:rsidRPr="003061C3">
        <w:rPr>
          <w:rFonts w:asciiTheme="majorHAnsi" w:hAnsiTheme="majorHAnsi"/>
          <w:sz w:val="24"/>
          <w:szCs w:val="24"/>
        </w:rPr>
        <w:t xml:space="preserve"> the IASC and UNWG</w:t>
      </w:r>
      <w:r w:rsidR="00D762D3" w:rsidRPr="003061C3">
        <w:rPr>
          <w:rFonts w:asciiTheme="majorHAnsi" w:hAnsiTheme="majorHAnsi"/>
          <w:sz w:val="24"/>
          <w:szCs w:val="24"/>
        </w:rPr>
        <w:t>T</w:t>
      </w:r>
      <w:r w:rsidR="00913081" w:rsidRPr="003061C3">
        <w:rPr>
          <w:rFonts w:asciiTheme="majorHAnsi" w:hAnsiTheme="majorHAnsi"/>
          <w:sz w:val="24"/>
          <w:szCs w:val="24"/>
        </w:rPr>
        <w:t xml:space="preserve"> would develop common messaging on the HDP nexus and its impact on the new way of working</w:t>
      </w:r>
      <w:r w:rsidR="009A45A6" w:rsidRPr="003061C3">
        <w:rPr>
          <w:rFonts w:asciiTheme="majorHAnsi" w:hAnsiTheme="majorHAnsi"/>
          <w:sz w:val="24"/>
          <w:szCs w:val="24"/>
        </w:rPr>
        <w:t>,</w:t>
      </w:r>
      <w:r w:rsidR="00913081" w:rsidRPr="003061C3">
        <w:rPr>
          <w:rFonts w:asciiTheme="majorHAnsi" w:hAnsiTheme="majorHAnsi"/>
          <w:sz w:val="24"/>
          <w:szCs w:val="24"/>
        </w:rPr>
        <w:t xml:space="preserve"> and communicate these messages a broader range of stakeholders including the World Bank and Member States</w:t>
      </w:r>
      <w:r w:rsidR="009A45A6" w:rsidRPr="003061C3">
        <w:rPr>
          <w:rFonts w:asciiTheme="majorHAnsi" w:hAnsiTheme="majorHAnsi"/>
          <w:sz w:val="24"/>
          <w:szCs w:val="24"/>
        </w:rPr>
        <w:t xml:space="preserve">.  These messages are aimed to seek </w:t>
      </w:r>
      <w:r w:rsidR="00913081" w:rsidRPr="003061C3">
        <w:rPr>
          <w:rFonts w:asciiTheme="majorHAnsi" w:hAnsiTheme="majorHAnsi"/>
          <w:sz w:val="24"/>
          <w:szCs w:val="24"/>
        </w:rPr>
        <w:t>stronger partnerships on the new way of working</w:t>
      </w:r>
      <w:r w:rsidR="009A45A6" w:rsidRPr="003061C3">
        <w:rPr>
          <w:rFonts w:asciiTheme="majorHAnsi" w:hAnsiTheme="majorHAnsi"/>
          <w:sz w:val="24"/>
          <w:szCs w:val="24"/>
        </w:rPr>
        <w:t xml:space="preserve"> and support field implementation</w:t>
      </w:r>
      <w:r w:rsidR="00913081" w:rsidRPr="003061C3">
        <w:rPr>
          <w:rFonts w:asciiTheme="majorHAnsi" w:hAnsiTheme="majorHAnsi"/>
          <w:sz w:val="24"/>
          <w:szCs w:val="24"/>
        </w:rPr>
        <w:t>.</w:t>
      </w:r>
    </w:p>
    <w:p w14:paraId="0D9EBAE1" w14:textId="77777777" w:rsidR="003061C3" w:rsidRPr="003061C3" w:rsidRDefault="003061C3" w:rsidP="00973BA6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1A4E81BB" w14:textId="61C85B0C" w:rsidR="00E0049B" w:rsidRPr="003061C3" w:rsidRDefault="00973BA6" w:rsidP="00973BA6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3061C3">
        <w:rPr>
          <w:rFonts w:asciiTheme="majorHAnsi" w:hAnsiTheme="majorHAnsi"/>
          <w:sz w:val="24"/>
          <w:szCs w:val="24"/>
        </w:rPr>
        <w:t xml:space="preserve">The Plan of Action outlined below is based on the Roadmap, and details activities to operationalise </w:t>
      </w:r>
      <w:r w:rsidR="00913081" w:rsidRPr="003061C3">
        <w:rPr>
          <w:rFonts w:asciiTheme="majorHAnsi" w:hAnsiTheme="majorHAnsi"/>
          <w:sz w:val="24"/>
          <w:szCs w:val="24"/>
        </w:rPr>
        <w:t xml:space="preserve">the implementation of </w:t>
      </w:r>
      <w:r w:rsidR="007F0EBC" w:rsidRPr="003061C3">
        <w:rPr>
          <w:rFonts w:asciiTheme="majorHAnsi" w:hAnsiTheme="majorHAnsi"/>
          <w:sz w:val="24"/>
          <w:szCs w:val="24"/>
        </w:rPr>
        <w:t xml:space="preserve">the </w:t>
      </w:r>
      <w:r w:rsidR="00913081" w:rsidRPr="003061C3">
        <w:rPr>
          <w:rFonts w:asciiTheme="majorHAnsi" w:hAnsiTheme="majorHAnsi"/>
          <w:sz w:val="24"/>
          <w:szCs w:val="24"/>
        </w:rPr>
        <w:t xml:space="preserve">HDP nexus </w:t>
      </w:r>
      <w:r w:rsidR="007F0EBC" w:rsidRPr="003061C3">
        <w:rPr>
          <w:rFonts w:asciiTheme="majorHAnsi" w:hAnsiTheme="majorHAnsi"/>
          <w:sz w:val="24"/>
          <w:szCs w:val="24"/>
        </w:rPr>
        <w:t xml:space="preserve">in the </w:t>
      </w:r>
      <w:r w:rsidR="00913081" w:rsidRPr="003061C3">
        <w:rPr>
          <w:rFonts w:asciiTheme="majorHAnsi" w:hAnsiTheme="majorHAnsi"/>
          <w:sz w:val="24"/>
          <w:szCs w:val="24"/>
        </w:rPr>
        <w:t xml:space="preserve">field and required </w:t>
      </w:r>
      <w:r w:rsidR="007F0EBC" w:rsidRPr="003061C3">
        <w:rPr>
          <w:rFonts w:asciiTheme="majorHAnsi" w:hAnsiTheme="majorHAnsi"/>
          <w:sz w:val="24"/>
          <w:szCs w:val="24"/>
        </w:rPr>
        <w:t xml:space="preserve">complementary activities </w:t>
      </w:r>
      <w:r w:rsidR="00913081" w:rsidRPr="003061C3">
        <w:rPr>
          <w:rFonts w:asciiTheme="majorHAnsi" w:hAnsiTheme="majorHAnsi"/>
          <w:sz w:val="24"/>
          <w:szCs w:val="24"/>
        </w:rPr>
        <w:t>at the global level.</w:t>
      </w:r>
      <w:r w:rsidR="00913081" w:rsidRPr="003061C3" w:rsidDel="00913081">
        <w:rPr>
          <w:rFonts w:asciiTheme="majorHAnsi" w:hAnsiTheme="majorHAnsi"/>
          <w:sz w:val="24"/>
          <w:szCs w:val="24"/>
        </w:rPr>
        <w:t xml:space="preserve"> </w:t>
      </w:r>
    </w:p>
    <w:p w14:paraId="3CF8D823" w14:textId="77777777" w:rsidR="001E6C97" w:rsidRDefault="001E6C97" w:rsidP="00973BA6">
      <w:pPr>
        <w:spacing w:after="120"/>
        <w:jc w:val="both"/>
        <w:rPr>
          <w:rFonts w:asciiTheme="majorHAnsi" w:hAnsiTheme="majorHAnsi"/>
        </w:rPr>
      </w:pPr>
    </w:p>
    <w:p w14:paraId="31888F0E" w14:textId="77777777" w:rsidR="001E6C97" w:rsidRDefault="001E6C97" w:rsidP="00973BA6">
      <w:pPr>
        <w:spacing w:after="120"/>
        <w:jc w:val="both"/>
        <w:rPr>
          <w:rFonts w:asciiTheme="majorHAnsi" w:hAnsiTheme="majorHAnsi"/>
        </w:rPr>
      </w:pPr>
    </w:p>
    <w:p w14:paraId="0F389C8E" w14:textId="77777777" w:rsidR="001E6C97" w:rsidRDefault="001E6C97" w:rsidP="00973BA6">
      <w:pPr>
        <w:spacing w:after="120"/>
        <w:jc w:val="both"/>
        <w:rPr>
          <w:rFonts w:asciiTheme="majorHAnsi" w:hAnsiTheme="majorHAnsi"/>
        </w:rPr>
      </w:pPr>
    </w:p>
    <w:p w14:paraId="09DABA52" w14:textId="77777777" w:rsidR="001E6C97" w:rsidRDefault="001E6C97" w:rsidP="00973BA6">
      <w:pPr>
        <w:spacing w:after="120"/>
        <w:jc w:val="both"/>
        <w:rPr>
          <w:rFonts w:asciiTheme="majorHAnsi" w:hAnsiTheme="majorHAnsi"/>
        </w:rPr>
      </w:pPr>
    </w:p>
    <w:p w14:paraId="272AA140" w14:textId="77777777" w:rsidR="001E6C97" w:rsidRDefault="001E6C97" w:rsidP="00973BA6">
      <w:pPr>
        <w:spacing w:after="120"/>
        <w:jc w:val="both"/>
        <w:rPr>
          <w:rFonts w:asciiTheme="majorHAnsi" w:hAnsiTheme="majorHAnsi"/>
        </w:rPr>
      </w:pPr>
    </w:p>
    <w:p w14:paraId="2978D657" w14:textId="77777777" w:rsidR="001E6C97" w:rsidRDefault="001E6C97" w:rsidP="00973BA6">
      <w:pPr>
        <w:spacing w:after="120"/>
        <w:jc w:val="both"/>
        <w:rPr>
          <w:rFonts w:asciiTheme="majorHAnsi" w:hAnsiTheme="majorHAnsi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1065"/>
        <w:gridCol w:w="1080"/>
        <w:gridCol w:w="1080"/>
        <w:gridCol w:w="1080"/>
      </w:tblGrid>
      <w:tr w:rsidR="007D1C8B" w:rsidRPr="000A2AAB" w14:paraId="03BF4EA6" w14:textId="77777777" w:rsidTr="00CE0AE3">
        <w:trPr>
          <w:trHeight w:val="440"/>
        </w:trPr>
        <w:tc>
          <w:tcPr>
            <w:tcW w:w="11065" w:type="dxa"/>
            <w:vMerge w:val="restart"/>
            <w:vAlign w:val="center"/>
          </w:tcPr>
          <w:p w14:paraId="71B835F1" w14:textId="1ADDFAC1" w:rsidR="007D1C8B" w:rsidRPr="00625137" w:rsidRDefault="007D1C8B" w:rsidP="00EB4AD8">
            <w:pPr>
              <w:jc w:val="center"/>
              <w:rPr>
                <w:rFonts w:cstheme="minorHAnsi"/>
                <w:b/>
                <w:bCs/>
                <w:color w:val="244061" w:themeColor="accent1" w:themeShade="80"/>
                <w:sz w:val="24"/>
                <w:szCs w:val="20"/>
              </w:rPr>
            </w:pPr>
            <w:r w:rsidRPr="00625137">
              <w:rPr>
                <w:rFonts w:cstheme="minorHAnsi"/>
                <w:b/>
                <w:bCs/>
                <w:color w:val="244061" w:themeColor="accent1" w:themeShade="80"/>
                <w:sz w:val="24"/>
                <w:szCs w:val="20"/>
              </w:rPr>
              <w:t xml:space="preserve">Outcome: </w:t>
            </w:r>
          </w:p>
          <w:p w14:paraId="72EBA9C0" w14:textId="77777777" w:rsidR="007D1C8B" w:rsidRPr="00EB4AD8" w:rsidRDefault="007D1C8B" w:rsidP="00EB4AD8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  <w:r w:rsidRPr="00625137">
              <w:rPr>
                <w:rFonts w:cstheme="minorHAnsi"/>
                <w:b/>
                <w:bCs/>
                <w:color w:val="244061" w:themeColor="accent1" w:themeShade="80"/>
                <w:sz w:val="24"/>
                <w:szCs w:val="20"/>
              </w:rPr>
              <w:t>Humanitarian, development and peace actors in countries adopt a new, coherent and mutually reinforcing way of working that ensures no one is left behind as part of the Agenda 2030.</w:t>
            </w:r>
          </w:p>
        </w:tc>
        <w:tc>
          <w:tcPr>
            <w:tcW w:w="3240" w:type="dxa"/>
            <w:gridSpan w:val="3"/>
            <w:vAlign w:val="center"/>
          </w:tcPr>
          <w:p w14:paraId="61834372" w14:textId="51769843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TIMEFRAME</w:t>
            </w:r>
          </w:p>
        </w:tc>
      </w:tr>
      <w:tr w:rsidR="007D1C8B" w:rsidRPr="000A2AAB" w14:paraId="451D0E11" w14:textId="77777777" w:rsidTr="00F25EEF">
        <w:trPr>
          <w:trHeight w:val="440"/>
        </w:trPr>
        <w:tc>
          <w:tcPr>
            <w:tcW w:w="11065" w:type="dxa"/>
            <w:vMerge/>
            <w:vAlign w:val="center"/>
          </w:tcPr>
          <w:p w14:paraId="0FF3EF17" w14:textId="77777777" w:rsidR="007D1C8B" w:rsidRPr="00EB4AD8" w:rsidRDefault="007D1C8B" w:rsidP="007D1C8B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202F059" w14:textId="52D5757C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Short-term</w:t>
            </w:r>
          </w:p>
        </w:tc>
        <w:tc>
          <w:tcPr>
            <w:tcW w:w="1080" w:type="dxa"/>
          </w:tcPr>
          <w:p w14:paraId="41D915F1" w14:textId="77777777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Medium-term</w:t>
            </w:r>
          </w:p>
          <w:p w14:paraId="45CB34F0" w14:textId="77777777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27FCE1" w14:textId="402BA43B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Long-term</w:t>
            </w:r>
          </w:p>
        </w:tc>
      </w:tr>
      <w:tr w:rsidR="007D1C8B" w:rsidRPr="000A2AAB" w14:paraId="16859B03" w14:textId="77777777" w:rsidTr="00994400">
        <w:trPr>
          <w:trHeight w:val="656"/>
        </w:trPr>
        <w:tc>
          <w:tcPr>
            <w:tcW w:w="14305" w:type="dxa"/>
            <w:gridSpan w:val="4"/>
            <w:shd w:val="clear" w:color="auto" w:fill="B8CCE4" w:themeFill="accent1" w:themeFillTint="66"/>
            <w:vAlign w:val="center"/>
          </w:tcPr>
          <w:p w14:paraId="70B6C4DF" w14:textId="77777777" w:rsidR="007D1C8B" w:rsidRPr="006A46DC" w:rsidRDefault="007D1C8B" w:rsidP="007D1C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ABA24A" w14:textId="77777777" w:rsidR="007D1C8B" w:rsidRPr="007D1C8B" w:rsidRDefault="007D1C8B" w:rsidP="007D1C8B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Output 1:  Countries for implementation of the new approach self-selected.</w:t>
            </w:r>
          </w:p>
          <w:p w14:paraId="0A55BECE" w14:textId="73F8F329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1C8B" w:rsidRPr="000A2AAB" w14:paraId="562AEB96" w14:textId="77777777" w:rsidTr="00A17C34">
        <w:trPr>
          <w:trHeight w:val="855"/>
        </w:trPr>
        <w:tc>
          <w:tcPr>
            <w:tcW w:w="11065" w:type="dxa"/>
            <w:vAlign w:val="center"/>
          </w:tcPr>
          <w:p w14:paraId="413B7D4B" w14:textId="77777777" w:rsidR="007D1C8B" w:rsidRPr="00EF31CA" w:rsidRDefault="007D1C8B" w:rsidP="007D1C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426C88" w14:textId="653B66AF" w:rsidR="007D1C8B" w:rsidRPr="00EF31CA" w:rsidRDefault="007D1C8B" w:rsidP="007D1C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31CA">
              <w:rPr>
                <w:rFonts w:cstheme="minorHAnsi"/>
                <w:b/>
                <w:bCs/>
                <w:sz w:val="20"/>
                <w:szCs w:val="20"/>
              </w:rPr>
              <w:t>Activities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B48F06D" w14:textId="77777777" w:rsidR="007D1C8B" w:rsidRPr="00A17C34" w:rsidRDefault="007D1C8B" w:rsidP="007D1C8B">
            <w:pPr>
              <w:rPr>
                <w:rFonts w:cstheme="minorHAnsi"/>
                <w:bCs/>
                <w:sz w:val="20"/>
                <w:szCs w:val="20"/>
              </w:rPr>
            </w:pPr>
            <w:r w:rsidRPr="00A17C34">
              <w:rPr>
                <w:rFonts w:cstheme="minorHAnsi"/>
                <w:bCs/>
                <w:sz w:val="20"/>
                <w:szCs w:val="20"/>
              </w:rPr>
              <w:t>1.</w:t>
            </w:r>
            <w:r w:rsidRPr="00A17C34">
              <w:rPr>
                <w:rFonts w:cstheme="minorHAnsi"/>
                <w:bCs/>
                <w:sz w:val="20"/>
                <w:szCs w:val="20"/>
              </w:rPr>
              <w:tab/>
              <w:t>Review of current efforts on HDP nexus in participating countries , if any</w:t>
            </w:r>
          </w:p>
          <w:p w14:paraId="283C5F24" w14:textId="77777777" w:rsidR="007D1C8B" w:rsidRPr="00A17C34" w:rsidRDefault="007D1C8B" w:rsidP="007D1C8B">
            <w:pPr>
              <w:rPr>
                <w:rFonts w:cstheme="minorHAnsi"/>
                <w:bCs/>
                <w:sz w:val="20"/>
                <w:szCs w:val="20"/>
              </w:rPr>
            </w:pPr>
            <w:r w:rsidRPr="00A17C34">
              <w:rPr>
                <w:rFonts w:cstheme="minorHAnsi"/>
                <w:bCs/>
                <w:sz w:val="20"/>
                <w:szCs w:val="20"/>
              </w:rPr>
              <w:t>2.</w:t>
            </w:r>
            <w:r w:rsidRPr="00A17C34">
              <w:rPr>
                <w:rFonts w:cstheme="minorHAnsi"/>
                <w:bCs/>
                <w:sz w:val="20"/>
                <w:szCs w:val="20"/>
              </w:rPr>
              <w:tab/>
              <w:t>Support of joint analysis and strategic planning</w:t>
            </w:r>
          </w:p>
          <w:p w14:paraId="32DF271C" w14:textId="77777777" w:rsidR="007D1C8B" w:rsidRDefault="007D1C8B" w:rsidP="007D1C8B">
            <w:pPr>
              <w:rPr>
                <w:rFonts w:cstheme="minorHAnsi"/>
                <w:bCs/>
                <w:sz w:val="20"/>
                <w:szCs w:val="20"/>
              </w:rPr>
            </w:pPr>
            <w:r w:rsidRPr="00A17C34">
              <w:rPr>
                <w:rFonts w:cstheme="minorHAnsi"/>
                <w:bCs/>
                <w:sz w:val="20"/>
                <w:szCs w:val="20"/>
              </w:rPr>
              <w:t>3.</w:t>
            </w:r>
            <w:r w:rsidRPr="00A17C34">
              <w:rPr>
                <w:rFonts w:cstheme="minorHAnsi"/>
                <w:bCs/>
                <w:sz w:val="20"/>
                <w:szCs w:val="20"/>
              </w:rPr>
              <w:tab/>
              <w:t>Review of lessons learned</w:t>
            </w:r>
          </w:p>
          <w:p w14:paraId="28E1CEAA" w14:textId="2F1A9DE1" w:rsidR="007D1C8B" w:rsidRDefault="007D1C8B" w:rsidP="007D1C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B9F817" w14:textId="2D795B86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79C21AE8" w14:textId="07D7AC0A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6AB000E8" w14:textId="77777777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7D1FC6E1" w14:textId="77777777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268F3D9B" w14:textId="55269AE2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2AF0EC29" w14:textId="77777777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77A0B0EA" w14:textId="77777777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603B1895" w14:textId="77777777" w:rsidR="007D1C8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1C8B" w:rsidRPr="000A2AAB" w14:paraId="3836258D" w14:textId="77777777" w:rsidTr="006A46DC">
        <w:trPr>
          <w:trHeight w:val="692"/>
        </w:trPr>
        <w:tc>
          <w:tcPr>
            <w:tcW w:w="14305" w:type="dxa"/>
            <w:gridSpan w:val="4"/>
            <w:shd w:val="clear" w:color="auto" w:fill="B8CCE4" w:themeFill="accent1" w:themeFillTint="66"/>
            <w:vAlign w:val="center"/>
          </w:tcPr>
          <w:p w14:paraId="28AE0D04" w14:textId="5F32D174" w:rsidR="007D1C8B" w:rsidRPr="006A46DC" w:rsidRDefault="007D1C8B" w:rsidP="007D1C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Output 2:</w:t>
            </w:r>
            <w:r w:rsidRPr="007D1C8B">
              <w:rPr>
                <w:rFonts w:cstheme="minorHAnsi"/>
                <w:b/>
                <w:szCs w:val="20"/>
              </w:rPr>
              <w:t xml:space="preserve"> Support for country level implementation of HDP nexus provided by IASC and UNWGT provided</w:t>
            </w:r>
            <w:r>
              <w:rPr>
                <w:rFonts w:cstheme="minorHAnsi"/>
                <w:b/>
                <w:szCs w:val="20"/>
              </w:rPr>
              <w:t>.</w:t>
            </w:r>
          </w:p>
        </w:tc>
      </w:tr>
      <w:tr w:rsidR="007D1C8B" w:rsidRPr="000A2AAB" w14:paraId="17D1697F" w14:textId="77777777" w:rsidTr="00A17C34">
        <w:trPr>
          <w:trHeight w:val="2696"/>
        </w:trPr>
        <w:tc>
          <w:tcPr>
            <w:tcW w:w="11065" w:type="dxa"/>
            <w:vAlign w:val="center"/>
          </w:tcPr>
          <w:p w14:paraId="0882D86C" w14:textId="77777777" w:rsidR="007D1C8B" w:rsidRPr="007364DE" w:rsidRDefault="007D1C8B" w:rsidP="007D1C8B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7364DE">
              <w:rPr>
                <w:rFonts w:cstheme="minorHAnsi"/>
                <w:b/>
                <w:bCs/>
                <w:sz w:val="20"/>
                <w:szCs w:val="20"/>
              </w:rPr>
              <w:t xml:space="preserve">Activities: </w:t>
            </w:r>
          </w:p>
          <w:p w14:paraId="1EB5534B" w14:textId="77777777" w:rsidR="007D1C8B" w:rsidRPr="00E0049B" w:rsidRDefault="007D1C8B" w:rsidP="007D1C8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7364DE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Issuance of a letter to all RC/HCs in countries going into UNDAF processes, multi-year HRPs and ISFs in the next 2 years, to offer HQ support on implementing the new way of working </w:t>
            </w:r>
          </w:p>
          <w:p w14:paraId="2D493698" w14:textId="77777777" w:rsidR="007D1C8B" w:rsidRPr="00EF31CA" w:rsidRDefault="007D1C8B" w:rsidP="007D1C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F31C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Mapping of HQ level resources both </w:t>
            </w:r>
            <w:r w:rsidRPr="00EF31CA">
              <w:rPr>
                <w:rFonts w:cstheme="minorHAnsi"/>
                <w:sz w:val="20"/>
                <w:szCs w:val="20"/>
              </w:rPr>
              <w:t>human (surge capacity, process facilitators) and financial Resources (UN-WB Humanitarian, Development, Peace Nexus Initiative, Peacebuilding Fund, WB-Trust Fund etc.) available to the field</w:t>
            </w:r>
          </w:p>
          <w:p w14:paraId="6CC03098" w14:textId="77777777" w:rsidR="007D1C8B" w:rsidRPr="00EF31CA" w:rsidRDefault="007D1C8B" w:rsidP="007D1C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F31CA">
              <w:rPr>
                <w:rFonts w:cstheme="minorHAnsi"/>
                <w:sz w:val="20"/>
                <w:szCs w:val="20"/>
              </w:rPr>
              <w:t>Inter-agency technical support missions (including remotely) to country level on addressing the Humanitarian, Development, Peace Nexus (HDPN) including on joint analysis, joined-up planning and advise on financing modalities (initial countries could be CAR, Yemen, Somalia, DRC, Sudan)</w:t>
            </w:r>
          </w:p>
          <w:p w14:paraId="23974AD9" w14:textId="24152D15" w:rsidR="007D1C8B" w:rsidRPr="007364DE" w:rsidRDefault="007D1C8B" w:rsidP="007D1C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EF31CA">
              <w:rPr>
                <w:rFonts w:cstheme="minorHAnsi"/>
                <w:sz w:val="20"/>
                <w:szCs w:val="20"/>
              </w:rPr>
              <w:t>Engage</w:t>
            </w:r>
            <w:r w:rsidRPr="007364DE">
              <w:rPr>
                <w:rFonts w:cstheme="minorHAnsi"/>
                <w:sz w:val="20"/>
                <w:szCs w:val="20"/>
              </w:rPr>
              <w:t xml:space="preserve"> with a second group of self-selected countries to support joint analysis and planning </w:t>
            </w:r>
          </w:p>
        </w:tc>
        <w:tc>
          <w:tcPr>
            <w:tcW w:w="1080" w:type="dxa"/>
          </w:tcPr>
          <w:p w14:paraId="7E1F2AB7" w14:textId="393FF663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0CB69E0D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DA1E08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BEF36B" w14:textId="77777777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</w:rPr>
              <w:t>x</w:t>
            </w:r>
          </w:p>
          <w:p w14:paraId="0E8D39E6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F2E0DA" w14:textId="77777777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</w:rPr>
              <w:t>x</w:t>
            </w:r>
          </w:p>
          <w:p w14:paraId="32A90328" w14:textId="77777777" w:rsidR="007D1C8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EAE7F5" w14:textId="77777777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26A9AE4A" w14:textId="709C5A45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901C61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DAAB9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AB7437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96494E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8721AF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24033B" w14:textId="77777777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739C9AF0" w14:textId="77777777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  <w:p w14:paraId="59F0E558" w14:textId="77777777" w:rsidR="007D1C8B" w:rsidRPr="000A2AAB" w:rsidRDefault="007D1C8B" w:rsidP="007D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099B3A10" w14:textId="46216879" w:rsidR="007D1C8B" w:rsidRPr="000A2AAB" w:rsidRDefault="007D1C8B" w:rsidP="007D1C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150D50" w14:textId="77777777" w:rsidR="006A46DC" w:rsidRDefault="006A46DC">
      <w: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1065"/>
        <w:gridCol w:w="1080"/>
        <w:gridCol w:w="1080"/>
        <w:gridCol w:w="1080"/>
      </w:tblGrid>
      <w:tr w:rsidR="00EF31CA" w:rsidRPr="000A2AAB" w14:paraId="4A5A59FB" w14:textId="77777777" w:rsidTr="006A46DC">
        <w:trPr>
          <w:trHeight w:val="620"/>
        </w:trPr>
        <w:tc>
          <w:tcPr>
            <w:tcW w:w="14305" w:type="dxa"/>
            <w:gridSpan w:val="4"/>
            <w:shd w:val="clear" w:color="auto" w:fill="B8CCE4" w:themeFill="accent1" w:themeFillTint="66"/>
            <w:vAlign w:val="center"/>
          </w:tcPr>
          <w:p w14:paraId="35701F93" w14:textId="77777777" w:rsidR="007D1C8B" w:rsidRDefault="00EF31CA" w:rsidP="006A46DC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 xml:space="preserve">Output 3: New tools developed and existing tools revisited in support of countries implementing the HDP nexus </w:t>
            </w:r>
          </w:p>
          <w:p w14:paraId="2D7DB375" w14:textId="297827FD" w:rsidR="00EF31CA" w:rsidRPr="000A2AAB" w:rsidRDefault="00EF31CA" w:rsidP="006A4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and a community of practice established</w:t>
            </w:r>
            <w:r w:rsidR="007D1C8B">
              <w:rPr>
                <w:rFonts w:cstheme="minorHAnsi"/>
                <w:b/>
                <w:bCs/>
                <w:szCs w:val="20"/>
              </w:rPr>
              <w:t>.</w:t>
            </w:r>
          </w:p>
        </w:tc>
      </w:tr>
      <w:tr w:rsidR="00A17C34" w:rsidRPr="000A2AAB" w14:paraId="32F39F3B" w14:textId="77777777" w:rsidTr="00A17C34">
        <w:trPr>
          <w:trHeight w:val="1824"/>
        </w:trPr>
        <w:tc>
          <w:tcPr>
            <w:tcW w:w="11065" w:type="dxa"/>
          </w:tcPr>
          <w:p w14:paraId="35EC275A" w14:textId="77777777" w:rsidR="00EF31CA" w:rsidRDefault="00EF31CA" w:rsidP="00AB01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E416D9" w14:textId="77777777" w:rsidR="00A17C34" w:rsidRPr="000A2AAB" w:rsidRDefault="00A17C34" w:rsidP="00AB01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2AAB">
              <w:rPr>
                <w:rFonts w:cstheme="minorHAnsi"/>
                <w:b/>
                <w:bCs/>
                <w:sz w:val="20"/>
                <w:szCs w:val="20"/>
              </w:rPr>
              <w:t>Activities:</w:t>
            </w:r>
          </w:p>
          <w:p w14:paraId="034D320A" w14:textId="77777777" w:rsidR="00A17C34" w:rsidRPr="00AB016D" w:rsidRDefault="00A17C34" w:rsidP="00D762D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quick guidance </w:t>
            </w:r>
            <w:r w:rsidRPr="00AB016D">
              <w:rPr>
                <w:rFonts w:cstheme="minorHAnsi"/>
                <w:sz w:val="20"/>
                <w:szCs w:val="20"/>
              </w:rPr>
              <w:t>on the HDP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AB016D">
              <w:rPr>
                <w:rFonts w:cstheme="minorHAnsi"/>
                <w:sz w:val="20"/>
                <w:szCs w:val="20"/>
              </w:rPr>
              <w:t xml:space="preserve"> and disseminate amongst partners at field level</w:t>
            </w:r>
          </w:p>
          <w:p w14:paraId="43856DBF" w14:textId="77777777" w:rsidR="00A17C34" w:rsidRPr="009771B0" w:rsidRDefault="00A17C34" w:rsidP="00D762D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B016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Develop common outcome indicators to assess progress on implementation</w:t>
            </w:r>
          </w:p>
          <w:p w14:paraId="70D00721" w14:textId="4DC0C7CC" w:rsidR="00A17C34" w:rsidRDefault="00A17C34" w:rsidP="00D762D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Organize second joint workshop to draw lessons learned (after 1 year or two implementation) and to discuss pending issues (leadership, coordination, financing, monitoring) </w:t>
            </w:r>
          </w:p>
          <w:p w14:paraId="77AE71E0" w14:textId="77777777" w:rsidR="00A17C34" w:rsidRPr="00AB016D" w:rsidRDefault="00A17C34" w:rsidP="00D762D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855043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evelop an online</w:t>
            </w:r>
            <w:r w:rsidRPr="00855043">
              <w:rPr>
                <w:rFonts w:cstheme="minorHAnsi"/>
                <w:sz w:val="20"/>
                <w:szCs w:val="20"/>
              </w:rPr>
              <w:t xml:space="preserve"> platform for a community of practice</w:t>
            </w:r>
            <w:r>
              <w:rPr>
                <w:rFonts w:cstheme="minorHAnsi"/>
                <w:sz w:val="20"/>
                <w:szCs w:val="20"/>
              </w:rPr>
              <w:t xml:space="preserve"> that can be utilise by countries</w:t>
            </w:r>
          </w:p>
          <w:p w14:paraId="61660EB1" w14:textId="77777777" w:rsidR="00A17C34" w:rsidRPr="009771B0" w:rsidRDefault="00A17C34" w:rsidP="00D762D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AB016D">
              <w:rPr>
                <w:rFonts w:cstheme="minorHAnsi"/>
                <w:sz w:val="20"/>
                <w:szCs w:val="20"/>
              </w:rPr>
              <w:t>Organize regional workshops to exchange experiences, promote the new way of working and explain the new guidance</w:t>
            </w:r>
          </w:p>
          <w:p w14:paraId="234E8AAC" w14:textId="77777777" w:rsidR="00A17C34" w:rsidRPr="007364DE" w:rsidRDefault="00A17C34" w:rsidP="00D762D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364DE">
              <w:rPr>
                <w:rFonts w:cstheme="minorHAnsi"/>
                <w:sz w:val="20"/>
                <w:szCs w:val="20"/>
              </w:rPr>
              <w:t>Compile lessons learned including case studies from the Field, including case studies in Central African Republic, DRC, Lebanon and Sudan</w:t>
            </w:r>
          </w:p>
          <w:p w14:paraId="7A5385FF" w14:textId="77777777" w:rsidR="00A17C34" w:rsidRPr="009771B0" w:rsidRDefault="00A17C34" w:rsidP="009771B0">
            <w:pPr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488FEE" w14:textId="77777777" w:rsidR="00A17C34" w:rsidRPr="00EF31CA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4286FBF1" w14:textId="77777777" w:rsidR="00EF31CA" w:rsidRP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07C686E4" w14:textId="182A1138" w:rsidR="00A17C34" w:rsidRPr="00EF31CA" w:rsidRDefault="00EF31CA" w:rsidP="00AB016D">
            <w:pPr>
              <w:rPr>
                <w:rFonts w:cstheme="minorHAnsi"/>
                <w:sz w:val="20"/>
                <w:szCs w:val="20"/>
              </w:rPr>
            </w:pPr>
            <w:r w:rsidRPr="00EF31CA">
              <w:rPr>
                <w:rFonts w:cstheme="minorHAnsi"/>
                <w:sz w:val="20"/>
                <w:szCs w:val="20"/>
              </w:rPr>
              <w:t>X</w:t>
            </w:r>
          </w:p>
          <w:p w14:paraId="6AED6413" w14:textId="308DD51F" w:rsidR="00EF31CA" w:rsidRPr="00EF31CA" w:rsidRDefault="00EF31CA" w:rsidP="00AB016D">
            <w:pPr>
              <w:rPr>
                <w:rFonts w:cstheme="minorHAnsi"/>
                <w:sz w:val="20"/>
                <w:szCs w:val="20"/>
              </w:rPr>
            </w:pPr>
            <w:r w:rsidRPr="00EF31CA">
              <w:rPr>
                <w:rFonts w:cstheme="minorHAnsi"/>
                <w:sz w:val="20"/>
                <w:szCs w:val="20"/>
              </w:rPr>
              <w:t>X</w:t>
            </w:r>
          </w:p>
          <w:p w14:paraId="20E34559" w14:textId="77777777" w:rsidR="00EF31CA" w:rsidRPr="000A2AAB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66317BD1" w14:textId="77777777" w:rsidR="00A17C34" w:rsidRPr="000A2AAB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1367FA76" w14:textId="77777777" w:rsidR="00A17C34" w:rsidRDefault="00A17C34" w:rsidP="007364DE">
            <w:pPr>
              <w:rPr>
                <w:rFonts w:cstheme="minorHAnsi"/>
                <w:sz w:val="20"/>
                <w:szCs w:val="20"/>
              </w:rPr>
            </w:pPr>
          </w:p>
          <w:p w14:paraId="17004C2C" w14:textId="624A7E45" w:rsidR="00A17C34" w:rsidRPr="000A2AAB" w:rsidRDefault="00A17C34" w:rsidP="007364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76FC85" w14:textId="77777777" w:rsidR="00A17C34" w:rsidRPr="000A2AAB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4CC22733" w14:textId="77777777" w:rsidR="00A17C34" w:rsidRPr="000A2AAB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4C35DFBA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49D4B7C3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009AA1D7" w14:textId="473F5B18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22FD163A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5EDAF6AE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6C4E735B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4F66A1CD" w14:textId="18AC5D87" w:rsidR="00EF31CA" w:rsidRPr="000A2AAB" w:rsidRDefault="00EF31CA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4D894410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26050470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2988025F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61CFCD80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7C0BA347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6583DDB1" w14:textId="77777777" w:rsidR="00A17C34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  <w:p w14:paraId="2F5A0559" w14:textId="64968514" w:rsidR="00A17C34" w:rsidRPr="000A2AAB" w:rsidRDefault="00A17C34" w:rsidP="00AB01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6097" w:rsidRPr="000A2AAB" w14:paraId="31DCECD3" w14:textId="77777777" w:rsidTr="006A46DC">
        <w:trPr>
          <w:trHeight w:val="710"/>
        </w:trPr>
        <w:tc>
          <w:tcPr>
            <w:tcW w:w="14305" w:type="dxa"/>
            <w:gridSpan w:val="4"/>
            <w:shd w:val="clear" w:color="auto" w:fill="B8CCE4" w:themeFill="accent1" w:themeFillTint="66"/>
          </w:tcPr>
          <w:p w14:paraId="62D10670" w14:textId="77777777" w:rsidR="006A46DC" w:rsidRDefault="006A46DC" w:rsidP="006A46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28E4C3" w14:textId="01A2E9BC" w:rsidR="00DB6097" w:rsidRPr="006A46DC" w:rsidRDefault="00DB6097" w:rsidP="006A46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Output 4:</w:t>
            </w:r>
            <w:r w:rsidRPr="007D1C8B">
              <w:rPr>
                <w:rFonts w:cstheme="minorHAnsi"/>
                <w:b/>
                <w:szCs w:val="20"/>
              </w:rPr>
              <w:t xml:space="preserve"> Financing </w:t>
            </w:r>
            <w:r w:rsidRPr="007D1C8B">
              <w:rPr>
                <w:rFonts w:cstheme="minorHAnsi"/>
                <w:b/>
                <w:bCs/>
                <w:szCs w:val="20"/>
              </w:rPr>
              <w:t>incentives</w:t>
            </w:r>
            <w:r w:rsidRPr="007D1C8B">
              <w:rPr>
                <w:rFonts w:cstheme="minorHAnsi"/>
                <w:b/>
                <w:szCs w:val="20"/>
              </w:rPr>
              <w:t xml:space="preserve"> for collaboration and address financial fragmentation promoted</w:t>
            </w:r>
            <w:r w:rsidR="007D1C8B">
              <w:rPr>
                <w:rFonts w:cstheme="minorHAnsi"/>
                <w:b/>
                <w:szCs w:val="20"/>
              </w:rPr>
              <w:t>.</w:t>
            </w:r>
          </w:p>
        </w:tc>
      </w:tr>
      <w:tr w:rsidR="00EB4AD8" w:rsidRPr="000A2AAB" w14:paraId="613F6120" w14:textId="77777777" w:rsidTr="002907AA">
        <w:trPr>
          <w:trHeight w:val="1529"/>
        </w:trPr>
        <w:tc>
          <w:tcPr>
            <w:tcW w:w="11065" w:type="dxa"/>
          </w:tcPr>
          <w:p w14:paraId="1418D32A" w14:textId="77777777" w:rsidR="00EB4AD8" w:rsidRDefault="00EB4AD8" w:rsidP="00EB4AD8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A95A17">
              <w:rPr>
                <w:rFonts w:cstheme="minorHAnsi"/>
                <w:b/>
                <w:bCs/>
                <w:sz w:val="20"/>
                <w:szCs w:val="20"/>
              </w:rPr>
              <w:t xml:space="preserve">Activities: </w:t>
            </w:r>
          </w:p>
          <w:p w14:paraId="3485971B" w14:textId="77777777" w:rsidR="002907AA" w:rsidRPr="00A95A17" w:rsidRDefault="002907AA" w:rsidP="00EB4AD8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BF8FAC" w14:textId="77777777" w:rsidR="00EB4AD8" w:rsidRPr="00A95A17" w:rsidRDefault="00EB4AD8" w:rsidP="00EB4AD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95A17">
              <w:rPr>
                <w:rFonts w:cstheme="minorHAnsi"/>
                <w:sz w:val="20"/>
                <w:szCs w:val="20"/>
              </w:rPr>
              <w:t>Map financial flows and pooled fund mechanisms which support the HDP nexus</w:t>
            </w:r>
            <w:r>
              <w:rPr>
                <w:rFonts w:cstheme="minorHAnsi"/>
                <w:sz w:val="20"/>
                <w:szCs w:val="20"/>
              </w:rPr>
              <w:t xml:space="preserve"> (this is also mentioned above)</w:t>
            </w:r>
          </w:p>
          <w:p w14:paraId="1CC02CA3" w14:textId="77777777" w:rsidR="00EB4AD8" w:rsidRPr="00EB4AD8" w:rsidRDefault="00EB4AD8" w:rsidP="00EB4AD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A95A1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Develop a concept note on addressing financial fragmentation</w:t>
            </w:r>
          </w:p>
          <w:p w14:paraId="258666CD" w14:textId="137D31AC" w:rsidR="00EB4AD8" w:rsidRPr="00EB4AD8" w:rsidRDefault="00EB4AD8" w:rsidP="00EB4AD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EB4AD8">
              <w:rPr>
                <w:rFonts w:cstheme="minorHAnsi"/>
                <w:sz w:val="20"/>
                <w:szCs w:val="20"/>
              </w:rPr>
              <w:t>Determine areas of engagement with donors following the WHS to reduce financial fragmentation</w:t>
            </w:r>
          </w:p>
        </w:tc>
        <w:tc>
          <w:tcPr>
            <w:tcW w:w="1080" w:type="dxa"/>
          </w:tcPr>
          <w:p w14:paraId="278CB413" w14:textId="77777777" w:rsidR="00EB4AD8" w:rsidRDefault="00EB4AD8" w:rsidP="00AB016D">
            <w:pPr>
              <w:rPr>
                <w:rFonts w:cstheme="minorHAnsi"/>
                <w:sz w:val="20"/>
                <w:szCs w:val="20"/>
              </w:rPr>
            </w:pPr>
          </w:p>
          <w:p w14:paraId="5BE500F0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7B61CE53" w14:textId="595FC291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23EE939C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49B82C43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30228437" w14:textId="67B050FC" w:rsidR="00EF31CA" w:rsidRPr="000A2AAB" w:rsidRDefault="00EF31CA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0245F276" w14:textId="77777777" w:rsidR="00EB4AD8" w:rsidRDefault="00EB4AD8" w:rsidP="00AB016D">
            <w:pPr>
              <w:rPr>
                <w:rFonts w:cstheme="minorHAnsi"/>
                <w:sz w:val="20"/>
                <w:szCs w:val="20"/>
              </w:rPr>
            </w:pPr>
          </w:p>
          <w:p w14:paraId="50734141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709B30C8" w14:textId="77777777" w:rsidR="00EF31CA" w:rsidRDefault="00EF31CA" w:rsidP="00AB016D">
            <w:pPr>
              <w:rPr>
                <w:rFonts w:cstheme="minorHAnsi"/>
                <w:sz w:val="20"/>
                <w:szCs w:val="20"/>
              </w:rPr>
            </w:pPr>
          </w:p>
          <w:p w14:paraId="3736FF3B" w14:textId="0CAB5528" w:rsidR="00EF31CA" w:rsidRPr="000A2AAB" w:rsidRDefault="00EF31CA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53EA5EB0" w14:textId="77777777" w:rsidR="00EB4AD8" w:rsidRDefault="00EB4AD8" w:rsidP="00AB01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6097" w:rsidRPr="000A2AAB" w14:paraId="6C7155E7" w14:textId="77777777" w:rsidTr="006A46DC">
        <w:trPr>
          <w:trHeight w:val="710"/>
        </w:trPr>
        <w:tc>
          <w:tcPr>
            <w:tcW w:w="14305" w:type="dxa"/>
            <w:gridSpan w:val="4"/>
            <w:shd w:val="clear" w:color="auto" w:fill="B8CCE4" w:themeFill="accent1" w:themeFillTint="66"/>
          </w:tcPr>
          <w:p w14:paraId="61ED7616" w14:textId="77777777" w:rsidR="007D1C8B" w:rsidRDefault="007D1C8B" w:rsidP="006A46D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  <w:p w14:paraId="1A87F291" w14:textId="635E10F0" w:rsidR="00DB6097" w:rsidRPr="006A46DC" w:rsidRDefault="00DB6097" w:rsidP="006A46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Output 5:</w:t>
            </w:r>
            <w:r w:rsidRPr="007D1C8B">
              <w:rPr>
                <w:rFonts w:cstheme="minorHAnsi"/>
                <w:b/>
                <w:szCs w:val="20"/>
              </w:rPr>
              <w:t xml:space="preserve"> Engagement in global processes in advancing the HDP nexus</w:t>
            </w:r>
          </w:p>
        </w:tc>
      </w:tr>
      <w:tr w:rsidR="00DB6097" w:rsidRPr="000A2AAB" w14:paraId="3538DFA6" w14:textId="77777777" w:rsidTr="00B20FFB">
        <w:trPr>
          <w:trHeight w:val="710"/>
        </w:trPr>
        <w:tc>
          <w:tcPr>
            <w:tcW w:w="11065" w:type="dxa"/>
          </w:tcPr>
          <w:p w14:paraId="02F99A37" w14:textId="77777777" w:rsidR="00DB6097" w:rsidRPr="000A2AAB" w:rsidRDefault="00DB6097" w:rsidP="00EF31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2AAB">
              <w:rPr>
                <w:rFonts w:cstheme="minorHAnsi"/>
                <w:b/>
                <w:bCs/>
                <w:sz w:val="20"/>
                <w:szCs w:val="20"/>
              </w:rPr>
              <w:t xml:space="preserve">Activities: </w:t>
            </w:r>
          </w:p>
          <w:p w14:paraId="3C9DD2BF" w14:textId="77777777" w:rsidR="00DB6097" w:rsidRPr="00A95A17" w:rsidRDefault="00DB6097" w:rsidP="00EF31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95A17">
              <w:rPr>
                <w:rFonts w:cstheme="minorHAnsi"/>
                <w:sz w:val="20"/>
                <w:szCs w:val="20"/>
              </w:rPr>
              <w:t>Identify and engage with</w:t>
            </w:r>
            <w:r>
              <w:rPr>
                <w:rFonts w:cstheme="minorHAnsi"/>
                <w:sz w:val="20"/>
                <w:szCs w:val="20"/>
              </w:rPr>
              <w:t xml:space="preserve"> Member State champions</w:t>
            </w:r>
            <w:r w:rsidRPr="00A95A17">
              <w:rPr>
                <w:rFonts w:cstheme="minorHAnsi"/>
                <w:sz w:val="20"/>
                <w:szCs w:val="20"/>
              </w:rPr>
              <w:t xml:space="preserve"> to engage in intergovernmental discussions to move forward the HDP nexus </w:t>
            </w:r>
          </w:p>
          <w:p w14:paraId="0DAACE05" w14:textId="77777777" w:rsidR="00DB6097" w:rsidRDefault="00DB6097" w:rsidP="00EF31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1225E">
              <w:rPr>
                <w:rFonts w:cstheme="minorHAnsi"/>
                <w:sz w:val="20"/>
                <w:szCs w:val="20"/>
              </w:rPr>
              <w:t>Review existing policies, frameworks and protocols and adapt if necessary for dissemination at HQ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80AC5">
              <w:rPr>
                <w:rFonts w:cstheme="minorHAnsi"/>
                <w:sz w:val="20"/>
                <w:szCs w:val="20"/>
              </w:rPr>
              <w:t>to field offices</w:t>
            </w:r>
          </w:p>
          <w:p w14:paraId="61D5F551" w14:textId="77777777" w:rsidR="00DB6097" w:rsidRPr="00EF31CA" w:rsidRDefault="00DB6097" w:rsidP="00EF31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680AC5">
              <w:rPr>
                <w:rFonts w:cstheme="minorHAnsi"/>
                <w:sz w:val="20"/>
                <w:szCs w:val="20"/>
              </w:rPr>
              <w:t xml:space="preserve">Provide inputs, as appropriate, for UNGA deliberations, QCPR, MoU between Grand Bargain Donors and agencies on HDP, and other </w:t>
            </w:r>
            <w:r w:rsidRPr="00EF31CA">
              <w:rPr>
                <w:rFonts w:cstheme="minorHAnsi"/>
                <w:sz w:val="20"/>
                <w:szCs w:val="20"/>
              </w:rPr>
              <w:t>relevant processes</w:t>
            </w:r>
          </w:p>
          <w:p w14:paraId="68311BB6" w14:textId="77777777" w:rsidR="00DB6097" w:rsidRPr="00EF31CA" w:rsidRDefault="00DB6097" w:rsidP="00EF31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EF31CA">
              <w:rPr>
                <w:rFonts w:cstheme="minorHAnsi"/>
                <w:sz w:val="20"/>
                <w:szCs w:val="20"/>
              </w:rPr>
              <w:t>Advocate for the Spring 2017 CEB meeting to agree on the new HDPN approach</w:t>
            </w:r>
          </w:p>
          <w:p w14:paraId="144526B5" w14:textId="77777777" w:rsidR="002907AA" w:rsidRDefault="00DB6097" w:rsidP="00EF31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2907AA">
              <w:rPr>
                <w:rFonts w:cstheme="minorHAnsi"/>
                <w:bCs/>
                <w:sz w:val="20"/>
                <w:szCs w:val="20"/>
              </w:rPr>
              <w:t>Development of a follow-up mechanism by HLCM with regular reporting to CEB to track individual agencies’ implementation of the guidance</w:t>
            </w:r>
          </w:p>
          <w:p w14:paraId="03A81262" w14:textId="3BEAA9EC" w:rsidR="00DB6097" w:rsidRPr="002907AA" w:rsidRDefault="00DB6097" w:rsidP="00EF31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2907AA">
              <w:rPr>
                <w:rFonts w:cstheme="minorHAnsi"/>
                <w:bCs/>
                <w:sz w:val="20"/>
                <w:szCs w:val="20"/>
              </w:rPr>
              <w:t>Encourage partners to consider including HDPN into standard job descriptions of Heads of Offices</w:t>
            </w:r>
          </w:p>
          <w:p w14:paraId="1DD4DA4A" w14:textId="77777777" w:rsidR="00DB6097" w:rsidRPr="00A95A17" w:rsidRDefault="00DB6097" w:rsidP="00EB4AD8">
            <w:pPr>
              <w:shd w:val="clear" w:color="auto" w:fill="FFFFFF" w:themeFill="background1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14:paraId="623D74AE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0181CC66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6B8B1156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5124F77E" w14:textId="52CCFD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1D24B332" w14:textId="3F143F1F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23FB4D66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2211BA71" w14:textId="053FF40A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C6518C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01330DB4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1EA15B74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2F3E394D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0128FAE2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1C2D58E7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12B858DF" w14:textId="6FA3C2A9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786FADF9" w14:textId="2893DBDC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686D0B05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  <w:p w14:paraId="4B664BDB" w14:textId="17530ED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1D2A5114" w14:textId="77777777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C71337" w14:textId="3D4F30D9" w:rsidR="00DB6097" w:rsidRDefault="00DB6097" w:rsidP="00AB01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5364" w:rsidRPr="000A2AAB" w14:paraId="3A9D6223" w14:textId="77777777" w:rsidTr="006A46DC">
        <w:trPr>
          <w:trHeight w:val="710"/>
        </w:trPr>
        <w:tc>
          <w:tcPr>
            <w:tcW w:w="14305" w:type="dxa"/>
            <w:gridSpan w:val="4"/>
            <w:shd w:val="clear" w:color="auto" w:fill="B8CCE4" w:themeFill="accent1" w:themeFillTint="66"/>
          </w:tcPr>
          <w:p w14:paraId="6DD80AF3" w14:textId="77777777" w:rsidR="007D1C8B" w:rsidRPr="007D1C8B" w:rsidRDefault="001C5364" w:rsidP="007D1C8B">
            <w:pPr>
              <w:jc w:val="center"/>
              <w:rPr>
                <w:rFonts w:cstheme="minorHAnsi"/>
                <w:b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Output 6:</w:t>
            </w:r>
            <w:r w:rsidRPr="007D1C8B">
              <w:rPr>
                <w:rFonts w:cstheme="minorHAnsi"/>
                <w:b/>
                <w:szCs w:val="20"/>
              </w:rPr>
              <w:t xml:space="preserve">  </w:t>
            </w:r>
            <w:r w:rsidRPr="007D1C8B">
              <w:rPr>
                <w:rFonts w:cstheme="minorHAnsi"/>
                <w:b/>
                <w:bCs/>
                <w:szCs w:val="20"/>
              </w:rPr>
              <w:t>Partnerships</w:t>
            </w:r>
            <w:r w:rsidRPr="007D1C8B">
              <w:rPr>
                <w:rFonts w:cstheme="minorHAnsi"/>
                <w:b/>
                <w:szCs w:val="20"/>
              </w:rPr>
              <w:t xml:space="preserve"> with governments, IFIs, national and international non-governmental organizations (and consortia), civil society, </w:t>
            </w:r>
          </w:p>
          <w:p w14:paraId="63CA2024" w14:textId="1428F33B" w:rsidR="001C5364" w:rsidRPr="007D1C8B" w:rsidRDefault="001C5364" w:rsidP="007D1C8B">
            <w:pPr>
              <w:jc w:val="center"/>
              <w:rPr>
                <w:rFonts w:cstheme="minorHAnsi"/>
                <w:b/>
                <w:szCs w:val="20"/>
              </w:rPr>
            </w:pPr>
            <w:r w:rsidRPr="007D1C8B">
              <w:rPr>
                <w:rFonts w:cstheme="minorHAnsi"/>
                <w:b/>
                <w:szCs w:val="20"/>
              </w:rPr>
              <w:t>and the private sector strengthened</w:t>
            </w:r>
            <w:r w:rsidR="006A46DC" w:rsidRPr="007D1C8B">
              <w:rPr>
                <w:rFonts w:cstheme="minorHAnsi"/>
                <w:b/>
                <w:szCs w:val="20"/>
              </w:rPr>
              <w:t>.</w:t>
            </w:r>
          </w:p>
          <w:p w14:paraId="08E0FED8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68BC" w:rsidRPr="000A2AAB" w14:paraId="03735987" w14:textId="77777777" w:rsidTr="001C5364">
        <w:trPr>
          <w:trHeight w:val="3140"/>
        </w:trPr>
        <w:tc>
          <w:tcPr>
            <w:tcW w:w="11065" w:type="dxa"/>
          </w:tcPr>
          <w:p w14:paraId="04674B86" w14:textId="77777777" w:rsidR="006168BC" w:rsidRPr="000A2AAB" w:rsidRDefault="006168BC" w:rsidP="006168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2AAB">
              <w:rPr>
                <w:rFonts w:cstheme="minorHAnsi"/>
                <w:b/>
                <w:bCs/>
                <w:sz w:val="20"/>
                <w:szCs w:val="20"/>
              </w:rPr>
              <w:t>Activities: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  <w:p w14:paraId="09C918FE" w14:textId="77777777" w:rsidR="006168BC" w:rsidRPr="00E0049B" w:rsidRDefault="006168BC" w:rsidP="006168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</w:rPr>
              <w:t xml:space="preserve">Establish </w:t>
            </w:r>
            <w:r>
              <w:rPr>
                <w:rFonts w:cstheme="minorHAnsi"/>
                <w:sz w:val="20"/>
                <w:szCs w:val="20"/>
              </w:rPr>
              <w:t>smaller task team to:</w:t>
            </w:r>
          </w:p>
          <w:p w14:paraId="02D07C6D" w14:textId="77777777" w:rsidR="006168BC" w:rsidRPr="00E0049B" w:rsidRDefault="006168BC" w:rsidP="006168BC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</w:rPr>
              <w:t>Review findings of WB/UNDP/DPKO/DPA</w:t>
            </w:r>
            <w:r>
              <w:rPr>
                <w:rFonts w:cstheme="minorHAnsi"/>
                <w:sz w:val="20"/>
                <w:szCs w:val="20"/>
              </w:rPr>
              <w:t xml:space="preserve"> study on development and conflict prevention </w:t>
            </w:r>
            <w:r w:rsidRPr="000A2AAB">
              <w:rPr>
                <w:rFonts w:cstheme="minorHAnsi"/>
                <w:sz w:val="20"/>
                <w:szCs w:val="20"/>
              </w:rPr>
              <w:t>and identify key actions to be taken</w:t>
            </w:r>
            <w:r>
              <w:rPr>
                <w:rFonts w:cstheme="minorHAnsi"/>
                <w:sz w:val="20"/>
                <w:szCs w:val="20"/>
              </w:rPr>
              <w:t>, including</w:t>
            </w:r>
            <w:r w:rsidRPr="000A2AAB">
              <w:rPr>
                <w:rFonts w:cstheme="minorHAnsi"/>
                <w:sz w:val="20"/>
                <w:szCs w:val="20"/>
              </w:rPr>
              <w:t xml:space="preserve"> to reinforce the UN/WB partnership</w:t>
            </w:r>
          </w:p>
          <w:p w14:paraId="13422543" w14:textId="77777777" w:rsidR="006168BC" w:rsidRPr="00E0049B" w:rsidRDefault="006168BC" w:rsidP="006168BC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</w:rPr>
              <w:t>Develop a</w:t>
            </w:r>
            <w:r>
              <w:rPr>
                <w:rFonts w:cstheme="minorHAnsi"/>
                <w:sz w:val="20"/>
                <w:szCs w:val="20"/>
              </w:rPr>
              <w:t xml:space="preserve"> supplemental note</w:t>
            </w:r>
            <w:r w:rsidRPr="000A2AAB">
              <w:rPr>
                <w:rFonts w:cstheme="minorHAnsi"/>
                <w:sz w:val="20"/>
                <w:szCs w:val="20"/>
              </w:rPr>
              <w:t xml:space="preserve"> to the UNDAF gui</w:t>
            </w:r>
            <w:r>
              <w:rPr>
                <w:rFonts w:cstheme="minorHAnsi"/>
                <w:sz w:val="20"/>
                <w:szCs w:val="20"/>
              </w:rPr>
              <w:t xml:space="preserve">dance on strategic HDNP planning </w:t>
            </w:r>
            <w:r w:rsidRPr="000A2AAB">
              <w:rPr>
                <w:rFonts w:cstheme="minorHAnsi"/>
                <w:sz w:val="20"/>
                <w:szCs w:val="20"/>
              </w:rPr>
              <w:t xml:space="preserve">to address the disconnect between planners and implementers </w:t>
            </w:r>
            <w:r>
              <w:rPr>
                <w:rFonts w:cstheme="minorHAnsi"/>
                <w:sz w:val="20"/>
                <w:szCs w:val="20"/>
              </w:rPr>
              <w:t>(including NGOs)</w:t>
            </w:r>
          </w:p>
          <w:p w14:paraId="6B9C2FA4" w14:textId="77777777" w:rsidR="006168BC" w:rsidRPr="00E0049B" w:rsidRDefault="006168BC" w:rsidP="006168BC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</w:rPr>
              <w:t>Develop a module in the UNRC training on strategic HDN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0A2AAB">
              <w:rPr>
                <w:rFonts w:cstheme="minorHAnsi"/>
                <w:sz w:val="20"/>
                <w:szCs w:val="20"/>
              </w:rPr>
              <w:t xml:space="preserve"> planning </w:t>
            </w:r>
            <w:r>
              <w:rPr>
                <w:rFonts w:cstheme="minorHAnsi"/>
                <w:sz w:val="20"/>
                <w:szCs w:val="20"/>
              </w:rPr>
              <w:t>and engagement with NGOs</w:t>
            </w:r>
          </w:p>
          <w:p w14:paraId="61DC8F2D" w14:textId="77777777" w:rsidR="006168BC" w:rsidRPr="00E0049B" w:rsidRDefault="006168BC" w:rsidP="006168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entry points with multi-partner processes, such as the New Deal for engagement in fragile situations, and Global Initiative on Risk Informed Development, among others</w:t>
            </w:r>
          </w:p>
          <w:p w14:paraId="656DA110" w14:textId="77777777" w:rsidR="006168BC" w:rsidRPr="00E0049B" w:rsidRDefault="006168BC" w:rsidP="006168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Build on the UN/WB HDNP initiative at country level </w:t>
            </w:r>
          </w:p>
          <w:p w14:paraId="14DC8CB3" w14:textId="59BA5B6B" w:rsidR="006168BC" w:rsidRPr="001C5364" w:rsidRDefault="006168BC" w:rsidP="006168B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80AC5">
              <w:rPr>
                <w:rFonts w:cstheme="minorHAnsi"/>
                <w:sz w:val="20"/>
                <w:szCs w:val="20"/>
              </w:rPr>
              <w:t>Review  the IASC HDN TT best practices study on HDNP managed by ICVA (TBC) and prepare a compendium of possible collective outcomes, and identify further key actions to be taken to reinforce the UN/NGOs partnership</w:t>
            </w:r>
          </w:p>
        </w:tc>
        <w:tc>
          <w:tcPr>
            <w:tcW w:w="1080" w:type="dxa"/>
          </w:tcPr>
          <w:p w14:paraId="5C3FFE16" w14:textId="77777777" w:rsidR="006168BC" w:rsidRDefault="006168BC" w:rsidP="00AB016D">
            <w:pPr>
              <w:rPr>
                <w:rFonts w:cstheme="minorHAnsi"/>
                <w:sz w:val="20"/>
                <w:szCs w:val="20"/>
              </w:rPr>
            </w:pPr>
          </w:p>
          <w:p w14:paraId="1E03793F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064F24E8" w14:textId="65C23A6C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53B4C528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67484196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5A08F719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24FC7198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039EA332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77E779DF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48E7B391" w14:textId="6F614D44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7BE0A806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6C0E65F3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67D30E" w14:textId="77777777" w:rsidR="006168BC" w:rsidRDefault="006168BC" w:rsidP="00AB016D">
            <w:pPr>
              <w:rPr>
                <w:rFonts w:cstheme="minorHAnsi"/>
                <w:sz w:val="20"/>
                <w:szCs w:val="20"/>
              </w:rPr>
            </w:pPr>
          </w:p>
          <w:p w14:paraId="0118A1A6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28FDFD73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32F0FBB2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61F4B59D" w14:textId="3FA696FC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749AF306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74FB29EB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62841D8C" w14:textId="2FB9C302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016E6366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5A5C3775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047AE807" w14:textId="7A240A8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7F69FA95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9FEAF4" w14:textId="77777777" w:rsidR="006168BC" w:rsidRDefault="006168BC" w:rsidP="00AB016D">
            <w:pPr>
              <w:rPr>
                <w:rFonts w:cstheme="minorHAnsi"/>
                <w:sz w:val="20"/>
                <w:szCs w:val="20"/>
              </w:rPr>
            </w:pPr>
          </w:p>
          <w:p w14:paraId="5805977D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69917232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0BD6D590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4BCBB048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6036921F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  <w:p w14:paraId="2890928B" w14:textId="4D52ABD2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1FBF2822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5364" w:rsidRPr="000A2AAB" w14:paraId="417D7277" w14:textId="77777777" w:rsidTr="006A46DC">
        <w:trPr>
          <w:trHeight w:val="710"/>
        </w:trPr>
        <w:tc>
          <w:tcPr>
            <w:tcW w:w="14305" w:type="dxa"/>
            <w:gridSpan w:val="4"/>
            <w:shd w:val="clear" w:color="auto" w:fill="B8CCE4" w:themeFill="accent1" w:themeFillTint="66"/>
          </w:tcPr>
          <w:p w14:paraId="071432FF" w14:textId="02E7E3E0" w:rsidR="001C5364" w:rsidRDefault="001C5364" w:rsidP="006168BC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  <w:p w14:paraId="0207E818" w14:textId="77777777" w:rsidR="007D1C8B" w:rsidRDefault="001C5364" w:rsidP="007D1C8B">
            <w:pPr>
              <w:shd w:val="clear" w:color="auto" w:fill="B8CCE4" w:themeFill="accent1" w:themeFillTint="66"/>
              <w:jc w:val="center"/>
              <w:rPr>
                <w:rFonts w:cstheme="minorHAnsi"/>
                <w:b/>
                <w:szCs w:val="20"/>
              </w:rPr>
            </w:pPr>
            <w:r w:rsidRPr="007D1C8B">
              <w:rPr>
                <w:rFonts w:cstheme="minorHAnsi"/>
                <w:b/>
                <w:bCs/>
                <w:szCs w:val="20"/>
              </w:rPr>
              <w:t>Output 7:</w:t>
            </w:r>
            <w:r w:rsidRPr="007D1C8B">
              <w:rPr>
                <w:rFonts w:cstheme="minorHAnsi"/>
                <w:b/>
                <w:szCs w:val="20"/>
              </w:rPr>
              <w:t xml:space="preserve"> Shared communication narrative on the need for strengthening collaboration among humanitarian, development </w:t>
            </w:r>
          </w:p>
          <w:p w14:paraId="2CF50BDF" w14:textId="045F830A" w:rsidR="001C5364" w:rsidRPr="007D1C8B" w:rsidRDefault="001C5364" w:rsidP="007D1C8B">
            <w:pPr>
              <w:shd w:val="clear" w:color="auto" w:fill="B8CCE4" w:themeFill="accent1" w:themeFillTint="66"/>
              <w:jc w:val="center"/>
              <w:rPr>
                <w:rFonts w:cstheme="minorHAnsi"/>
                <w:b/>
                <w:szCs w:val="20"/>
              </w:rPr>
            </w:pPr>
            <w:r w:rsidRPr="007D1C8B">
              <w:rPr>
                <w:rFonts w:cstheme="minorHAnsi"/>
                <w:b/>
                <w:szCs w:val="20"/>
              </w:rPr>
              <w:t>and peace communities</w:t>
            </w:r>
            <w:r w:rsidR="006A46DC" w:rsidRPr="007D1C8B">
              <w:rPr>
                <w:rFonts w:cstheme="minorHAnsi"/>
                <w:b/>
                <w:szCs w:val="20"/>
              </w:rPr>
              <w:t xml:space="preserve"> developed.</w:t>
            </w:r>
          </w:p>
          <w:p w14:paraId="6E580324" w14:textId="77777777" w:rsidR="001C5364" w:rsidRDefault="001C5364" w:rsidP="00AB01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68BC" w:rsidRPr="000A2AAB" w14:paraId="6406532F" w14:textId="77777777" w:rsidTr="00A76DF7">
        <w:trPr>
          <w:trHeight w:val="710"/>
        </w:trPr>
        <w:tc>
          <w:tcPr>
            <w:tcW w:w="11065" w:type="dxa"/>
            <w:vAlign w:val="center"/>
          </w:tcPr>
          <w:p w14:paraId="63C7BB8B" w14:textId="77777777" w:rsidR="006168BC" w:rsidRPr="000A2AAB" w:rsidRDefault="006168BC" w:rsidP="006168BC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0A2AAB">
              <w:rPr>
                <w:rFonts w:cstheme="minorHAnsi"/>
                <w:b/>
                <w:bCs/>
                <w:sz w:val="20"/>
                <w:szCs w:val="20"/>
              </w:rPr>
              <w:t xml:space="preserve">Activities: </w:t>
            </w:r>
          </w:p>
          <w:p w14:paraId="0072B6AA" w14:textId="77777777" w:rsidR="006168BC" w:rsidRPr="000A2AAB" w:rsidRDefault="006168BC" w:rsidP="006168BC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D65234" w14:textId="77777777" w:rsidR="006168BC" w:rsidRPr="00E0049B" w:rsidRDefault="006168BC" w:rsidP="006168B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Organize NGO cons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ultation, through the consortia, </w:t>
            </w: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to develop ideas on key messages</w:t>
            </w:r>
            <w:r w:rsidRPr="000A2AAB">
              <w:rPr>
                <w:rFonts w:cstheme="minorHAnsi"/>
                <w:sz w:val="20"/>
                <w:szCs w:val="20"/>
              </w:rPr>
              <w:t>.</w:t>
            </w:r>
          </w:p>
          <w:p w14:paraId="781C6271" w14:textId="77777777" w:rsidR="006168BC" w:rsidRPr="00E0049B" w:rsidRDefault="006168BC" w:rsidP="006168B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Develop and communicate common key messages on 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a </w:t>
            </w: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new way of working among humanitarian, development and peace actors for internal and external use</w:t>
            </w:r>
            <w:r w:rsidRPr="000A2AAB">
              <w:rPr>
                <w:rFonts w:cstheme="minorHAnsi"/>
                <w:sz w:val="20"/>
                <w:szCs w:val="20"/>
              </w:rPr>
              <w:t>.</w:t>
            </w:r>
          </w:p>
          <w:p w14:paraId="73F96E47" w14:textId="77777777" w:rsidR="006168BC" w:rsidRPr="00E0049B" w:rsidRDefault="006168BC" w:rsidP="006168B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Develop inter-agency quick and </w:t>
            </w: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context-specific guide on 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the </w:t>
            </w: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new way of working among humanitarian, development and peace actors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,</w:t>
            </w: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building on the C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ommitment to </w:t>
            </w: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A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ction</w:t>
            </w:r>
            <w:r w:rsidRPr="000A2AAB">
              <w:rPr>
                <w:rFonts w:cstheme="minorHAnsi"/>
                <w:sz w:val="20"/>
                <w:szCs w:val="20"/>
              </w:rPr>
              <w:t>.</w:t>
            </w:r>
          </w:p>
          <w:p w14:paraId="430882EB" w14:textId="77777777" w:rsidR="006168BC" w:rsidRPr="000A2AAB" w:rsidRDefault="006168BC" w:rsidP="006168B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A2AAB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Develop key messages for Principals to engage the new UN SG regarding the new way of working among humanitarian, development and peace</w:t>
            </w:r>
            <w:r w:rsidRPr="000A2AAB">
              <w:rPr>
                <w:rFonts w:cstheme="minorHAnsi"/>
                <w:sz w:val="20"/>
                <w:szCs w:val="20"/>
              </w:rPr>
              <w:t>.</w:t>
            </w:r>
          </w:p>
          <w:p w14:paraId="63AD20D0" w14:textId="77777777" w:rsidR="006168BC" w:rsidRPr="000A2AAB" w:rsidRDefault="006168BC" w:rsidP="006168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590369" w14:textId="77777777" w:rsidR="006168BC" w:rsidRDefault="006168BC" w:rsidP="006168BC">
            <w:pPr>
              <w:rPr>
                <w:rFonts w:cstheme="minorHAnsi"/>
                <w:sz w:val="20"/>
                <w:szCs w:val="20"/>
              </w:rPr>
            </w:pPr>
          </w:p>
          <w:p w14:paraId="44E4C662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179B8588" w14:textId="6BB4BEED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100D7253" w14:textId="22D64043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1C259362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7309C210" w14:textId="79AA9971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20CD78CB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03D0B2E5" w14:textId="059FB73A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6893CBA6" w14:textId="77777777" w:rsidR="006168BC" w:rsidRDefault="006168BC" w:rsidP="006168BC">
            <w:pPr>
              <w:rPr>
                <w:rFonts w:cstheme="minorHAnsi"/>
                <w:sz w:val="20"/>
                <w:szCs w:val="20"/>
              </w:rPr>
            </w:pPr>
          </w:p>
          <w:p w14:paraId="08F8903A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42C1AA48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1AAE6240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2EFBFFC7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1490368F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7B89C770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6FB51C6E" w14:textId="61DCE9FF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  <w:p w14:paraId="786B9ACF" w14:textId="77777777" w:rsidR="0092557D" w:rsidRDefault="0092557D" w:rsidP="006168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1EEA10" w14:textId="77777777" w:rsidR="006168BC" w:rsidRDefault="006168BC" w:rsidP="006168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41870F" w14:textId="121094D6" w:rsidR="00B234BE" w:rsidRPr="000A2AAB" w:rsidRDefault="00B234BE" w:rsidP="003061C3">
      <w:pPr>
        <w:rPr>
          <w:rFonts w:cstheme="minorHAnsi"/>
          <w:sz w:val="20"/>
          <w:szCs w:val="20"/>
        </w:rPr>
      </w:pPr>
    </w:p>
    <w:sectPr w:rsidR="00B234BE" w:rsidRPr="000A2AAB" w:rsidSect="0081225E">
      <w:headerReference w:type="default" r:id="rId8"/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20E24" w14:textId="77777777" w:rsidR="00FB4FD8" w:rsidRDefault="00FB4FD8" w:rsidP="007364DE">
      <w:pPr>
        <w:spacing w:after="0" w:line="240" w:lineRule="auto"/>
      </w:pPr>
      <w:r>
        <w:separator/>
      </w:r>
    </w:p>
  </w:endnote>
  <w:endnote w:type="continuationSeparator" w:id="0">
    <w:p w14:paraId="60710377" w14:textId="77777777" w:rsidR="00FB4FD8" w:rsidRDefault="00FB4FD8" w:rsidP="0073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215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E2E19" w14:textId="4E1B7D04" w:rsidR="003061C3" w:rsidRDefault="003061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F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C74BB4" w14:textId="77777777" w:rsidR="009A45A6" w:rsidRDefault="009A4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69818" w14:textId="77777777" w:rsidR="00FB4FD8" w:rsidRDefault="00FB4FD8" w:rsidP="007364DE">
      <w:pPr>
        <w:spacing w:after="0" w:line="240" w:lineRule="auto"/>
      </w:pPr>
      <w:r>
        <w:separator/>
      </w:r>
    </w:p>
  </w:footnote>
  <w:footnote w:type="continuationSeparator" w:id="0">
    <w:p w14:paraId="0189D523" w14:textId="77777777" w:rsidR="00FB4FD8" w:rsidRDefault="00FB4FD8" w:rsidP="0073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60E15" w14:textId="3067FB54" w:rsidR="009A45A6" w:rsidRDefault="00FB4FD8">
    <w:pPr>
      <w:pStyle w:val="Header"/>
    </w:pPr>
    <w:sdt>
      <w:sdtPr>
        <w:id w:val="-151638615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0F63E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A45A6">
      <w:t>Draft</w:t>
    </w:r>
    <w:r w:rsidR="009771B0">
      <w:t>:</w:t>
    </w:r>
    <w:r w:rsidR="009A45A6">
      <w:t xml:space="preserve"> </w:t>
    </w:r>
    <w:r w:rsidR="008002AD">
      <w:t>22</w:t>
    </w:r>
    <w:r w:rsidR="009A45A6">
      <w:t xml:space="preserve"> November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3F8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4407"/>
    <w:multiLevelType w:val="hybridMultilevel"/>
    <w:tmpl w:val="85300AE4"/>
    <w:lvl w:ilvl="0" w:tplc="7584D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42C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652AD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A9D"/>
    <w:multiLevelType w:val="hybridMultilevel"/>
    <w:tmpl w:val="E7B49224"/>
    <w:lvl w:ilvl="0" w:tplc="FB86F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71A39"/>
    <w:multiLevelType w:val="hybridMultilevel"/>
    <w:tmpl w:val="38684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E19A4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DA7"/>
    <w:multiLevelType w:val="hybridMultilevel"/>
    <w:tmpl w:val="E292C06A"/>
    <w:lvl w:ilvl="0" w:tplc="5F5A8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6E64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A7BE1"/>
    <w:multiLevelType w:val="hybridMultilevel"/>
    <w:tmpl w:val="4312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164CB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038A7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4794A"/>
    <w:multiLevelType w:val="hybridMultilevel"/>
    <w:tmpl w:val="C432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1092"/>
    <w:multiLevelType w:val="hybridMultilevel"/>
    <w:tmpl w:val="32BE311C"/>
    <w:lvl w:ilvl="0" w:tplc="5A48DE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823C3"/>
    <w:multiLevelType w:val="hybridMultilevel"/>
    <w:tmpl w:val="1AE4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B5"/>
    <w:rsid w:val="00034AB5"/>
    <w:rsid w:val="00055359"/>
    <w:rsid w:val="00076063"/>
    <w:rsid w:val="00080146"/>
    <w:rsid w:val="00097ABD"/>
    <w:rsid w:val="000A2AAB"/>
    <w:rsid w:val="000B4E1E"/>
    <w:rsid w:val="000E0ACA"/>
    <w:rsid w:val="001113C4"/>
    <w:rsid w:val="00145C12"/>
    <w:rsid w:val="00155011"/>
    <w:rsid w:val="001C5364"/>
    <w:rsid w:val="001E6C97"/>
    <w:rsid w:val="001F2088"/>
    <w:rsid w:val="002253E5"/>
    <w:rsid w:val="00271A40"/>
    <w:rsid w:val="002907AA"/>
    <w:rsid w:val="002A58CE"/>
    <w:rsid w:val="002D2459"/>
    <w:rsid w:val="002E0FE4"/>
    <w:rsid w:val="00302A0B"/>
    <w:rsid w:val="003061C3"/>
    <w:rsid w:val="003145E1"/>
    <w:rsid w:val="003670BC"/>
    <w:rsid w:val="003A51C7"/>
    <w:rsid w:val="004822A1"/>
    <w:rsid w:val="00486D89"/>
    <w:rsid w:val="004D2514"/>
    <w:rsid w:val="004E48AA"/>
    <w:rsid w:val="00516529"/>
    <w:rsid w:val="00554B7E"/>
    <w:rsid w:val="00561E47"/>
    <w:rsid w:val="005D25CD"/>
    <w:rsid w:val="005D767B"/>
    <w:rsid w:val="006168BC"/>
    <w:rsid w:val="00625137"/>
    <w:rsid w:val="0067437C"/>
    <w:rsid w:val="00680AC5"/>
    <w:rsid w:val="006A46DC"/>
    <w:rsid w:val="006B2387"/>
    <w:rsid w:val="00706697"/>
    <w:rsid w:val="00727D6F"/>
    <w:rsid w:val="007364DE"/>
    <w:rsid w:val="007C266C"/>
    <w:rsid w:val="007D1C8B"/>
    <w:rsid w:val="007E5D91"/>
    <w:rsid w:val="007F0EBC"/>
    <w:rsid w:val="007F4BA4"/>
    <w:rsid w:val="008002AD"/>
    <w:rsid w:val="0081225E"/>
    <w:rsid w:val="00813B9F"/>
    <w:rsid w:val="00855043"/>
    <w:rsid w:val="0085602B"/>
    <w:rsid w:val="008A45B0"/>
    <w:rsid w:val="008F0A09"/>
    <w:rsid w:val="00913081"/>
    <w:rsid w:val="0092557D"/>
    <w:rsid w:val="00973BA6"/>
    <w:rsid w:val="009771B0"/>
    <w:rsid w:val="00981541"/>
    <w:rsid w:val="009A45A6"/>
    <w:rsid w:val="009B1518"/>
    <w:rsid w:val="009C7A50"/>
    <w:rsid w:val="009D607B"/>
    <w:rsid w:val="00A17C34"/>
    <w:rsid w:val="00A314A4"/>
    <w:rsid w:val="00A761B0"/>
    <w:rsid w:val="00A93DC7"/>
    <w:rsid w:val="00A95A17"/>
    <w:rsid w:val="00AB016D"/>
    <w:rsid w:val="00AB413B"/>
    <w:rsid w:val="00B10B53"/>
    <w:rsid w:val="00B234BE"/>
    <w:rsid w:val="00B27C3A"/>
    <w:rsid w:val="00B4273E"/>
    <w:rsid w:val="00B54FFA"/>
    <w:rsid w:val="00B76A87"/>
    <w:rsid w:val="00B858E6"/>
    <w:rsid w:val="00BC4279"/>
    <w:rsid w:val="00C32561"/>
    <w:rsid w:val="00C33A31"/>
    <w:rsid w:val="00C5446A"/>
    <w:rsid w:val="00C72991"/>
    <w:rsid w:val="00CC3195"/>
    <w:rsid w:val="00D16CF8"/>
    <w:rsid w:val="00D762D3"/>
    <w:rsid w:val="00DB6097"/>
    <w:rsid w:val="00DD6BEC"/>
    <w:rsid w:val="00E0049B"/>
    <w:rsid w:val="00E44B2B"/>
    <w:rsid w:val="00E4792E"/>
    <w:rsid w:val="00E6380B"/>
    <w:rsid w:val="00E765BE"/>
    <w:rsid w:val="00EB1446"/>
    <w:rsid w:val="00EB4AD8"/>
    <w:rsid w:val="00EC538A"/>
    <w:rsid w:val="00EF31CA"/>
    <w:rsid w:val="00F64D2F"/>
    <w:rsid w:val="00F72E94"/>
    <w:rsid w:val="00F7621B"/>
    <w:rsid w:val="00F86B15"/>
    <w:rsid w:val="00FB4FD8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C3912D"/>
  <w15:docId w15:val="{98128A9B-8959-4AE7-AA0A-3FF5457C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"/>
    <w:basedOn w:val="Normal"/>
    <w:link w:val="ListParagraphChar"/>
    <w:uiPriority w:val="34"/>
    <w:qFormat/>
    <w:rsid w:val="00B234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2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4DE"/>
  </w:style>
  <w:style w:type="paragraph" w:styleId="Footer">
    <w:name w:val="footer"/>
    <w:basedOn w:val="Normal"/>
    <w:link w:val="FooterChar"/>
    <w:uiPriority w:val="99"/>
    <w:unhideWhenUsed/>
    <w:rsid w:val="0073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4DE"/>
  </w:style>
  <w:style w:type="character" w:customStyle="1" w:styleId="ListParagraphChar">
    <w:name w:val="List Paragraph Char"/>
    <w:aliases w:val="List Paragraph1 Char,Recommendation Char,List Paragraph11 Char,L Char,CV text Char,Table text Char,List Paragraph2 Char,F5 List Paragraph Char,Dot pt Char,List Paragraph111 Char,Medium Grid 1 - Accent 21 Char,Numbered Paragraph Char"/>
    <w:basedOn w:val="DefaultParagraphFont"/>
    <w:link w:val="ListParagraph"/>
    <w:uiPriority w:val="34"/>
    <w:qFormat/>
    <w:locked/>
    <w:rsid w:val="0097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C3AD-BEC7-4F76-805F-F44B4C38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POKU, Kwame</dc:creator>
  <cp:lastModifiedBy>Bradley Foerster</cp:lastModifiedBy>
  <cp:revision>2</cp:revision>
  <cp:lastPrinted>2016-11-17T20:10:00Z</cp:lastPrinted>
  <dcterms:created xsi:type="dcterms:W3CDTF">2016-11-22T21:56:00Z</dcterms:created>
  <dcterms:modified xsi:type="dcterms:W3CDTF">2016-11-22T21:56:00Z</dcterms:modified>
</cp:coreProperties>
</file>