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9A" w:rsidRPr="00666570" w:rsidRDefault="00666570" w:rsidP="009919AC">
      <w:pPr>
        <w:jc w:val="center"/>
        <w:rPr>
          <w:rFonts w:asciiTheme="majorHAnsi" w:hAnsiTheme="majorHAnsi"/>
          <w:sz w:val="40"/>
          <w:szCs w:val="40"/>
        </w:rPr>
      </w:pPr>
      <w:r w:rsidRPr="00666570">
        <w:rPr>
          <w:rFonts w:asciiTheme="majorHAnsi" w:hAnsiTheme="majorHAnsi"/>
          <w:sz w:val="40"/>
          <w:szCs w:val="40"/>
        </w:rPr>
        <w:t>DRAFT WOR</w:t>
      </w:r>
      <w:r w:rsidR="009919AC">
        <w:rPr>
          <w:rFonts w:asciiTheme="majorHAnsi" w:hAnsiTheme="majorHAnsi"/>
          <w:sz w:val="40"/>
          <w:szCs w:val="40"/>
        </w:rPr>
        <w:t>K</w:t>
      </w:r>
      <w:r w:rsidRPr="00666570">
        <w:rPr>
          <w:rFonts w:asciiTheme="majorHAnsi" w:hAnsiTheme="majorHAnsi"/>
          <w:sz w:val="40"/>
          <w:szCs w:val="40"/>
        </w:rPr>
        <w:t>LAN: INTER-AGENCY STANDING COMMITTEE TASK TEAM</w:t>
      </w:r>
    </w:p>
    <w:p w:rsidR="00666570" w:rsidRPr="00666570" w:rsidRDefault="00666570" w:rsidP="00666570">
      <w:pPr>
        <w:jc w:val="center"/>
        <w:rPr>
          <w:rFonts w:asciiTheme="majorHAnsi" w:hAnsiTheme="majorHAnsi"/>
          <w:sz w:val="40"/>
          <w:szCs w:val="40"/>
        </w:rPr>
      </w:pPr>
      <w:commentRangeStart w:id="0"/>
      <w:r w:rsidRPr="00666570">
        <w:rPr>
          <w:rFonts w:asciiTheme="majorHAnsi" w:hAnsiTheme="majorHAnsi"/>
          <w:sz w:val="40"/>
          <w:szCs w:val="40"/>
        </w:rPr>
        <w:t>ON</w:t>
      </w:r>
      <w:commentRangeEnd w:id="0"/>
      <w:r w:rsidR="007A4340">
        <w:rPr>
          <w:rStyle w:val="CommentReference"/>
        </w:rPr>
        <w:commentReference w:id="0"/>
      </w:r>
      <w:r w:rsidRPr="00666570">
        <w:rPr>
          <w:rFonts w:asciiTheme="majorHAnsi" w:hAnsiTheme="majorHAnsi"/>
          <w:sz w:val="40"/>
          <w:szCs w:val="40"/>
        </w:rPr>
        <w:t xml:space="preserve"> STRENGHTENING THE H</w:t>
      </w:r>
      <w:r w:rsidR="00623652">
        <w:rPr>
          <w:rFonts w:asciiTheme="majorHAnsi" w:hAnsiTheme="majorHAnsi"/>
          <w:sz w:val="40"/>
          <w:szCs w:val="40"/>
        </w:rPr>
        <w:t>UMANITARIAN DEVELOPMENT NEXUS IN</w:t>
      </w:r>
      <w:r w:rsidRPr="00666570">
        <w:rPr>
          <w:rFonts w:asciiTheme="majorHAnsi" w:hAnsiTheme="majorHAnsi"/>
          <w:sz w:val="40"/>
          <w:szCs w:val="40"/>
        </w:rPr>
        <w:t xml:space="preserve"> PROTRACTED SETTINGS</w:t>
      </w:r>
    </w:p>
    <w:tbl>
      <w:tblPr>
        <w:tblStyle w:val="TableGrid"/>
        <w:tblpPr w:leftFromText="180" w:rightFromText="180" w:vertAnchor="page" w:horzAnchor="margin" w:tblpX="-601" w:tblpY="2260"/>
        <w:tblW w:w="22647" w:type="dxa"/>
        <w:tblLayout w:type="fixed"/>
        <w:tblLook w:val="04A0" w:firstRow="1" w:lastRow="0" w:firstColumn="1" w:lastColumn="0" w:noHBand="0" w:noVBand="1"/>
      </w:tblPr>
      <w:tblGrid>
        <w:gridCol w:w="1101"/>
        <w:gridCol w:w="2069"/>
        <w:gridCol w:w="5869"/>
        <w:gridCol w:w="992"/>
        <w:gridCol w:w="3544"/>
        <w:gridCol w:w="2976"/>
        <w:gridCol w:w="3651"/>
        <w:gridCol w:w="2445"/>
      </w:tblGrid>
      <w:tr w:rsidR="00623652" w:rsidRPr="00623652" w:rsidTr="00CA6889">
        <w:tc>
          <w:tcPr>
            <w:tcW w:w="1101" w:type="dxa"/>
            <w:shd w:val="clear" w:color="auto" w:fill="C4BC96" w:themeFill="background2" w:themeFillShade="BF"/>
          </w:tcPr>
          <w:p w:rsidR="00623652" w:rsidRPr="00623652" w:rsidRDefault="00623652" w:rsidP="00F86054">
            <w:r w:rsidRPr="00623652">
              <w:t>Priority</w:t>
            </w:r>
          </w:p>
        </w:tc>
        <w:tc>
          <w:tcPr>
            <w:tcW w:w="2069" w:type="dxa"/>
            <w:shd w:val="clear" w:color="auto" w:fill="C4BC96" w:themeFill="background2" w:themeFillShade="BF"/>
            <w:vAlign w:val="center"/>
          </w:tcPr>
          <w:p w:rsidR="00623652" w:rsidRPr="00623652" w:rsidRDefault="00623652" w:rsidP="00F86054">
            <w:r w:rsidRPr="00623652">
              <w:t>Objective</w:t>
            </w:r>
          </w:p>
        </w:tc>
        <w:tc>
          <w:tcPr>
            <w:tcW w:w="5869" w:type="dxa"/>
            <w:shd w:val="clear" w:color="auto" w:fill="C4BC96" w:themeFill="background2" w:themeFillShade="BF"/>
            <w:vAlign w:val="center"/>
          </w:tcPr>
          <w:p w:rsidR="00623652" w:rsidRPr="00623652" w:rsidRDefault="00623652" w:rsidP="00F86054">
            <w:r w:rsidRPr="00623652">
              <w:t>Activities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623652" w:rsidRPr="00623652" w:rsidRDefault="00623652" w:rsidP="00623652">
            <w:pPr>
              <w:jc w:val="center"/>
            </w:pPr>
            <w:r w:rsidRPr="00623652">
              <w:t>Time Frame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623652" w:rsidRPr="00623652" w:rsidRDefault="00623652" w:rsidP="00F86054">
            <w:r w:rsidRPr="00623652">
              <w:t>Expected Output</w:t>
            </w:r>
          </w:p>
        </w:tc>
        <w:tc>
          <w:tcPr>
            <w:tcW w:w="2976" w:type="dxa"/>
            <w:shd w:val="clear" w:color="auto" w:fill="C4BC96" w:themeFill="background2" w:themeFillShade="BF"/>
          </w:tcPr>
          <w:p w:rsidR="00623652" w:rsidRPr="00623652" w:rsidRDefault="00623652" w:rsidP="00F86054">
            <w:r w:rsidRPr="00623652">
              <w:t>Output Indicators</w:t>
            </w:r>
          </w:p>
        </w:tc>
        <w:tc>
          <w:tcPr>
            <w:tcW w:w="3651" w:type="dxa"/>
            <w:shd w:val="clear" w:color="auto" w:fill="C4BC96" w:themeFill="background2" w:themeFillShade="BF"/>
            <w:vAlign w:val="center"/>
          </w:tcPr>
          <w:p w:rsidR="00623652" w:rsidRPr="00623652" w:rsidRDefault="00623652" w:rsidP="00F86054">
            <w:r w:rsidRPr="00623652">
              <w:t>Resources Needed</w:t>
            </w:r>
          </w:p>
        </w:tc>
        <w:tc>
          <w:tcPr>
            <w:tcW w:w="2445" w:type="dxa"/>
            <w:shd w:val="clear" w:color="auto" w:fill="C4BC96" w:themeFill="background2" w:themeFillShade="BF"/>
          </w:tcPr>
          <w:p w:rsidR="00623652" w:rsidRPr="00623652" w:rsidRDefault="00623652" w:rsidP="00F86054">
            <w:r w:rsidRPr="00623652">
              <w:t xml:space="preserve">Agencies Commitment </w:t>
            </w:r>
          </w:p>
        </w:tc>
      </w:tr>
      <w:tr w:rsidR="00623652" w:rsidRPr="00623652" w:rsidTr="007C3266">
        <w:trPr>
          <w:trHeight w:val="991"/>
        </w:trPr>
        <w:tc>
          <w:tcPr>
            <w:tcW w:w="1101" w:type="dxa"/>
            <w:vMerge w:val="restart"/>
            <w:shd w:val="clear" w:color="auto" w:fill="17365D" w:themeFill="text2" w:themeFillShade="BF"/>
            <w:textDirection w:val="btLr"/>
            <w:vAlign w:val="center"/>
          </w:tcPr>
          <w:p w:rsidR="00623652" w:rsidRPr="00623652" w:rsidRDefault="00623652" w:rsidP="00F86054">
            <w:pPr>
              <w:jc w:val="center"/>
            </w:pPr>
            <w:r w:rsidRPr="00623652">
              <w:t>Develop, Support, and champion humanitarian action in complex protracted emergencies requiring strong, effective &amp; predictable collaboration between Humanitarian, Development, Peace and Security Actors</w:t>
            </w:r>
          </w:p>
        </w:tc>
        <w:tc>
          <w:tcPr>
            <w:tcW w:w="2069" w:type="dxa"/>
            <w:vMerge w:val="restart"/>
            <w:vAlign w:val="center"/>
          </w:tcPr>
          <w:p w:rsidR="00623652" w:rsidRPr="00623652" w:rsidRDefault="00DA7F32" w:rsidP="00F86054">
            <w:r>
              <w:t>1. Establish Common N</w:t>
            </w:r>
            <w:r w:rsidR="00623652" w:rsidRPr="00623652">
              <w:t>ormative Understanding</w:t>
            </w:r>
            <w:r w:rsidR="00872085">
              <w:t xml:space="preserve">/ </w:t>
            </w:r>
            <w:r w:rsidR="00872085" w:rsidRPr="00210263">
              <w:rPr>
                <w:color w:val="FF0000"/>
              </w:rPr>
              <w:t>Narrative</w:t>
            </w:r>
            <w:r w:rsidR="00623652" w:rsidRPr="00210263">
              <w:rPr>
                <w:color w:val="FF0000"/>
              </w:rPr>
              <w:t xml:space="preserve"> </w:t>
            </w:r>
            <w:r w:rsidR="00623652" w:rsidRPr="00623652">
              <w:t>of HDN in Protracted Situations</w:t>
            </w:r>
          </w:p>
          <w:p w:rsidR="00623652" w:rsidRPr="00623652" w:rsidRDefault="00623652" w:rsidP="0038099D"/>
        </w:tc>
        <w:tc>
          <w:tcPr>
            <w:tcW w:w="5869" w:type="dxa"/>
            <w:vAlign w:val="center"/>
          </w:tcPr>
          <w:p w:rsidR="007A4340" w:rsidRDefault="00623652" w:rsidP="00872085">
            <w:pPr>
              <w:pStyle w:val="ListParagraph"/>
              <w:numPr>
                <w:ilvl w:val="1"/>
                <w:numId w:val="9"/>
              </w:numPr>
            </w:pPr>
            <w:r w:rsidRPr="00623652">
              <w:t xml:space="preserve">Develop </w:t>
            </w:r>
            <w:r w:rsidR="00CF0F6B">
              <w:t xml:space="preserve">Draft </w:t>
            </w:r>
            <w:r w:rsidR="00872085">
              <w:t>Criteria</w:t>
            </w:r>
            <w:r w:rsidRPr="00623652">
              <w:t xml:space="preserve"> of HDN in protracted emergencies</w:t>
            </w:r>
            <w:r w:rsidR="007A4340">
              <w:t>.</w:t>
            </w:r>
          </w:p>
          <w:p w:rsidR="007A4340" w:rsidRPr="00623652" w:rsidRDefault="007A4340" w:rsidP="007A4340">
            <w:pPr>
              <w:pStyle w:val="ListParagraph"/>
              <w:ind w:left="360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CF0F6B" w:rsidP="00623652">
            <w:pPr>
              <w:jc w:val="center"/>
            </w:pPr>
            <w:r>
              <w:t>Q3</w:t>
            </w:r>
            <w:r w:rsidR="00623652">
              <w:t xml:space="preserve"> 2016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  <w:vAlign w:val="center"/>
          </w:tcPr>
          <w:p w:rsidR="00623652" w:rsidRPr="00623652" w:rsidRDefault="00623652" w:rsidP="00F86054">
            <w:r w:rsidRPr="00623652">
              <w:t>IASC Position Paper on Humanitarian Develop Nexus</w:t>
            </w:r>
            <w:r w:rsidR="00CF0F6B">
              <w:t xml:space="preserve"> (</w:t>
            </w:r>
            <w:r w:rsidR="00CF0F6B" w:rsidRPr="00CF0F6B">
              <w:rPr>
                <w:u w:val="single"/>
              </w:rPr>
              <w:t>by end Q4 2016</w:t>
            </w:r>
            <w:r w:rsidR="00CF0F6B">
              <w:t>)</w:t>
            </w:r>
          </w:p>
          <w:p w:rsidR="00623652" w:rsidRPr="00623652" w:rsidRDefault="00623652" w:rsidP="00623652"/>
          <w:p w:rsidR="00623652" w:rsidRPr="00623652" w:rsidRDefault="00623652" w:rsidP="00623652"/>
          <w:p w:rsidR="00623652" w:rsidRPr="00623652" w:rsidRDefault="00623652" w:rsidP="00623652">
            <w:r w:rsidRPr="00623652">
              <w:t>Mapping of Existing operational and guidance documents.</w:t>
            </w:r>
            <w:r w:rsidR="00CF0F6B">
              <w:t xml:space="preserve"> (</w:t>
            </w:r>
            <w:r w:rsidR="00CF0F6B" w:rsidRPr="00CF0F6B">
              <w:rPr>
                <w:u w:val="single"/>
              </w:rPr>
              <w:t>by end Q4 2016</w:t>
            </w:r>
            <w:r w:rsidR="00CF0F6B">
              <w:t>)</w:t>
            </w:r>
          </w:p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>
            <w:r w:rsidRPr="00623652">
              <w:t>IASC-UNDG Principles of Resilience</w:t>
            </w:r>
            <w:r w:rsidR="00CF0F6B">
              <w:t>(</w:t>
            </w:r>
            <w:r w:rsidR="00CF0F6B">
              <w:rPr>
                <w:u w:val="single"/>
              </w:rPr>
              <w:t>by end Q1 2017</w:t>
            </w:r>
            <w:r w:rsidR="00CF0F6B">
              <w:t>)</w:t>
            </w:r>
          </w:p>
          <w:p w:rsidR="00623652" w:rsidRPr="00623652" w:rsidRDefault="00623652" w:rsidP="00623652"/>
        </w:tc>
        <w:tc>
          <w:tcPr>
            <w:tcW w:w="2976" w:type="dxa"/>
            <w:vMerge w:val="restart"/>
            <w:vAlign w:val="center"/>
          </w:tcPr>
          <w:p w:rsidR="00623652" w:rsidRPr="00623652" w:rsidRDefault="00623652" w:rsidP="00F86054"/>
          <w:p w:rsidR="00623652" w:rsidRPr="00623652" w:rsidRDefault="00623652" w:rsidP="00F86054">
            <w:r w:rsidRPr="00623652">
              <w:t>-Background Document on Typologies/ IASC Reading of HDAG Paper</w:t>
            </w:r>
          </w:p>
          <w:p w:rsidR="00623652" w:rsidRPr="00623652" w:rsidRDefault="00623652" w:rsidP="00F86054"/>
          <w:p w:rsidR="007A4340" w:rsidRPr="007A4340" w:rsidRDefault="007A4340" w:rsidP="007A4340">
            <w:r w:rsidRPr="007A4340">
              <w:rPr>
                <w:color w:val="FF0000"/>
              </w:rPr>
              <w:t>-minutes from TT meeting dedicated to discussing elements of HDN</w:t>
            </w:r>
          </w:p>
        </w:tc>
        <w:tc>
          <w:tcPr>
            <w:tcW w:w="3651" w:type="dxa"/>
            <w:vMerge w:val="restart"/>
            <w:vAlign w:val="center"/>
          </w:tcPr>
          <w:p w:rsidR="00623652" w:rsidRPr="00623652" w:rsidRDefault="00623652" w:rsidP="00F86054">
            <w:r w:rsidRPr="00623652">
              <w:t>- small group of TT members to draft Position Paper</w:t>
            </w:r>
          </w:p>
        </w:tc>
        <w:tc>
          <w:tcPr>
            <w:tcW w:w="2445" w:type="dxa"/>
            <w:vMerge w:val="restart"/>
          </w:tcPr>
          <w:p w:rsidR="00623652" w:rsidRPr="00623652" w:rsidRDefault="00984FF9" w:rsidP="00F86054">
            <w:r>
              <w:t>UNDP/</w:t>
            </w:r>
            <w:r w:rsidR="00623652" w:rsidRPr="00623652">
              <w:t>WHO</w:t>
            </w:r>
          </w:p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/>
          <w:p w:rsidR="00623652" w:rsidRPr="00623652" w:rsidRDefault="00984FF9" w:rsidP="00F86054">
            <w:r>
              <w:t>UNDP/</w:t>
            </w:r>
            <w:r w:rsidR="00623652" w:rsidRPr="00623652">
              <w:t>WHO</w:t>
            </w:r>
          </w:p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>
            <w:r w:rsidRPr="00623652">
              <w:t>FAO/WHO</w:t>
            </w:r>
          </w:p>
        </w:tc>
      </w:tr>
      <w:tr w:rsidR="00623652" w:rsidRPr="00623652" w:rsidTr="007C3266">
        <w:trPr>
          <w:trHeight w:val="1088"/>
        </w:trPr>
        <w:tc>
          <w:tcPr>
            <w:tcW w:w="1101" w:type="dxa"/>
            <w:vMerge/>
            <w:shd w:val="clear" w:color="auto" w:fill="17365D" w:themeFill="text2" w:themeFillShade="BF"/>
            <w:textDirection w:val="btLr"/>
            <w:vAlign w:val="center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38099D"/>
        </w:tc>
        <w:tc>
          <w:tcPr>
            <w:tcW w:w="5869" w:type="dxa"/>
            <w:vAlign w:val="center"/>
          </w:tcPr>
          <w:p w:rsidR="00623652" w:rsidRPr="00623652" w:rsidRDefault="00623652" w:rsidP="00F86054">
            <w:r w:rsidRPr="00623652">
              <w:rPr>
                <w:b/>
                <w:bCs/>
              </w:rPr>
              <w:t>1.2.</w:t>
            </w:r>
            <w:r w:rsidRPr="00623652">
              <w:t xml:space="preserve"> Develop Typologies of Response Scenarios in Protracted Settings (including Area Based </w:t>
            </w:r>
            <w:proofErr w:type="spellStart"/>
            <w:r w:rsidRPr="00623652">
              <w:t>Prog</w:t>
            </w:r>
            <w:proofErr w:type="spellEnd"/>
            <w:r w:rsidRPr="00623652">
              <w:t>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CF0F6B" w:rsidP="00623652">
            <w:pPr>
              <w:jc w:val="center"/>
            </w:pPr>
            <w:r>
              <w:t>Q3</w:t>
            </w:r>
            <w:r w:rsidR="00623652">
              <w:t xml:space="preserve"> 2016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21FF8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1200"/>
        </w:trPr>
        <w:tc>
          <w:tcPr>
            <w:tcW w:w="1101" w:type="dxa"/>
            <w:vMerge/>
            <w:shd w:val="clear" w:color="auto" w:fill="17365D" w:themeFill="text2" w:themeFillShade="BF"/>
            <w:textDirection w:val="btLr"/>
            <w:vAlign w:val="center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38099D"/>
        </w:tc>
        <w:tc>
          <w:tcPr>
            <w:tcW w:w="5869" w:type="dxa"/>
            <w:vAlign w:val="center"/>
          </w:tcPr>
          <w:p w:rsidR="00623652" w:rsidRPr="00623652" w:rsidRDefault="00623652" w:rsidP="00872085">
            <w:r w:rsidRPr="00623652">
              <w:rPr>
                <w:b/>
                <w:bCs/>
              </w:rPr>
              <w:t>1.3.</w:t>
            </w:r>
            <w:r w:rsidRPr="00623652">
              <w:t xml:space="preserve"> Develop </w:t>
            </w:r>
            <w:r w:rsidR="00210263">
              <w:t>revision</w:t>
            </w:r>
            <w:r w:rsidRPr="00623652">
              <w:t xml:space="preserve"> Humanitarian Principles of Resilience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Q1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21FF8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1205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623652"/>
        </w:tc>
        <w:tc>
          <w:tcPr>
            <w:tcW w:w="5869" w:type="dxa"/>
            <w:vAlign w:val="center"/>
          </w:tcPr>
          <w:p w:rsidR="00623652" w:rsidRPr="00623652" w:rsidRDefault="00623652" w:rsidP="00623652">
            <w:r w:rsidRPr="00623652">
              <w:rPr>
                <w:b/>
                <w:bCs/>
              </w:rPr>
              <w:t>1.4.</w:t>
            </w:r>
            <w:r w:rsidRPr="00623652">
              <w:t xml:space="preserve"> Develop </w:t>
            </w:r>
            <w:r w:rsidRPr="00623652">
              <w:rPr>
                <w:rFonts w:cs="Helv"/>
                <w:lang w:eastAsia="ja-JP"/>
              </w:rPr>
              <w:t>Joint Framework for collective Engagement in Protracted Crises</w:t>
            </w:r>
          </w:p>
          <w:p w:rsidR="00623652" w:rsidRPr="00623652" w:rsidRDefault="00623652" w:rsidP="00F860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Q1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 w:val="restart"/>
            <w:vAlign w:val="center"/>
          </w:tcPr>
          <w:p w:rsidR="00623652" w:rsidRPr="00623652" w:rsidRDefault="00623652" w:rsidP="00F86054">
            <w:r w:rsidRPr="00623652">
              <w:t xml:space="preserve">-minutes from joint retreat reflections 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 Draft joint IASC-UNDG workplan</w:t>
            </w:r>
          </w:p>
        </w:tc>
        <w:tc>
          <w:tcPr>
            <w:tcW w:w="3651" w:type="dxa"/>
            <w:vMerge w:val="restart"/>
            <w:vAlign w:val="center"/>
          </w:tcPr>
          <w:p w:rsidR="00623652" w:rsidRPr="00623652" w:rsidRDefault="00623652" w:rsidP="00F86054">
            <w:r w:rsidRPr="00623652">
              <w:t>- small group of TT members to draft Principles</w:t>
            </w:r>
          </w:p>
        </w:tc>
        <w:tc>
          <w:tcPr>
            <w:tcW w:w="2445" w:type="dxa"/>
            <w:vMerge w:val="restart"/>
          </w:tcPr>
          <w:p w:rsidR="00623652" w:rsidRPr="00623652" w:rsidRDefault="00623652" w:rsidP="00F86054">
            <w:r w:rsidRPr="00623652">
              <w:t>WHO/UNDP</w:t>
            </w:r>
          </w:p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>
            <w:r w:rsidRPr="00623652">
              <w:t>WHO/UNDP/PBSO</w:t>
            </w:r>
          </w:p>
        </w:tc>
      </w:tr>
      <w:tr w:rsidR="00623652" w:rsidRPr="00623652" w:rsidTr="007C3266">
        <w:trPr>
          <w:trHeight w:val="978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F86054"/>
        </w:tc>
        <w:tc>
          <w:tcPr>
            <w:tcW w:w="5869" w:type="dxa"/>
            <w:vAlign w:val="center"/>
          </w:tcPr>
          <w:p w:rsidR="00623652" w:rsidRPr="00623652" w:rsidRDefault="00623652" w:rsidP="00F86054">
            <w:r w:rsidRPr="00623652">
              <w:rPr>
                <w:b/>
                <w:bCs/>
              </w:rPr>
              <w:t>1.5</w:t>
            </w:r>
            <w:r w:rsidRPr="00623652">
              <w:t>. Joint Retreat with UNDG WG on Transitions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Q4 2016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920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 w:val="restart"/>
            <w:vAlign w:val="center"/>
          </w:tcPr>
          <w:p w:rsidR="00623652" w:rsidRPr="00623652" w:rsidRDefault="00984FF9" w:rsidP="00F86054">
            <w:r>
              <w:t>2</w:t>
            </w:r>
            <w:r w:rsidR="00623652" w:rsidRPr="00623652">
              <w:t xml:space="preserve">. Establish and Maintain </w:t>
            </w:r>
            <w:r w:rsidR="00623652" w:rsidRPr="00623652">
              <w:rPr>
                <w:rFonts w:cs="Helv"/>
                <w:lang w:eastAsia="ja-JP"/>
              </w:rPr>
              <w:t>Compendium of Best Practices related to HDN</w:t>
            </w:r>
          </w:p>
        </w:tc>
        <w:tc>
          <w:tcPr>
            <w:tcW w:w="5869" w:type="dxa"/>
            <w:vAlign w:val="center"/>
          </w:tcPr>
          <w:p w:rsidR="00623652" w:rsidRPr="00623652" w:rsidRDefault="007A4340" w:rsidP="00F86054">
            <w:r>
              <w:rPr>
                <w:b/>
                <w:bCs/>
              </w:rPr>
              <w:t>2</w:t>
            </w:r>
            <w:r w:rsidR="00623652" w:rsidRPr="00623652">
              <w:rPr>
                <w:b/>
                <w:bCs/>
              </w:rPr>
              <w:t>.1</w:t>
            </w:r>
            <w:r w:rsidR="00623652" w:rsidRPr="00623652">
              <w:t>. Conduct Lessons Learned Exercise from the field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Q2 2017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  <w:vAlign w:val="center"/>
          </w:tcPr>
          <w:p w:rsidR="00623652" w:rsidRPr="00623652" w:rsidRDefault="00623652" w:rsidP="00F86054">
            <w:r w:rsidRPr="00623652">
              <w:t>Compendium of Best Practices Report</w:t>
            </w:r>
            <w:r w:rsidR="00CF0F6B">
              <w:t xml:space="preserve"> (</w:t>
            </w:r>
            <w:r w:rsidR="00CF0F6B">
              <w:rPr>
                <w:u w:val="single"/>
              </w:rPr>
              <w:t>by end Q3 2017</w:t>
            </w:r>
            <w:r w:rsidR="00CF0F6B"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623652" w:rsidRPr="00623652" w:rsidRDefault="00623652" w:rsidP="00F86054">
            <w:r w:rsidRPr="00623652">
              <w:t># of case studies documented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-report on the Survey and recommendations</w:t>
            </w:r>
          </w:p>
        </w:tc>
        <w:tc>
          <w:tcPr>
            <w:tcW w:w="3651" w:type="dxa"/>
            <w:vMerge w:val="restart"/>
            <w:vAlign w:val="center"/>
          </w:tcPr>
          <w:p w:rsidR="00623652" w:rsidRPr="00623652" w:rsidRDefault="00623652" w:rsidP="00F86054">
            <w:r w:rsidRPr="00623652">
              <w:t>-Members time to connect with their focal points in various countries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 small group of TT members to draft the report</w:t>
            </w:r>
          </w:p>
        </w:tc>
        <w:tc>
          <w:tcPr>
            <w:tcW w:w="2445" w:type="dxa"/>
            <w:vMerge w:val="restart"/>
          </w:tcPr>
          <w:p w:rsidR="00623652" w:rsidRPr="00623652" w:rsidRDefault="00623652" w:rsidP="00F86054">
            <w:r w:rsidRPr="00623652">
              <w:t>ICVA</w:t>
            </w:r>
            <w:r w:rsidR="00A6774F">
              <w:t>/ InterAction</w:t>
            </w:r>
          </w:p>
        </w:tc>
      </w:tr>
      <w:tr w:rsidR="00623652" w:rsidRPr="00623652" w:rsidTr="007C3266">
        <w:trPr>
          <w:trHeight w:val="758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F86054"/>
        </w:tc>
        <w:tc>
          <w:tcPr>
            <w:tcW w:w="5869" w:type="dxa"/>
            <w:vAlign w:val="center"/>
          </w:tcPr>
          <w:p w:rsidR="00623652" w:rsidRPr="00623652" w:rsidRDefault="007A4340" w:rsidP="00F86054">
            <w:r>
              <w:rPr>
                <w:b/>
                <w:bCs/>
              </w:rPr>
              <w:t>2</w:t>
            </w:r>
            <w:r w:rsidR="00623652" w:rsidRPr="00623652">
              <w:rPr>
                <w:b/>
                <w:bCs/>
              </w:rPr>
              <w:t>.2</w:t>
            </w:r>
            <w:r w:rsidR="00623652" w:rsidRPr="00623652">
              <w:t>. Global Survey of field practitioners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Q1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1049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 w:val="restart"/>
            <w:vAlign w:val="center"/>
          </w:tcPr>
          <w:p w:rsidR="00623652" w:rsidRPr="00623652" w:rsidRDefault="007A4340" w:rsidP="00F86054">
            <w:r>
              <w:rPr>
                <w:rFonts w:cs="Helv"/>
                <w:lang w:eastAsia="ja-JP"/>
              </w:rPr>
              <w:t>3</w:t>
            </w:r>
            <w:r w:rsidR="00623652" w:rsidRPr="00623652">
              <w:rPr>
                <w:rFonts w:cs="Helv"/>
                <w:lang w:eastAsia="ja-JP"/>
              </w:rPr>
              <w:t>. Produce Guidance for Operationalizing the Approach</w:t>
            </w:r>
          </w:p>
        </w:tc>
        <w:tc>
          <w:tcPr>
            <w:tcW w:w="5869" w:type="dxa"/>
            <w:vAlign w:val="center"/>
          </w:tcPr>
          <w:p w:rsidR="00623652" w:rsidRPr="00623652" w:rsidRDefault="00623652" w:rsidP="00F86054"/>
          <w:p w:rsidR="00623652" w:rsidRPr="00623652" w:rsidRDefault="007A4340" w:rsidP="00F86054">
            <w:r>
              <w:rPr>
                <w:b/>
                <w:bCs/>
              </w:rPr>
              <w:t>3</w:t>
            </w:r>
            <w:r w:rsidR="00623652" w:rsidRPr="00623652">
              <w:rPr>
                <w:b/>
                <w:bCs/>
              </w:rPr>
              <w:t>.1</w:t>
            </w:r>
            <w:r w:rsidR="00623652" w:rsidRPr="00623652">
              <w:t>. Produce Draft Adapted Operational Guidance</w:t>
            </w:r>
          </w:p>
          <w:p w:rsidR="00623652" w:rsidRPr="00623652" w:rsidRDefault="00623652" w:rsidP="00F86054"/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Q2 2017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  <w:vAlign w:val="center"/>
          </w:tcPr>
          <w:p w:rsidR="00623652" w:rsidRPr="00623652" w:rsidRDefault="00623652" w:rsidP="00F86054"/>
          <w:p w:rsidR="00623652" w:rsidRPr="00623652" w:rsidRDefault="00623652" w:rsidP="00F86054">
            <w:r w:rsidRPr="00623652">
              <w:t>IASC-UNDG Field Guidance for HDN implementation</w:t>
            </w:r>
            <w:r w:rsidR="00CF0F6B">
              <w:t xml:space="preserve"> (</w:t>
            </w:r>
            <w:r w:rsidR="00CF0F6B">
              <w:rPr>
                <w:u w:val="single"/>
              </w:rPr>
              <w:t>by end Q4 2017</w:t>
            </w:r>
            <w:r w:rsidR="00CF0F6B"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623652" w:rsidRPr="00623652" w:rsidRDefault="00623652" w:rsidP="00F86054">
            <w:r w:rsidRPr="00623652">
              <w:t>-minutes from joint retreat reflections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-IASC/UNDG Guidance for Operationalizing HDN Approach</w:t>
            </w:r>
          </w:p>
        </w:tc>
        <w:tc>
          <w:tcPr>
            <w:tcW w:w="3651" w:type="dxa"/>
            <w:vMerge w:val="restart"/>
            <w:vAlign w:val="center"/>
          </w:tcPr>
          <w:p w:rsidR="00623652" w:rsidRPr="00623652" w:rsidRDefault="00623652" w:rsidP="00F86054">
            <w:r w:rsidRPr="00623652">
              <w:t xml:space="preserve">-  Members time to lead small draft team for Reference Document Sections 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-small group of TT members to draft the Operational Guidance</w:t>
            </w:r>
          </w:p>
        </w:tc>
        <w:tc>
          <w:tcPr>
            <w:tcW w:w="2445" w:type="dxa"/>
            <w:vMerge w:val="restart"/>
          </w:tcPr>
          <w:p w:rsidR="00623652" w:rsidRPr="00623652" w:rsidRDefault="00623652" w:rsidP="00F86054">
            <w:r w:rsidRPr="00623652">
              <w:t>URBAN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EDG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CLUSTER/ER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RG ON DISPLACEMENT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TT ON AAP/PSEA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TT ON FINANCING</w:t>
            </w:r>
          </w:p>
        </w:tc>
      </w:tr>
      <w:tr w:rsidR="00623652" w:rsidRPr="00623652" w:rsidTr="007C3266">
        <w:trPr>
          <w:trHeight w:val="4109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F86054">
            <w:pPr>
              <w:rPr>
                <w:rFonts w:cs="Helv"/>
                <w:lang w:eastAsia="ja-JP"/>
              </w:rPr>
            </w:pPr>
          </w:p>
        </w:tc>
        <w:tc>
          <w:tcPr>
            <w:tcW w:w="5869" w:type="dxa"/>
            <w:vAlign w:val="center"/>
          </w:tcPr>
          <w:p w:rsidR="00623652" w:rsidRPr="00623652" w:rsidRDefault="007A4340" w:rsidP="00623652">
            <w:r>
              <w:rPr>
                <w:b/>
                <w:bCs/>
              </w:rPr>
              <w:t>3</w:t>
            </w:r>
            <w:r w:rsidR="00623652" w:rsidRPr="00623652">
              <w:rPr>
                <w:b/>
                <w:bCs/>
              </w:rPr>
              <w:t>.2</w:t>
            </w:r>
            <w:r w:rsidR="00623652" w:rsidRPr="00623652">
              <w:t>. Retreat with UNDG WGT on draft Operational Guidance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623652" w:rsidP="00623652">
            <w:pPr>
              <w:jc w:val="center"/>
            </w:pPr>
            <w:r>
              <w:t>Q1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1122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 w:val="restart"/>
            <w:vAlign w:val="center"/>
          </w:tcPr>
          <w:p w:rsidR="00623652" w:rsidRPr="00623652" w:rsidRDefault="007A4340" w:rsidP="00623652">
            <w:pPr>
              <w:rPr>
                <w:rFonts w:cs="Helv"/>
                <w:lang w:eastAsia="ja-JP"/>
              </w:rPr>
            </w:pPr>
            <w:r>
              <w:rPr>
                <w:rFonts w:cs="Helv"/>
                <w:lang w:eastAsia="ja-JP"/>
              </w:rPr>
              <w:t>4</w:t>
            </w:r>
            <w:r w:rsidR="00623652" w:rsidRPr="00623652">
              <w:rPr>
                <w:rFonts w:cs="Helv"/>
                <w:lang w:eastAsia="ja-JP"/>
              </w:rPr>
              <w:t>. Adapted IASC Response Protocols for  protracted emergencies</w:t>
            </w:r>
          </w:p>
          <w:p w:rsidR="00623652" w:rsidRPr="00623652" w:rsidRDefault="00623652" w:rsidP="00F86054"/>
        </w:tc>
        <w:tc>
          <w:tcPr>
            <w:tcW w:w="5869" w:type="dxa"/>
            <w:vAlign w:val="center"/>
          </w:tcPr>
          <w:p w:rsidR="00210263" w:rsidRDefault="007A4340" w:rsidP="00F86054">
            <w:pPr>
              <w:rPr>
                <w:color w:val="FF0000"/>
              </w:rPr>
            </w:pPr>
            <w:r>
              <w:rPr>
                <w:b/>
                <w:bCs/>
              </w:rPr>
              <w:t>4</w:t>
            </w:r>
            <w:r w:rsidR="00623652" w:rsidRPr="00623652">
              <w:rPr>
                <w:b/>
                <w:bCs/>
              </w:rPr>
              <w:t>.1</w:t>
            </w:r>
            <w:r w:rsidR="00623652" w:rsidRPr="00623652">
              <w:t xml:space="preserve"> </w:t>
            </w:r>
            <w:r w:rsidR="00210263">
              <w:t>.1</w:t>
            </w:r>
            <w:r w:rsidR="00623652" w:rsidRPr="00623652">
              <w:t>Conduct Initial Analysis of Transformative Agenda Protocols and related Guidance documents</w:t>
            </w:r>
            <w:r w:rsidR="00210263">
              <w:t xml:space="preserve">, </w:t>
            </w:r>
            <w:r w:rsidR="00210263" w:rsidRPr="00210263">
              <w:rPr>
                <w:color w:val="FF0000"/>
              </w:rPr>
              <w:t xml:space="preserve">and </w:t>
            </w:r>
          </w:p>
          <w:p w:rsidR="00210263" w:rsidRDefault="00210263" w:rsidP="00F86054">
            <w:pPr>
              <w:rPr>
                <w:color w:val="FF0000"/>
              </w:rPr>
            </w:pPr>
          </w:p>
          <w:p w:rsidR="00623652" w:rsidRPr="00623652" w:rsidRDefault="00210263" w:rsidP="00F86054">
            <w:r>
              <w:rPr>
                <w:color w:val="FF0000"/>
              </w:rPr>
              <w:t xml:space="preserve">4.1.2. </w:t>
            </w:r>
            <w:r w:rsidRPr="00623652">
              <w:t>Conduct Initial Analysis</w:t>
            </w:r>
            <w:r w:rsidRPr="0021026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of UNDAF and related Guidance</w:t>
            </w:r>
            <w:bookmarkStart w:id="1" w:name="_GoBack"/>
            <w:bookmarkEnd w:id="1"/>
          </w:p>
          <w:p w:rsidR="00623652" w:rsidRPr="00623652" w:rsidRDefault="00623652" w:rsidP="00F86054"/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CF0F6B" w:rsidP="00623652">
            <w:pPr>
              <w:jc w:val="center"/>
            </w:pPr>
            <w:r>
              <w:t>Q3 2016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  <w:vAlign w:val="center"/>
          </w:tcPr>
          <w:p w:rsidR="00623652" w:rsidRPr="00623652" w:rsidRDefault="00623652" w:rsidP="00210263">
            <w:r w:rsidRPr="00623652">
              <w:t>IASC Reference Document: ‘</w:t>
            </w:r>
            <w:r w:rsidR="00210263">
              <w:t xml:space="preserve">Response Protocols in Protracted Crises’ </w:t>
            </w:r>
            <w:r w:rsidR="00CF0F6B" w:rsidRPr="00CF0F6B">
              <w:t>(</w:t>
            </w:r>
            <w:r w:rsidR="00CF0F6B">
              <w:rPr>
                <w:u w:val="single"/>
              </w:rPr>
              <w:t>by beginning  Q</w:t>
            </w:r>
            <w:r w:rsidR="00210263">
              <w:rPr>
                <w:u w:val="single"/>
              </w:rPr>
              <w:t>2</w:t>
            </w:r>
            <w:r w:rsidR="00CF0F6B" w:rsidRPr="00CF0F6B">
              <w:rPr>
                <w:u w:val="single"/>
              </w:rPr>
              <w:t xml:space="preserve"> 2017</w:t>
            </w:r>
            <w:r w:rsidR="00CF0F6B" w:rsidRPr="00CF0F6B"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623652" w:rsidRPr="00623652" w:rsidRDefault="00623652" w:rsidP="00F86054">
            <w:r w:rsidRPr="00623652">
              <w:t>-report on the mapping exercise and recommendations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-minutes from the Retreat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 xml:space="preserve">-Reference Document </w:t>
            </w:r>
          </w:p>
        </w:tc>
        <w:tc>
          <w:tcPr>
            <w:tcW w:w="3651" w:type="dxa"/>
            <w:vMerge w:val="restart"/>
            <w:vAlign w:val="center"/>
          </w:tcPr>
          <w:p w:rsidR="00623652" w:rsidRPr="00623652" w:rsidRDefault="00623652" w:rsidP="00F86054">
            <w:r w:rsidRPr="00623652">
              <w:t>- Members time to lead small draft team for Reference Document Sections (TA pillars + Exploded HPC components)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- small group of TT members to draft Sections of Reference Document</w:t>
            </w:r>
          </w:p>
        </w:tc>
        <w:tc>
          <w:tcPr>
            <w:tcW w:w="2445" w:type="dxa"/>
            <w:vMerge w:val="restart"/>
          </w:tcPr>
          <w:p w:rsidR="00984FF9" w:rsidRDefault="00984FF9" w:rsidP="00F86054">
            <w:r>
              <w:t>UNDP/WHO</w:t>
            </w:r>
          </w:p>
          <w:p w:rsidR="00984FF9" w:rsidRDefault="00984FF9" w:rsidP="00F86054"/>
          <w:p w:rsidR="00623652" w:rsidRPr="00623652" w:rsidRDefault="00623652" w:rsidP="00F86054">
            <w:r w:rsidRPr="00623652">
              <w:t>LEADERSHIP (OCHA)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COORDINATION</w:t>
            </w:r>
          </w:p>
          <w:p w:rsidR="00623652" w:rsidRPr="00623652" w:rsidRDefault="00623652" w:rsidP="00F86054"/>
          <w:p w:rsidR="00623652" w:rsidRPr="00623652" w:rsidRDefault="00623652" w:rsidP="00F86054">
            <w:r w:rsidRPr="00623652">
              <w:t>ACCOUNTABILITY</w:t>
            </w:r>
          </w:p>
          <w:p w:rsidR="00623652" w:rsidRPr="00623652" w:rsidRDefault="00623652" w:rsidP="00F86054">
            <w:pPr>
              <w:pStyle w:val="ListParagraph"/>
              <w:numPr>
                <w:ilvl w:val="0"/>
                <w:numId w:val="8"/>
              </w:numPr>
            </w:pPr>
            <w:r w:rsidRPr="00623652">
              <w:t>HPC</w:t>
            </w:r>
          </w:p>
          <w:p w:rsidR="00623652" w:rsidRPr="00623652" w:rsidRDefault="00623652" w:rsidP="00F86054">
            <w:pPr>
              <w:pStyle w:val="ListParagraph"/>
              <w:numPr>
                <w:ilvl w:val="0"/>
                <w:numId w:val="8"/>
              </w:numPr>
            </w:pPr>
            <w:r w:rsidRPr="00623652">
              <w:t>PREP</w:t>
            </w:r>
          </w:p>
          <w:p w:rsidR="00623652" w:rsidRPr="00623652" w:rsidRDefault="00623652" w:rsidP="00F86054">
            <w:pPr>
              <w:pStyle w:val="ListParagraph"/>
              <w:numPr>
                <w:ilvl w:val="0"/>
                <w:numId w:val="8"/>
              </w:numPr>
            </w:pPr>
            <w:r w:rsidRPr="00623652">
              <w:t>AAP</w:t>
            </w:r>
          </w:p>
          <w:p w:rsidR="00623652" w:rsidRPr="00623652" w:rsidRDefault="00623652" w:rsidP="00F86054">
            <w:pPr>
              <w:pStyle w:val="ListParagraph"/>
              <w:numPr>
                <w:ilvl w:val="0"/>
                <w:numId w:val="8"/>
              </w:numPr>
            </w:pPr>
            <w:r w:rsidRPr="00623652">
              <w:t>Needs Assess:</w:t>
            </w:r>
          </w:p>
        </w:tc>
      </w:tr>
      <w:tr w:rsidR="00623652" w:rsidRPr="00623652" w:rsidTr="007C3266">
        <w:trPr>
          <w:trHeight w:val="739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F86054">
            <w:pPr>
              <w:rPr>
                <w:rFonts w:cs="Helv"/>
                <w:lang w:eastAsia="ja-JP"/>
              </w:rPr>
            </w:pPr>
          </w:p>
        </w:tc>
        <w:tc>
          <w:tcPr>
            <w:tcW w:w="5869" w:type="dxa"/>
            <w:vAlign w:val="center"/>
          </w:tcPr>
          <w:p w:rsidR="00623652" w:rsidRPr="00623652" w:rsidRDefault="007A4340" w:rsidP="00210263">
            <w:r>
              <w:rPr>
                <w:b/>
                <w:bCs/>
              </w:rPr>
              <w:t>4</w:t>
            </w:r>
            <w:r w:rsidR="00623652" w:rsidRPr="00623652">
              <w:rPr>
                <w:b/>
                <w:bCs/>
              </w:rPr>
              <w:t>.2</w:t>
            </w:r>
            <w:r w:rsidR="00623652" w:rsidRPr="00623652">
              <w:t xml:space="preserve"> HDN Task Team retreat on </w:t>
            </w:r>
            <w:r w:rsidR="00210263">
              <w:t>4.1</w:t>
            </w:r>
          </w:p>
          <w:p w:rsidR="00623652" w:rsidRPr="00623652" w:rsidRDefault="00623652" w:rsidP="00F86054"/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CF0F6B" w:rsidP="00623652">
            <w:pPr>
              <w:jc w:val="center"/>
            </w:pPr>
            <w:r>
              <w:t>Q1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1128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F86054">
            <w:pPr>
              <w:rPr>
                <w:rFonts w:cs="Helv"/>
                <w:lang w:eastAsia="ja-JP"/>
              </w:rPr>
            </w:pPr>
          </w:p>
        </w:tc>
        <w:tc>
          <w:tcPr>
            <w:tcW w:w="5869" w:type="dxa"/>
            <w:vAlign w:val="center"/>
          </w:tcPr>
          <w:p w:rsidR="00623652" w:rsidRPr="00623652" w:rsidRDefault="00623652" w:rsidP="00F86054"/>
          <w:p w:rsidR="00623652" w:rsidRPr="00623652" w:rsidRDefault="007A4340" w:rsidP="00210263">
            <w:r>
              <w:rPr>
                <w:b/>
                <w:bCs/>
              </w:rPr>
              <w:t>4</w:t>
            </w:r>
            <w:r w:rsidR="00623652" w:rsidRPr="00623652">
              <w:rPr>
                <w:b/>
                <w:bCs/>
              </w:rPr>
              <w:t>.3</w:t>
            </w:r>
            <w:r w:rsidR="00623652" w:rsidRPr="00623652">
              <w:t xml:space="preserve"> Produce Draft Protocols</w:t>
            </w:r>
          </w:p>
          <w:p w:rsidR="00623652" w:rsidRPr="00623652" w:rsidRDefault="00623652" w:rsidP="00F86054"/>
          <w:p w:rsidR="00623652" w:rsidRPr="00623652" w:rsidRDefault="00623652" w:rsidP="00F86054"/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210263" w:rsidP="00623652">
            <w:pPr>
              <w:jc w:val="center"/>
            </w:pPr>
            <w:r>
              <w:t>Q1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  <w:tr w:rsidR="00623652" w:rsidRPr="00623652" w:rsidTr="007C3266">
        <w:trPr>
          <w:trHeight w:val="1197"/>
        </w:trPr>
        <w:tc>
          <w:tcPr>
            <w:tcW w:w="1101" w:type="dxa"/>
            <w:vMerge/>
            <w:shd w:val="clear" w:color="auto" w:fill="17365D" w:themeFill="text2" w:themeFillShade="BF"/>
          </w:tcPr>
          <w:p w:rsidR="00623652" w:rsidRPr="00623652" w:rsidRDefault="00623652" w:rsidP="00F86054"/>
        </w:tc>
        <w:tc>
          <w:tcPr>
            <w:tcW w:w="2069" w:type="dxa"/>
            <w:vMerge/>
            <w:vAlign w:val="center"/>
          </w:tcPr>
          <w:p w:rsidR="00623652" w:rsidRPr="00623652" w:rsidRDefault="00623652" w:rsidP="00F86054">
            <w:pPr>
              <w:rPr>
                <w:rFonts w:cs="Helv"/>
                <w:lang w:eastAsia="ja-JP"/>
              </w:rPr>
            </w:pPr>
          </w:p>
        </w:tc>
        <w:tc>
          <w:tcPr>
            <w:tcW w:w="5869" w:type="dxa"/>
            <w:vAlign w:val="center"/>
          </w:tcPr>
          <w:p w:rsidR="00623652" w:rsidRPr="00623652" w:rsidRDefault="00623652" w:rsidP="00F86054"/>
          <w:p w:rsidR="00623652" w:rsidRPr="00623652" w:rsidRDefault="007A4340" w:rsidP="00623652">
            <w:r>
              <w:rPr>
                <w:b/>
                <w:bCs/>
              </w:rPr>
              <w:t>4</w:t>
            </w:r>
            <w:r w:rsidR="00623652" w:rsidRPr="00623652">
              <w:rPr>
                <w:b/>
                <w:bCs/>
              </w:rPr>
              <w:t>.4</w:t>
            </w:r>
            <w:r w:rsidR="00623652" w:rsidRPr="00623652">
              <w:t xml:space="preserve"> Revise Draft Adapted Protocols following  field survey, review process, lessons learned (Activities 3.1, 3.2)</w:t>
            </w:r>
          </w:p>
          <w:p w:rsidR="00623652" w:rsidRPr="00623652" w:rsidRDefault="00623652" w:rsidP="00F86054"/>
          <w:p w:rsidR="00623652" w:rsidRPr="00623652" w:rsidRDefault="00623652" w:rsidP="00F86054"/>
          <w:p w:rsidR="00623652" w:rsidRPr="00623652" w:rsidRDefault="00623652" w:rsidP="00F86054"/>
        </w:tc>
        <w:tc>
          <w:tcPr>
            <w:tcW w:w="992" w:type="dxa"/>
            <w:shd w:val="clear" w:color="auto" w:fill="FFFFFF" w:themeFill="background1"/>
            <w:vAlign w:val="center"/>
          </w:tcPr>
          <w:p w:rsidR="00623652" w:rsidRPr="00623652" w:rsidRDefault="00CF0F6B" w:rsidP="00623652">
            <w:pPr>
              <w:jc w:val="center"/>
            </w:pPr>
            <w:r>
              <w:t>Q3 2017</w:t>
            </w:r>
          </w:p>
        </w:tc>
        <w:tc>
          <w:tcPr>
            <w:tcW w:w="3544" w:type="dxa"/>
            <w:vMerge/>
            <w:shd w:val="clear" w:color="auto" w:fill="C6D9F1" w:themeFill="text2" w:themeFillTint="33"/>
            <w:vAlign w:val="center"/>
          </w:tcPr>
          <w:p w:rsidR="00623652" w:rsidRPr="00623652" w:rsidRDefault="00623652" w:rsidP="00F86054"/>
        </w:tc>
        <w:tc>
          <w:tcPr>
            <w:tcW w:w="2976" w:type="dxa"/>
            <w:vMerge/>
            <w:vAlign w:val="center"/>
          </w:tcPr>
          <w:p w:rsidR="00623652" w:rsidRPr="00623652" w:rsidRDefault="00623652" w:rsidP="00F86054"/>
        </w:tc>
        <w:tc>
          <w:tcPr>
            <w:tcW w:w="3651" w:type="dxa"/>
            <w:vMerge/>
            <w:vAlign w:val="center"/>
          </w:tcPr>
          <w:p w:rsidR="00623652" w:rsidRPr="00623652" w:rsidRDefault="00623652" w:rsidP="00F86054"/>
        </w:tc>
        <w:tc>
          <w:tcPr>
            <w:tcW w:w="2445" w:type="dxa"/>
            <w:vMerge/>
          </w:tcPr>
          <w:p w:rsidR="00623652" w:rsidRPr="00623652" w:rsidRDefault="00623652" w:rsidP="00F86054"/>
        </w:tc>
      </w:tr>
    </w:tbl>
    <w:p w:rsidR="00666570" w:rsidRPr="00666570" w:rsidRDefault="00666570" w:rsidP="00813388">
      <w:pPr>
        <w:rPr>
          <w:sz w:val="30"/>
          <w:szCs w:val="30"/>
        </w:rPr>
      </w:pPr>
    </w:p>
    <w:sectPr w:rsidR="00666570" w:rsidRPr="00666570" w:rsidSect="009919AC">
      <w:footerReference w:type="default" r:id="rId10"/>
      <w:pgSz w:w="23814" w:h="16839" w:orient="landscape" w:code="8"/>
      <w:pgMar w:top="709" w:right="1440" w:bottom="851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OKU, Kwame" w:date="2016-08-19T16:05:00Z" w:initials="POKUK">
    <w:p w:rsidR="007A4340" w:rsidRDefault="007A4340">
      <w:pPr>
        <w:pStyle w:val="CommentText"/>
      </w:pPr>
      <w:r>
        <w:rPr>
          <w:rStyle w:val="CommentReference"/>
        </w:rPr>
        <w:annotationRef/>
      </w:r>
      <w:r>
        <w:t xml:space="preserve">FAO: need to provide </w:t>
      </w:r>
      <w:proofErr w:type="gramStart"/>
      <w:r>
        <w:t>clearer  information</w:t>
      </w:r>
      <w:proofErr w:type="gramEnd"/>
      <w:r>
        <w:t xml:space="preserve"> of what activities go under each objectives.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AD" w:rsidRDefault="000130AD" w:rsidP="00666570">
      <w:pPr>
        <w:spacing w:after="0" w:line="240" w:lineRule="auto"/>
      </w:pPr>
      <w:r>
        <w:separator/>
      </w:r>
    </w:p>
  </w:endnote>
  <w:endnote w:type="continuationSeparator" w:id="0">
    <w:p w:rsidR="000130AD" w:rsidRDefault="000130AD" w:rsidP="0066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0" w:rsidRPr="00666570" w:rsidRDefault="00666570" w:rsidP="00666570">
    <w:pPr>
      <w:rPr>
        <w:b/>
        <w:bCs/>
        <w:sz w:val="30"/>
        <w:szCs w:val="30"/>
      </w:rPr>
    </w:pPr>
    <w:r w:rsidRPr="00666570">
      <w:rPr>
        <w:b/>
        <w:bCs/>
        <w:sz w:val="30"/>
        <w:szCs w:val="30"/>
        <w:highlight w:val="yellow"/>
      </w:rPr>
      <w:t>Draft: last updated 11.08.2016</w:t>
    </w:r>
  </w:p>
  <w:p w:rsidR="00666570" w:rsidRDefault="00666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AD" w:rsidRDefault="000130AD" w:rsidP="00666570">
      <w:pPr>
        <w:spacing w:after="0" w:line="240" w:lineRule="auto"/>
      </w:pPr>
      <w:r>
        <w:separator/>
      </w:r>
    </w:p>
  </w:footnote>
  <w:footnote w:type="continuationSeparator" w:id="0">
    <w:p w:rsidR="000130AD" w:rsidRDefault="000130AD" w:rsidP="0066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BEA"/>
    <w:multiLevelType w:val="hybridMultilevel"/>
    <w:tmpl w:val="BA863EB0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65B5E"/>
    <w:multiLevelType w:val="hybridMultilevel"/>
    <w:tmpl w:val="BA863EB0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26D03"/>
    <w:multiLevelType w:val="hybridMultilevel"/>
    <w:tmpl w:val="A6B2AA88"/>
    <w:lvl w:ilvl="0" w:tplc="2C16D1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3F48"/>
    <w:multiLevelType w:val="hybridMultilevel"/>
    <w:tmpl w:val="446AFDD2"/>
    <w:lvl w:ilvl="0" w:tplc="F76A5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08FE"/>
    <w:multiLevelType w:val="hybridMultilevel"/>
    <w:tmpl w:val="872C49E6"/>
    <w:lvl w:ilvl="0" w:tplc="541293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61D38"/>
    <w:multiLevelType w:val="hybridMultilevel"/>
    <w:tmpl w:val="7C44AC10"/>
    <w:lvl w:ilvl="0" w:tplc="6DBE8D3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EBB"/>
    <w:multiLevelType w:val="multilevel"/>
    <w:tmpl w:val="ABB8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2E17063"/>
    <w:multiLevelType w:val="hybridMultilevel"/>
    <w:tmpl w:val="92600F6A"/>
    <w:lvl w:ilvl="0" w:tplc="5DC6D5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1034"/>
    <w:multiLevelType w:val="hybridMultilevel"/>
    <w:tmpl w:val="2DC41318"/>
    <w:lvl w:ilvl="0" w:tplc="C68209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D1BBD"/>
    <w:multiLevelType w:val="hybridMultilevel"/>
    <w:tmpl w:val="A8A6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3"/>
    <w:rsid w:val="000130AD"/>
    <w:rsid w:val="0002576A"/>
    <w:rsid w:val="000A1A73"/>
    <w:rsid w:val="000C259A"/>
    <w:rsid w:val="00123E66"/>
    <w:rsid w:val="001D3D36"/>
    <w:rsid w:val="00210263"/>
    <w:rsid w:val="00453BD1"/>
    <w:rsid w:val="00590A83"/>
    <w:rsid w:val="006157C0"/>
    <w:rsid w:val="00623652"/>
    <w:rsid w:val="00666570"/>
    <w:rsid w:val="00693267"/>
    <w:rsid w:val="007A4340"/>
    <w:rsid w:val="007B66FC"/>
    <w:rsid w:val="007C3266"/>
    <w:rsid w:val="007F3706"/>
    <w:rsid w:val="00813388"/>
    <w:rsid w:val="00872085"/>
    <w:rsid w:val="00961603"/>
    <w:rsid w:val="00984FF9"/>
    <w:rsid w:val="009919AC"/>
    <w:rsid w:val="009F7152"/>
    <w:rsid w:val="00A6774F"/>
    <w:rsid w:val="00A72860"/>
    <w:rsid w:val="00B825FB"/>
    <w:rsid w:val="00CA6889"/>
    <w:rsid w:val="00CF0F6B"/>
    <w:rsid w:val="00DA7F32"/>
    <w:rsid w:val="00E041BA"/>
    <w:rsid w:val="00F26A99"/>
    <w:rsid w:val="00F5268C"/>
    <w:rsid w:val="00F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83"/>
    <w:pPr>
      <w:ind w:left="720"/>
      <w:contextualSpacing/>
    </w:pPr>
  </w:style>
  <w:style w:type="table" w:styleId="TableGrid">
    <w:name w:val="Table Grid"/>
    <w:basedOn w:val="TableNormal"/>
    <w:uiPriority w:val="59"/>
    <w:rsid w:val="0059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0"/>
  </w:style>
  <w:style w:type="paragraph" w:styleId="Footer">
    <w:name w:val="footer"/>
    <w:basedOn w:val="Normal"/>
    <w:link w:val="FooterChar"/>
    <w:uiPriority w:val="99"/>
    <w:unhideWhenUsed/>
    <w:rsid w:val="0066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0"/>
  </w:style>
  <w:style w:type="character" w:styleId="CommentReference">
    <w:name w:val="annotation reference"/>
    <w:basedOn w:val="DefaultParagraphFont"/>
    <w:uiPriority w:val="99"/>
    <w:semiHidden/>
    <w:unhideWhenUsed/>
    <w:rsid w:val="007A4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83"/>
    <w:pPr>
      <w:ind w:left="720"/>
      <w:contextualSpacing/>
    </w:pPr>
  </w:style>
  <w:style w:type="table" w:styleId="TableGrid">
    <w:name w:val="Table Grid"/>
    <w:basedOn w:val="TableNormal"/>
    <w:uiPriority w:val="59"/>
    <w:rsid w:val="0059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0"/>
  </w:style>
  <w:style w:type="paragraph" w:styleId="Footer">
    <w:name w:val="footer"/>
    <w:basedOn w:val="Normal"/>
    <w:link w:val="FooterChar"/>
    <w:uiPriority w:val="99"/>
    <w:unhideWhenUsed/>
    <w:rsid w:val="0066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0"/>
  </w:style>
  <w:style w:type="character" w:styleId="CommentReference">
    <w:name w:val="annotation reference"/>
    <w:basedOn w:val="DefaultParagraphFont"/>
    <w:uiPriority w:val="99"/>
    <w:semiHidden/>
    <w:unhideWhenUsed/>
    <w:rsid w:val="007A4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319C-6D33-4970-B5DF-A162849D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POKU, Kwame</dc:creator>
  <cp:lastModifiedBy>POKU, Kwame</cp:lastModifiedBy>
  <cp:revision>4</cp:revision>
  <cp:lastPrinted>2016-08-15T09:01:00Z</cp:lastPrinted>
  <dcterms:created xsi:type="dcterms:W3CDTF">2016-08-19T14:09:00Z</dcterms:created>
  <dcterms:modified xsi:type="dcterms:W3CDTF">2016-08-19T14:18:00Z</dcterms:modified>
</cp:coreProperties>
</file>