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1C11A" w14:textId="491D5007" w:rsidR="00292474" w:rsidRDefault="00B1784C" w:rsidP="001D00C8">
      <w:pPr>
        <w:spacing w:after="0" w:line="240" w:lineRule="auto"/>
        <w:rPr>
          <w:rFonts w:ascii="Arial" w:hAnsi="Arial" w:cs="Arial"/>
          <w:b/>
          <w:bCs/>
          <w:color w:val="000000"/>
          <w:sz w:val="20"/>
          <w:szCs w:val="20"/>
          <w:u w:val="single"/>
          <w:lang w:val="en-US"/>
        </w:rPr>
      </w:pPr>
      <w:r>
        <w:rPr>
          <w:rFonts w:ascii="Arial" w:hAnsi="Arial" w:cs="Arial"/>
          <w:b/>
          <w:bCs/>
          <w:noProof/>
          <w:color w:val="000000"/>
          <w:sz w:val="20"/>
          <w:szCs w:val="20"/>
          <w:u w:val="single"/>
          <w:lang w:eastAsia="zh-CN"/>
        </w:rPr>
        <mc:AlternateContent>
          <mc:Choice Requires="wps">
            <w:drawing>
              <wp:anchor distT="0" distB="0" distL="114300" distR="114300" simplePos="0" relativeHeight="251660288" behindDoc="0" locked="0" layoutInCell="1" allowOverlap="1" wp14:anchorId="0A34A6A2" wp14:editId="67E4F6EF">
                <wp:simplePos x="0" y="0"/>
                <wp:positionH relativeFrom="column">
                  <wp:posOffset>5048250</wp:posOffset>
                </wp:positionH>
                <wp:positionV relativeFrom="paragraph">
                  <wp:posOffset>66675</wp:posOffset>
                </wp:positionV>
                <wp:extent cx="2047875" cy="609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47875"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41246A" w14:textId="777921E9" w:rsidR="00B1784C" w:rsidRDefault="00B1784C" w:rsidP="00B1784C">
                            <w:pPr>
                              <w:jc w:val="center"/>
                            </w:pPr>
                            <w:r>
                              <w:rPr>
                                <w:b/>
                                <w:noProof/>
                                <w:color w:val="0070C0"/>
                                <w:sz w:val="32"/>
                                <w:szCs w:val="32"/>
                                <w:lang w:eastAsia="zh-CN"/>
                              </w:rPr>
                              <w:drawing>
                                <wp:inline distT="0" distB="0" distL="0" distR="0" wp14:anchorId="7D16DC3B" wp14:editId="47FA2CA5">
                                  <wp:extent cx="1858645" cy="48329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SC logo.jpg"/>
                                          <pic:cNvPicPr/>
                                        </pic:nvPicPr>
                                        <pic:blipFill>
                                          <a:blip r:embed="rId10">
                                            <a:extLst>
                                              <a:ext uri="{28A0092B-C50C-407E-A947-70E740481C1C}">
                                                <a14:useLocalDpi xmlns:a14="http://schemas.microsoft.com/office/drawing/2010/main" val="0"/>
                                              </a:ext>
                                            </a:extLst>
                                          </a:blip>
                                          <a:stretch>
                                            <a:fillRect/>
                                          </a:stretch>
                                        </pic:blipFill>
                                        <pic:spPr>
                                          <a:xfrm>
                                            <a:off x="0" y="0"/>
                                            <a:ext cx="1858645" cy="4832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4A6A2" id="Rectangle 3" o:spid="_x0000_s1026" style="position:absolute;margin-left:397.5pt;margin-top:5.25pt;width:161.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" fillcolor="#4f81bd [3204]" strokecolor="#243f60 [1604]" strokeweight="2pt">
                <v:textbox>
                  <w:txbxContent>
                    <w:p w14:paraId="7641246A" w14:textId="777921E9" w:rsidR="00B1784C" w:rsidRDefault="00B1784C" w:rsidP="00B1784C">
                      <w:pPr>
                        <w:jc w:val="center"/>
                      </w:pPr>
                      <w:r>
                        <w:rPr>
                          <w:b/>
                          <w:noProof/>
                          <w:color w:val="0070C0"/>
                          <w:sz w:val="32"/>
                          <w:szCs w:val="32"/>
                          <w:lang w:eastAsia="zh-CN"/>
                        </w:rPr>
                        <w:drawing>
                          <wp:inline distT="0" distB="0" distL="0" distR="0" wp14:anchorId="7D16DC3B" wp14:editId="47FA2CA5">
                            <wp:extent cx="1858645" cy="48329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SC logo.jpg"/>
                                    <pic:cNvPicPr/>
                                  </pic:nvPicPr>
                                  <pic:blipFill>
                                    <a:blip r:embed="rId11">
                                      <a:extLst>
                                        <a:ext uri="{28A0092B-C50C-407E-A947-70E740481C1C}">
                                          <a14:useLocalDpi xmlns:a14="http://schemas.microsoft.com/office/drawing/2010/main" val="0"/>
                                        </a:ext>
                                      </a:extLst>
                                    </a:blip>
                                    <a:stretch>
                                      <a:fillRect/>
                                    </a:stretch>
                                  </pic:blipFill>
                                  <pic:spPr>
                                    <a:xfrm>
                                      <a:off x="0" y="0"/>
                                      <a:ext cx="1858645" cy="483297"/>
                                    </a:xfrm>
                                    <a:prstGeom prst="rect">
                                      <a:avLst/>
                                    </a:prstGeom>
                                  </pic:spPr>
                                </pic:pic>
                              </a:graphicData>
                            </a:graphic>
                          </wp:inline>
                        </w:drawing>
                      </w:r>
                    </w:p>
                  </w:txbxContent>
                </v:textbox>
              </v:rect>
            </w:pict>
          </mc:Fallback>
        </mc:AlternateContent>
      </w:r>
      <w:r>
        <w:rPr>
          <w:rFonts w:ascii="Arial" w:hAnsi="Arial" w:cs="Arial"/>
          <w:b/>
          <w:bCs/>
          <w:noProof/>
          <w:color w:val="000000"/>
          <w:sz w:val="20"/>
          <w:szCs w:val="20"/>
          <w:u w:val="single"/>
          <w:lang w:eastAsia="zh-CN"/>
        </w:rPr>
        <mc:AlternateContent>
          <mc:Choice Requires="wps">
            <w:drawing>
              <wp:anchor distT="0" distB="0" distL="114300" distR="114300" simplePos="0" relativeHeight="251659264" behindDoc="0" locked="0" layoutInCell="1" allowOverlap="1" wp14:anchorId="2B548A25" wp14:editId="04940778">
                <wp:simplePos x="0" y="0"/>
                <wp:positionH relativeFrom="margin">
                  <wp:align>right</wp:align>
                </wp:positionH>
                <wp:positionV relativeFrom="paragraph">
                  <wp:posOffset>635</wp:posOffset>
                </wp:positionV>
                <wp:extent cx="7181850" cy="733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181850" cy="733425"/>
                        </a:xfrm>
                        <a:prstGeom prst="rect">
                          <a:avLst/>
                        </a:prstGeom>
                        <a:solidFill>
                          <a:schemeClr val="tx2">
                            <a:lumMod val="20000"/>
                            <a:lumOff val="80000"/>
                          </a:schemeClr>
                        </a:solidFill>
                        <a:ln w="127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2FE1D" w14:textId="797EFD2D" w:rsidR="00B1784C" w:rsidRPr="00B1784C" w:rsidRDefault="00B1784C" w:rsidP="00B1784C">
                            <w:pPr>
                              <w:pStyle w:val="NoSpacing"/>
                              <w:rPr>
                                <w:b/>
                                <w:color w:val="FFFFFF" w:themeColor="background1"/>
                                <w:sz w:val="32"/>
                                <w:szCs w:val="32"/>
                                <w14:textOutline w14:w="9525" w14:cap="rnd" w14:cmpd="sng" w14:algn="ctr">
                                  <w14:noFill/>
                                  <w14:prstDash w14:val="solid"/>
                                  <w14:bevel/>
                                </w14:textOutline>
                              </w:rPr>
                            </w:pPr>
                            <w:r w:rsidRPr="00B1784C">
                              <w:rPr>
                                <w:b/>
                                <w:color w:val="FFFFFF" w:themeColor="background1"/>
                                <w:sz w:val="32"/>
                                <w:szCs w:val="32"/>
                                <w14:textOutline w14:w="9525" w14:cap="rnd" w14:cmpd="sng" w14:algn="ctr">
                                  <w14:noFill/>
                                  <w14:prstDash w14:val="solid"/>
                                  <w14:bevel/>
                                </w14:textOutline>
                              </w:rPr>
                              <w:t>Progress Report - January 2016-December 201</w:t>
                            </w:r>
                            <w:r w:rsidR="00BC60ED">
                              <w:rPr>
                                <w:b/>
                                <w:color w:val="FFFFFF" w:themeColor="background1"/>
                                <w:sz w:val="32"/>
                                <w:szCs w:val="32"/>
                                <w14:textOutline w14:w="9525" w14:cap="rnd" w14:cmpd="sng" w14:algn="ctr">
                                  <w14:noFill/>
                                  <w14:prstDash w14:val="solid"/>
                                  <w14:bevel/>
                                </w14:textOutline>
                              </w:rPr>
                              <w:t>7</w:t>
                            </w:r>
                            <w:r>
                              <w:rPr>
                                <w:b/>
                                <w:color w:val="FFFFFF" w:themeColor="background1"/>
                                <w:sz w:val="32"/>
                                <w:szCs w:val="32"/>
                                <w14:textOutline w14:w="9525" w14:cap="rnd" w14:cmpd="sng" w14:algn="ctr">
                                  <w14:noFill/>
                                  <w14:prstDash w14:val="solid"/>
                                  <w14:bevel/>
                                </w14:textOutline>
                              </w:rPr>
                              <w:t xml:space="preserve">          </w:t>
                            </w:r>
                          </w:p>
                          <w:p w14:paraId="7F41B569" w14:textId="77777777" w:rsidR="00B1784C" w:rsidRDefault="00B1784C" w:rsidP="00B1784C">
                            <w:pPr>
                              <w:pStyle w:val="NoSpacing"/>
                              <w:rPr>
                                <w:b/>
                                <w:color w:val="0070C0"/>
                                <w:sz w:val="32"/>
                                <w:szCs w:val="32"/>
                                <w14:textOutline w14:w="9525" w14:cap="rnd" w14:cmpd="sng" w14:algn="ctr">
                                  <w14:noFill/>
                                  <w14:prstDash w14:val="solid"/>
                                  <w14:bevel/>
                                </w14:textOutline>
                              </w:rPr>
                            </w:pPr>
                            <w:r w:rsidRPr="00B1784C">
                              <w:rPr>
                                <w:b/>
                                <w:color w:val="0070C0"/>
                                <w:sz w:val="32"/>
                                <w:szCs w:val="32"/>
                                <w14:textOutline w14:w="9525" w14:cap="rnd" w14:cmpd="sng" w14:algn="ctr">
                                  <w14:noFill/>
                                  <w14:prstDash w14:val="solid"/>
                                  <w14:bevel/>
                                </w14:textOutline>
                              </w:rPr>
                              <w:t>IASC Gender Reference Group</w:t>
                            </w:r>
                            <w:r>
                              <w:rPr>
                                <w:b/>
                                <w:color w:val="0070C0"/>
                                <w:sz w:val="32"/>
                                <w:szCs w:val="32"/>
                                <w14:textOutline w14:w="9525" w14:cap="rnd" w14:cmpd="sng" w14:algn="ctr">
                                  <w14:noFill/>
                                  <w14:prstDash w14:val="solid"/>
                                  <w14:bevel/>
                                </w14:textOutline>
                              </w:rPr>
                              <w:tab/>
                            </w:r>
                            <w:r>
                              <w:rPr>
                                <w:b/>
                                <w:color w:val="0070C0"/>
                                <w:sz w:val="32"/>
                                <w:szCs w:val="32"/>
                                <w14:textOutline w14:w="9525" w14:cap="rnd" w14:cmpd="sng" w14:algn="ctr">
                                  <w14:noFill/>
                                  <w14:prstDash w14:val="solid"/>
                                  <w14:bevel/>
                                </w14:textOutline>
                              </w:rPr>
                              <w:tab/>
                            </w:r>
                            <w:r>
                              <w:rPr>
                                <w:b/>
                                <w:color w:val="0070C0"/>
                                <w:sz w:val="32"/>
                                <w:szCs w:val="32"/>
                                <w14:textOutline w14:w="9525" w14:cap="rnd" w14:cmpd="sng" w14:algn="ctr">
                                  <w14:noFill/>
                                  <w14:prstDash w14:val="solid"/>
                                  <w14:bevel/>
                                </w14:textOutline>
                              </w:rPr>
                              <w:tab/>
                            </w:r>
                            <w:r>
                              <w:rPr>
                                <w:b/>
                                <w:color w:val="0070C0"/>
                                <w:sz w:val="32"/>
                                <w:szCs w:val="32"/>
                                <w14:textOutline w14:w="9525" w14:cap="rnd" w14:cmpd="sng" w14:algn="ctr">
                                  <w14:noFill/>
                                  <w14:prstDash w14:val="solid"/>
                                  <w14:bevel/>
                                </w14:textOutline>
                              </w:rPr>
                              <w:tab/>
                            </w:r>
                          </w:p>
                          <w:p w14:paraId="262B8E68" w14:textId="767EA638" w:rsidR="00B1784C" w:rsidRPr="00B1784C" w:rsidRDefault="00B1784C" w:rsidP="00B1784C">
                            <w:pPr>
                              <w:pStyle w:val="NoSpacing"/>
                              <w:ind w:left="6480" w:firstLine="720"/>
                              <w:rPr>
                                <w:b/>
                                <w:color w:val="0070C0"/>
                                <w:sz w:val="32"/>
                                <w:szCs w:val="32"/>
                                <w14:textOutline w14:w="9525" w14:cap="rnd" w14:cmpd="sng" w14:algn="ctr">
                                  <w14:noFill/>
                                  <w14:prstDash w14:val="solid"/>
                                  <w14:bevel/>
                                </w14:textOutline>
                              </w:rPr>
                            </w:pPr>
                          </w:p>
                          <w:p w14:paraId="2A34DE35" w14:textId="77777777" w:rsidR="00B1784C" w:rsidRDefault="00B1784C" w:rsidP="00B178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48A25" id="Rectangle 1" o:spid="_x0000_s1027" style="position:absolute;margin-left:514.3pt;margin-top:.05pt;width:565.5pt;height:5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" fillcolor="#c6d9f1 [671]" strokecolor="#548dd4 [1951]" strokeweight="1pt">
                <v:textbox>
                  <w:txbxContent>
                    <w:p w14:paraId="5492FE1D" w14:textId="797EFD2D" w:rsidR="00B1784C" w:rsidRPr="00B1784C" w:rsidRDefault="00B1784C" w:rsidP="00B1784C">
                      <w:pPr>
                        <w:pStyle w:val="NoSpacing"/>
                        <w:rPr>
                          <w:b/>
                          <w:color w:val="FFFFFF" w:themeColor="background1"/>
                          <w:sz w:val="32"/>
                          <w:szCs w:val="32"/>
                          <w14:textOutline w14:w="9525" w14:cap="rnd" w14:cmpd="sng" w14:algn="ctr">
                            <w14:noFill/>
                            <w14:prstDash w14:val="solid"/>
                            <w14:bevel/>
                          </w14:textOutline>
                        </w:rPr>
                      </w:pPr>
                      <w:r w:rsidRPr="00B1784C">
                        <w:rPr>
                          <w:b/>
                          <w:color w:val="FFFFFF" w:themeColor="background1"/>
                          <w:sz w:val="32"/>
                          <w:szCs w:val="32"/>
                          <w14:textOutline w14:w="9525" w14:cap="rnd" w14:cmpd="sng" w14:algn="ctr">
                            <w14:noFill/>
                            <w14:prstDash w14:val="solid"/>
                            <w14:bevel/>
                          </w14:textOutline>
                        </w:rPr>
                        <w:t>Progress Report - January 2016-December 201</w:t>
                      </w:r>
                      <w:r w:rsidR="00BC60ED">
                        <w:rPr>
                          <w:b/>
                          <w:color w:val="FFFFFF" w:themeColor="background1"/>
                          <w:sz w:val="32"/>
                          <w:szCs w:val="32"/>
                          <w14:textOutline w14:w="9525" w14:cap="rnd" w14:cmpd="sng" w14:algn="ctr">
                            <w14:noFill/>
                            <w14:prstDash w14:val="solid"/>
                            <w14:bevel/>
                          </w14:textOutline>
                        </w:rPr>
                        <w:t>7</w:t>
                      </w:r>
                      <w:r>
                        <w:rPr>
                          <w:b/>
                          <w:color w:val="FFFFFF" w:themeColor="background1"/>
                          <w:sz w:val="32"/>
                          <w:szCs w:val="32"/>
                          <w14:textOutline w14:w="9525" w14:cap="rnd" w14:cmpd="sng" w14:algn="ctr">
                            <w14:noFill/>
                            <w14:prstDash w14:val="solid"/>
                            <w14:bevel/>
                          </w14:textOutline>
                        </w:rPr>
                        <w:t xml:space="preserve">          </w:t>
                      </w:r>
                    </w:p>
                    <w:p w14:paraId="7F41B569" w14:textId="77777777" w:rsidR="00B1784C" w:rsidRDefault="00B1784C" w:rsidP="00B1784C">
                      <w:pPr>
                        <w:pStyle w:val="NoSpacing"/>
                        <w:rPr>
                          <w:b/>
                          <w:color w:val="0070C0"/>
                          <w:sz w:val="32"/>
                          <w:szCs w:val="32"/>
                          <w14:textOutline w14:w="9525" w14:cap="rnd" w14:cmpd="sng" w14:algn="ctr">
                            <w14:noFill/>
                            <w14:prstDash w14:val="solid"/>
                            <w14:bevel/>
                          </w14:textOutline>
                        </w:rPr>
                      </w:pPr>
                      <w:r w:rsidRPr="00B1784C">
                        <w:rPr>
                          <w:b/>
                          <w:color w:val="0070C0"/>
                          <w:sz w:val="32"/>
                          <w:szCs w:val="32"/>
                          <w14:textOutline w14:w="9525" w14:cap="rnd" w14:cmpd="sng" w14:algn="ctr">
                            <w14:noFill/>
                            <w14:prstDash w14:val="solid"/>
                            <w14:bevel/>
                          </w14:textOutline>
                        </w:rPr>
                        <w:t>IASC Gender Reference Group</w:t>
                      </w:r>
                      <w:r>
                        <w:rPr>
                          <w:b/>
                          <w:color w:val="0070C0"/>
                          <w:sz w:val="32"/>
                          <w:szCs w:val="32"/>
                          <w14:textOutline w14:w="9525" w14:cap="rnd" w14:cmpd="sng" w14:algn="ctr">
                            <w14:noFill/>
                            <w14:prstDash w14:val="solid"/>
                            <w14:bevel/>
                          </w14:textOutline>
                        </w:rPr>
                        <w:tab/>
                      </w:r>
                      <w:r>
                        <w:rPr>
                          <w:b/>
                          <w:color w:val="0070C0"/>
                          <w:sz w:val="32"/>
                          <w:szCs w:val="32"/>
                          <w14:textOutline w14:w="9525" w14:cap="rnd" w14:cmpd="sng" w14:algn="ctr">
                            <w14:noFill/>
                            <w14:prstDash w14:val="solid"/>
                            <w14:bevel/>
                          </w14:textOutline>
                        </w:rPr>
                        <w:tab/>
                      </w:r>
                      <w:r>
                        <w:rPr>
                          <w:b/>
                          <w:color w:val="0070C0"/>
                          <w:sz w:val="32"/>
                          <w:szCs w:val="32"/>
                          <w14:textOutline w14:w="9525" w14:cap="rnd" w14:cmpd="sng" w14:algn="ctr">
                            <w14:noFill/>
                            <w14:prstDash w14:val="solid"/>
                            <w14:bevel/>
                          </w14:textOutline>
                        </w:rPr>
                        <w:tab/>
                      </w:r>
                      <w:r>
                        <w:rPr>
                          <w:b/>
                          <w:color w:val="0070C0"/>
                          <w:sz w:val="32"/>
                          <w:szCs w:val="32"/>
                          <w14:textOutline w14:w="9525" w14:cap="rnd" w14:cmpd="sng" w14:algn="ctr">
                            <w14:noFill/>
                            <w14:prstDash w14:val="solid"/>
                            <w14:bevel/>
                          </w14:textOutline>
                        </w:rPr>
                        <w:tab/>
                      </w:r>
                    </w:p>
                    <w:p w14:paraId="262B8E68" w14:textId="767EA638" w:rsidR="00B1784C" w:rsidRPr="00B1784C" w:rsidRDefault="00B1784C" w:rsidP="00B1784C">
                      <w:pPr>
                        <w:pStyle w:val="NoSpacing"/>
                        <w:ind w:left="6480" w:firstLine="720"/>
                        <w:rPr>
                          <w:b/>
                          <w:color w:val="0070C0"/>
                          <w:sz w:val="32"/>
                          <w:szCs w:val="32"/>
                          <w14:textOutline w14:w="9525" w14:cap="rnd" w14:cmpd="sng" w14:algn="ctr">
                            <w14:noFill/>
                            <w14:prstDash w14:val="solid"/>
                            <w14:bevel/>
                          </w14:textOutline>
                        </w:rPr>
                      </w:pPr>
                    </w:p>
                    <w:p w14:paraId="2A34DE35" w14:textId="77777777" w:rsidR="00B1784C" w:rsidRDefault="00B1784C" w:rsidP="00B1784C">
                      <w:pPr>
                        <w:jc w:val="center"/>
                      </w:pPr>
                    </w:p>
                  </w:txbxContent>
                </v:textbox>
                <w10:wrap anchorx="margin"/>
              </v:rect>
            </w:pict>
          </mc:Fallback>
        </mc:AlternateContent>
      </w:r>
    </w:p>
    <w:p w14:paraId="74B7BCB8" w14:textId="6374E4D8" w:rsidR="00861449" w:rsidRDefault="00861449" w:rsidP="001D00C8">
      <w:pPr>
        <w:spacing w:after="0" w:line="240" w:lineRule="auto"/>
        <w:rPr>
          <w:rFonts w:ascii="Arial" w:hAnsi="Arial" w:cs="Arial"/>
          <w:b/>
          <w:bCs/>
          <w:color w:val="000000"/>
          <w:sz w:val="20"/>
          <w:szCs w:val="20"/>
          <w:u w:val="single"/>
          <w:lang w:val="en-US"/>
        </w:rPr>
      </w:pPr>
    </w:p>
    <w:p w14:paraId="47CFC9FE" w14:textId="324D03E2" w:rsidR="00861449" w:rsidRPr="00B1784C" w:rsidRDefault="00861449" w:rsidP="001D00C8">
      <w:pPr>
        <w:spacing w:after="0" w:line="240" w:lineRule="auto"/>
        <w:rPr>
          <w:rFonts w:ascii="Arial" w:hAnsi="Arial" w:cs="Arial"/>
          <w:b/>
          <w:bCs/>
          <w:color w:val="0070C0"/>
          <w:sz w:val="20"/>
          <w:szCs w:val="20"/>
          <w:u w:val="single"/>
          <w:lang w:val="en-US"/>
        </w:rPr>
      </w:pPr>
    </w:p>
    <w:p w14:paraId="0984E586" w14:textId="3DD8623C" w:rsidR="00861449" w:rsidRPr="00B1784C" w:rsidRDefault="00861449" w:rsidP="001D00C8">
      <w:pPr>
        <w:spacing w:after="0" w:line="240" w:lineRule="auto"/>
        <w:rPr>
          <w:rFonts w:ascii="Arial" w:hAnsi="Arial" w:cs="Arial"/>
          <w:b/>
          <w:bCs/>
          <w:color w:val="000000"/>
          <w:sz w:val="20"/>
          <w:szCs w:val="20"/>
          <w:u w:val="single"/>
        </w:rPr>
      </w:pPr>
    </w:p>
    <w:p w14:paraId="4A660DC3" w14:textId="77777777" w:rsidR="00861449" w:rsidRDefault="00861449" w:rsidP="001D00C8">
      <w:pPr>
        <w:spacing w:after="0" w:line="240" w:lineRule="auto"/>
        <w:rPr>
          <w:rFonts w:ascii="Arial" w:hAnsi="Arial" w:cs="Arial"/>
          <w:b/>
          <w:bCs/>
          <w:color w:val="000000"/>
          <w:sz w:val="20"/>
          <w:szCs w:val="20"/>
          <w:u w:val="single"/>
          <w:lang w:val="en-US"/>
        </w:rPr>
      </w:pPr>
    </w:p>
    <w:p w14:paraId="57356D3A" w14:textId="36EEDEE9" w:rsidR="00B1784C" w:rsidRDefault="00B1784C" w:rsidP="00861449">
      <w:pPr>
        <w:spacing w:after="0" w:line="240" w:lineRule="auto"/>
        <w:rPr>
          <w:rFonts w:ascii="Calibri" w:hAnsi="Calibri" w:cs="Calibri"/>
          <w:b/>
          <w:i/>
        </w:rPr>
      </w:pPr>
      <w:r>
        <w:rPr>
          <w:rFonts w:ascii="Calibri" w:hAnsi="Calibri" w:cs="Calibri"/>
          <w:b/>
          <w:i/>
          <w:noProof/>
          <w:lang w:eastAsia="zh-CN"/>
        </w:rPr>
        <mc:AlternateContent>
          <mc:Choice Requires="wps">
            <w:drawing>
              <wp:anchor distT="0" distB="0" distL="114300" distR="114300" simplePos="0" relativeHeight="251661312" behindDoc="0" locked="0" layoutInCell="1" allowOverlap="1" wp14:anchorId="487B71B6" wp14:editId="61C2BA1B">
                <wp:simplePos x="0" y="0"/>
                <wp:positionH relativeFrom="margin">
                  <wp:align>right</wp:align>
                </wp:positionH>
                <wp:positionV relativeFrom="paragraph">
                  <wp:posOffset>41910</wp:posOffset>
                </wp:positionV>
                <wp:extent cx="7172325" cy="1238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172325" cy="1238250"/>
                        </a:xfrm>
                        <a:prstGeom prst="rect">
                          <a:avLst/>
                        </a:prstGeom>
                        <a:solidFill>
                          <a:schemeClr val="accent6">
                            <a:lumMod val="20000"/>
                            <a:lumOff val="80000"/>
                          </a:schemeClr>
                        </a:solid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FFBD1B" w14:textId="23AF9510" w:rsidR="00B1784C" w:rsidRPr="00B1784C" w:rsidRDefault="00B1784C" w:rsidP="00B1784C">
                            <w:pPr>
                              <w:pStyle w:val="NoSpacing"/>
                              <w:jc w:val="center"/>
                              <w:rPr>
                                <w:b/>
                                <w:color w:val="E36C0A" w:themeColor="accent6" w:themeShade="BF"/>
                                <w:sz w:val="24"/>
                                <w:szCs w:val="24"/>
                              </w:rPr>
                            </w:pPr>
                            <w:r>
                              <w:rPr>
                                <w:b/>
                                <w:color w:val="E36C0A" w:themeColor="accent6" w:themeShade="BF"/>
                                <w:sz w:val="24"/>
                                <w:szCs w:val="24"/>
                              </w:rPr>
                              <w:t>KEY OBJECTIVES</w:t>
                            </w:r>
                          </w:p>
                          <w:p w14:paraId="52369750" w14:textId="77777777" w:rsidR="00B1784C" w:rsidRDefault="00B1784C" w:rsidP="00B1784C">
                            <w:pPr>
                              <w:autoSpaceDE w:val="0"/>
                              <w:autoSpaceDN w:val="0"/>
                              <w:adjustRightInd w:val="0"/>
                              <w:spacing w:line="240" w:lineRule="auto"/>
                              <w:rPr>
                                <w:color w:val="0D0D0D" w:themeColor="text1" w:themeTint="F2"/>
                                <w:sz w:val="18"/>
                                <w:szCs w:val="18"/>
                              </w:rPr>
                            </w:pPr>
                            <w:r w:rsidRPr="00B1784C">
                              <w:rPr>
                                <w:rFonts w:ascii="Calibri" w:hAnsi="Calibri" w:cs="Calibri"/>
                                <w:b/>
                                <w:i/>
                                <w:color w:val="0D0D0D" w:themeColor="text1" w:themeTint="F2"/>
                                <w:sz w:val="18"/>
                                <w:szCs w:val="18"/>
                              </w:rPr>
                              <w:t>1. LEADERSHIP ON GENDER EQUALITY -</w:t>
                            </w:r>
                            <w:r w:rsidRPr="00B1784C">
                              <w:rPr>
                                <w:rFonts w:ascii="Calibri" w:hAnsi="Calibri" w:cs="Calibri"/>
                                <w:color w:val="0D0D0D" w:themeColor="text1" w:themeTint="F2"/>
                                <w:sz w:val="18"/>
                                <w:szCs w:val="18"/>
                              </w:rPr>
                              <w:t xml:space="preserve"> provide guidance and support, wherever feasible, to all bodies and structures of the IASC to be able to incorporate gender equality into relevant aspects of their work.</w:t>
                            </w:r>
                            <w:r w:rsidRPr="00B1784C">
                              <w:rPr>
                                <w:color w:val="0D0D0D" w:themeColor="text1" w:themeTint="F2"/>
                                <w:sz w:val="18"/>
                                <w:szCs w:val="18"/>
                              </w:rPr>
                              <w:t xml:space="preserve"> </w:t>
                            </w:r>
                          </w:p>
                          <w:p w14:paraId="4C21488B" w14:textId="1357B5E0" w:rsidR="00B1784C" w:rsidRPr="00B1784C" w:rsidRDefault="00B1784C" w:rsidP="00B1784C">
                            <w:pPr>
                              <w:autoSpaceDE w:val="0"/>
                              <w:autoSpaceDN w:val="0"/>
                              <w:adjustRightInd w:val="0"/>
                              <w:spacing w:line="240" w:lineRule="auto"/>
                              <w:rPr>
                                <w:rFonts w:ascii="Calibri" w:hAnsi="Calibri" w:cs="Calibri"/>
                                <w:color w:val="0D0D0D" w:themeColor="text1" w:themeTint="F2"/>
                                <w:sz w:val="18"/>
                                <w:szCs w:val="18"/>
                              </w:rPr>
                            </w:pPr>
                            <w:r w:rsidRPr="00B1784C">
                              <w:rPr>
                                <w:rFonts w:ascii="Calibri" w:hAnsi="Calibri" w:cs="Calibri"/>
                                <w:b/>
                                <w:i/>
                                <w:color w:val="0D0D0D" w:themeColor="text1" w:themeTint="F2"/>
                                <w:sz w:val="18"/>
                                <w:szCs w:val="18"/>
                              </w:rPr>
                              <w:t>2. ACCOUNTABILITY TO GENDER EQUALITY</w:t>
                            </w:r>
                            <w:r w:rsidRPr="00B1784C">
                              <w:rPr>
                                <w:rFonts w:ascii="Calibri" w:hAnsi="Calibri" w:cs="Calibri"/>
                                <w:color w:val="0D0D0D" w:themeColor="text1" w:themeTint="F2"/>
                                <w:sz w:val="18"/>
                                <w:szCs w:val="18"/>
                              </w:rPr>
                              <w:t xml:space="preserve"> - support and champion the IASC’s commitment to work in an inter-agency fashion.</w:t>
                            </w:r>
                          </w:p>
                          <w:p w14:paraId="331025C9" w14:textId="77777777" w:rsidR="00B1784C" w:rsidRPr="00B1784C" w:rsidRDefault="00B1784C" w:rsidP="00B1784C">
                            <w:pPr>
                              <w:spacing w:after="0" w:line="240" w:lineRule="auto"/>
                              <w:rPr>
                                <w:rFonts w:ascii="Arial" w:hAnsi="Arial" w:cs="Arial"/>
                                <w:b/>
                                <w:bCs/>
                                <w:color w:val="0D0D0D" w:themeColor="text1" w:themeTint="F2"/>
                                <w:sz w:val="18"/>
                                <w:szCs w:val="18"/>
                                <w:u w:val="single"/>
                                <w:lang w:val="en-US"/>
                              </w:rPr>
                            </w:pPr>
                            <w:r w:rsidRPr="00B1784C">
                              <w:rPr>
                                <w:rFonts w:ascii="Calibri" w:hAnsi="Calibri" w:cs="Calibri"/>
                                <w:b/>
                                <w:i/>
                                <w:color w:val="0D0D0D" w:themeColor="text1" w:themeTint="F2"/>
                                <w:sz w:val="18"/>
                                <w:szCs w:val="18"/>
                              </w:rPr>
                              <w:t>3. COORDINATION &amp; KNOWLEDGE MANAGEMENT</w:t>
                            </w:r>
                            <w:r w:rsidRPr="00B1784C">
                              <w:rPr>
                                <w:rFonts w:ascii="Calibri" w:hAnsi="Calibri" w:cs="Calibri"/>
                                <w:color w:val="0D0D0D" w:themeColor="text1" w:themeTint="F2"/>
                                <w:sz w:val="18"/>
                                <w:szCs w:val="18"/>
                              </w:rPr>
                              <w:t xml:space="preserve"> – Provide the humanitarian community with timely and practical information, tools and resources in order that they can meet its commitments to gender equality towards the goal of gender equality in all aspects of humanitarian action</w:t>
                            </w:r>
                          </w:p>
                          <w:p w14:paraId="09984EB5" w14:textId="77777777" w:rsidR="00B1784C" w:rsidRPr="00B1784C" w:rsidRDefault="00B1784C" w:rsidP="00B1784C">
                            <w:pPr>
                              <w:autoSpaceDE w:val="0"/>
                              <w:autoSpaceDN w:val="0"/>
                              <w:adjustRightInd w:val="0"/>
                              <w:rPr>
                                <w:rFonts w:ascii="Calibri" w:hAnsi="Calibri" w:cs="Calibri"/>
                                <w:lang w:val="en-US"/>
                              </w:rPr>
                            </w:pPr>
                          </w:p>
                          <w:p w14:paraId="6F1140A3" w14:textId="64069CCF" w:rsidR="00B1784C" w:rsidRPr="00937AB0" w:rsidRDefault="00B1784C" w:rsidP="00B1784C">
                            <w:pPr>
                              <w:pStyle w:val="NoSpacing"/>
                              <w:rPr>
                                <w:b/>
                                <w:color w:val="E36C0A" w:themeColor="accent6" w:themeShade="BF"/>
                              </w:rPr>
                            </w:pPr>
                            <w:r w:rsidRPr="00B1784C">
                              <w:rPr>
                                <w:rFonts w:cs="Arial"/>
                                <w:b/>
                                <w:bCs/>
                                <w:noProof/>
                                <w:color w:val="365F91" w:themeColor="accent1" w:themeShade="BF"/>
                                <w:sz w:val="28"/>
                                <w:szCs w:val="28"/>
                                <w:lang w:eastAsia="zh-CN"/>
                              </w:rPr>
                              <w:t xml:space="preserve"> </w:t>
                            </w:r>
                          </w:p>
                          <w:p w14:paraId="456DB387" w14:textId="77777777" w:rsidR="00B1784C" w:rsidRDefault="00B1784C" w:rsidP="00B178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B71B6" id="Rectangle 4" o:spid="_x0000_s1028" style="position:absolute;margin-left:513.55pt;margin-top:3.3pt;width:564.75pt;height: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" fillcolor="#fde9d9 [665]" strokecolor="#8db3e2 [1311]" strokeweight="1pt">
                <v:textbox>
                  <w:txbxContent>
                    <w:p w14:paraId="6EFFBD1B" w14:textId="23AF9510" w:rsidR="00B1784C" w:rsidRPr="00B1784C" w:rsidRDefault="00B1784C" w:rsidP="00B1784C">
                      <w:pPr>
                        <w:pStyle w:val="NoSpacing"/>
                        <w:jc w:val="center"/>
                        <w:rPr>
                          <w:b/>
                          <w:color w:val="E36C0A" w:themeColor="accent6" w:themeShade="BF"/>
                          <w:sz w:val="24"/>
                          <w:szCs w:val="24"/>
                        </w:rPr>
                      </w:pPr>
                      <w:r>
                        <w:rPr>
                          <w:b/>
                          <w:color w:val="E36C0A" w:themeColor="accent6" w:themeShade="BF"/>
                          <w:sz w:val="24"/>
                          <w:szCs w:val="24"/>
                        </w:rPr>
                        <w:t>KEY OBJECTIVES</w:t>
                      </w:r>
                    </w:p>
                    <w:p w14:paraId="52369750" w14:textId="77777777" w:rsidR="00B1784C" w:rsidRDefault="00B1784C" w:rsidP="00B1784C">
                      <w:pPr>
                        <w:autoSpaceDE w:val="0"/>
                        <w:autoSpaceDN w:val="0"/>
                        <w:adjustRightInd w:val="0"/>
                        <w:spacing w:line="240" w:lineRule="auto"/>
                        <w:rPr>
                          <w:color w:val="0D0D0D" w:themeColor="text1" w:themeTint="F2"/>
                          <w:sz w:val="18"/>
                          <w:szCs w:val="18"/>
                        </w:rPr>
                      </w:pPr>
                      <w:r w:rsidRPr="00B1784C">
                        <w:rPr>
                          <w:rFonts w:ascii="Calibri" w:hAnsi="Calibri" w:cs="Calibri"/>
                          <w:b/>
                          <w:i/>
                          <w:color w:val="0D0D0D" w:themeColor="text1" w:themeTint="F2"/>
                          <w:sz w:val="18"/>
                          <w:szCs w:val="18"/>
                        </w:rPr>
                        <w:t>1. LEADERSHIP ON GENDER EQUALITY -</w:t>
                      </w:r>
                      <w:r w:rsidRPr="00B1784C">
                        <w:rPr>
                          <w:rFonts w:ascii="Calibri" w:hAnsi="Calibri" w:cs="Calibri"/>
                          <w:color w:val="0D0D0D" w:themeColor="text1" w:themeTint="F2"/>
                          <w:sz w:val="18"/>
                          <w:szCs w:val="18"/>
                        </w:rPr>
                        <w:t xml:space="preserve"> provide guidance and support, wherever feasible, to all bodies and structures of the IASC to be able to incorporate gender equality into relevant aspects of their work.</w:t>
                      </w:r>
                      <w:r w:rsidRPr="00B1784C">
                        <w:rPr>
                          <w:color w:val="0D0D0D" w:themeColor="text1" w:themeTint="F2"/>
                          <w:sz w:val="18"/>
                          <w:szCs w:val="18"/>
                        </w:rPr>
                        <w:t xml:space="preserve"> </w:t>
                      </w:r>
                    </w:p>
                    <w:p w14:paraId="4C21488B" w14:textId="1357B5E0" w:rsidR="00B1784C" w:rsidRPr="00B1784C" w:rsidRDefault="00B1784C" w:rsidP="00B1784C">
                      <w:pPr>
                        <w:autoSpaceDE w:val="0"/>
                        <w:autoSpaceDN w:val="0"/>
                        <w:adjustRightInd w:val="0"/>
                        <w:spacing w:line="240" w:lineRule="auto"/>
                        <w:rPr>
                          <w:rFonts w:ascii="Calibri" w:hAnsi="Calibri" w:cs="Calibri"/>
                          <w:color w:val="0D0D0D" w:themeColor="text1" w:themeTint="F2"/>
                          <w:sz w:val="18"/>
                          <w:szCs w:val="18"/>
                        </w:rPr>
                      </w:pPr>
                      <w:r w:rsidRPr="00B1784C">
                        <w:rPr>
                          <w:rFonts w:ascii="Calibri" w:hAnsi="Calibri" w:cs="Calibri"/>
                          <w:b/>
                          <w:i/>
                          <w:color w:val="0D0D0D" w:themeColor="text1" w:themeTint="F2"/>
                          <w:sz w:val="18"/>
                          <w:szCs w:val="18"/>
                        </w:rPr>
                        <w:t>2. ACCOUNTABILITY TO GENDER EQUALITY</w:t>
                      </w:r>
                      <w:r w:rsidRPr="00B1784C">
                        <w:rPr>
                          <w:rFonts w:ascii="Calibri" w:hAnsi="Calibri" w:cs="Calibri"/>
                          <w:color w:val="0D0D0D" w:themeColor="text1" w:themeTint="F2"/>
                          <w:sz w:val="18"/>
                          <w:szCs w:val="18"/>
                        </w:rPr>
                        <w:t xml:space="preserve"> - support and champion the IASC’s commitment to work in an inter-agency fashion.</w:t>
                      </w:r>
                    </w:p>
                    <w:p w14:paraId="331025C9" w14:textId="77777777" w:rsidR="00B1784C" w:rsidRPr="00B1784C" w:rsidRDefault="00B1784C" w:rsidP="00B1784C">
                      <w:pPr>
                        <w:spacing w:after="0" w:line="240" w:lineRule="auto"/>
                        <w:rPr>
                          <w:rFonts w:ascii="Arial" w:hAnsi="Arial" w:cs="Arial"/>
                          <w:b/>
                          <w:bCs/>
                          <w:color w:val="0D0D0D" w:themeColor="text1" w:themeTint="F2"/>
                          <w:sz w:val="18"/>
                          <w:szCs w:val="18"/>
                          <w:u w:val="single"/>
                          <w:lang w:val="en-US"/>
                        </w:rPr>
                      </w:pPr>
                      <w:r w:rsidRPr="00B1784C">
                        <w:rPr>
                          <w:rFonts w:ascii="Calibri" w:hAnsi="Calibri" w:cs="Calibri"/>
                          <w:b/>
                          <w:i/>
                          <w:color w:val="0D0D0D" w:themeColor="text1" w:themeTint="F2"/>
                          <w:sz w:val="18"/>
                          <w:szCs w:val="18"/>
                        </w:rPr>
                        <w:t>3. COORDINATION &amp; KNOWLEDGE MANAGEMENT</w:t>
                      </w:r>
                      <w:r w:rsidRPr="00B1784C">
                        <w:rPr>
                          <w:rFonts w:ascii="Calibri" w:hAnsi="Calibri" w:cs="Calibri"/>
                          <w:color w:val="0D0D0D" w:themeColor="text1" w:themeTint="F2"/>
                          <w:sz w:val="18"/>
                          <w:szCs w:val="18"/>
                        </w:rPr>
                        <w:t xml:space="preserve"> – Provide the humanitarian community with timely and practical information, tools and resources in order that they can meet its commitments to gender equality towards the goal of gender equality in all aspects of humanitarian action</w:t>
                      </w:r>
                    </w:p>
                    <w:p w14:paraId="09984EB5" w14:textId="77777777" w:rsidR="00B1784C" w:rsidRPr="00B1784C" w:rsidRDefault="00B1784C" w:rsidP="00B1784C">
                      <w:pPr>
                        <w:autoSpaceDE w:val="0"/>
                        <w:autoSpaceDN w:val="0"/>
                        <w:adjustRightInd w:val="0"/>
                        <w:rPr>
                          <w:rFonts w:ascii="Calibri" w:hAnsi="Calibri" w:cs="Calibri"/>
                          <w:lang w:val="en-US"/>
                        </w:rPr>
                      </w:pPr>
                    </w:p>
                    <w:p w14:paraId="6F1140A3" w14:textId="64069CCF" w:rsidR="00B1784C" w:rsidRPr="00937AB0" w:rsidRDefault="00B1784C" w:rsidP="00B1784C">
                      <w:pPr>
                        <w:pStyle w:val="NoSpacing"/>
                        <w:rPr>
                          <w:b/>
                          <w:color w:val="E36C0A" w:themeColor="accent6" w:themeShade="BF"/>
                        </w:rPr>
                      </w:pPr>
                      <w:r w:rsidRPr="00B1784C">
                        <w:rPr>
                          <w:rFonts w:cs="Arial"/>
                          <w:b/>
                          <w:bCs/>
                          <w:noProof/>
                          <w:color w:val="365F91" w:themeColor="accent1" w:themeShade="BF"/>
                          <w:sz w:val="28"/>
                          <w:szCs w:val="28"/>
                          <w:lang w:eastAsia="zh-CN"/>
                        </w:rPr>
                        <w:t xml:space="preserve"> </w:t>
                      </w:r>
                    </w:p>
                    <w:p w14:paraId="456DB387" w14:textId="77777777" w:rsidR="00B1784C" w:rsidRDefault="00B1784C" w:rsidP="00B1784C">
                      <w:pPr>
                        <w:jc w:val="center"/>
                      </w:pPr>
                    </w:p>
                  </w:txbxContent>
                </v:textbox>
                <w10:wrap anchorx="margin"/>
              </v:rect>
            </w:pict>
          </mc:Fallback>
        </mc:AlternateContent>
      </w:r>
    </w:p>
    <w:p w14:paraId="37AC21BD" w14:textId="035A36A4" w:rsidR="00B1784C" w:rsidRDefault="00B1784C" w:rsidP="00861449">
      <w:pPr>
        <w:spacing w:after="0" w:line="240" w:lineRule="auto"/>
        <w:rPr>
          <w:rFonts w:ascii="Calibri" w:hAnsi="Calibri" w:cs="Calibri"/>
          <w:b/>
          <w:i/>
        </w:rPr>
      </w:pPr>
    </w:p>
    <w:p w14:paraId="61971711" w14:textId="7BC7F640" w:rsidR="00B1784C" w:rsidRDefault="00B1784C" w:rsidP="00861449">
      <w:pPr>
        <w:spacing w:after="0" w:line="240" w:lineRule="auto"/>
        <w:rPr>
          <w:rFonts w:ascii="Calibri" w:hAnsi="Calibri" w:cs="Calibri"/>
          <w:b/>
          <w:i/>
        </w:rPr>
      </w:pPr>
    </w:p>
    <w:p w14:paraId="7C5CC4FC" w14:textId="53D78D9C" w:rsidR="00B1784C" w:rsidRDefault="00B1784C" w:rsidP="00861449">
      <w:pPr>
        <w:spacing w:after="0" w:line="240" w:lineRule="auto"/>
        <w:rPr>
          <w:rFonts w:ascii="Calibri" w:hAnsi="Calibri" w:cs="Calibri"/>
          <w:b/>
          <w:i/>
        </w:rPr>
      </w:pPr>
    </w:p>
    <w:p w14:paraId="0DFDE146" w14:textId="11F13303" w:rsidR="00B1784C" w:rsidRDefault="00B1784C" w:rsidP="00861449">
      <w:pPr>
        <w:spacing w:after="0" w:line="240" w:lineRule="auto"/>
        <w:rPr>
          <w:rFonts w:ascii="Calibri" w:hAnsi="Calibri" w:cs="Calibri"/>
          <w:b/>
          <w:i/>
        </w:rPr>
      </w:pPr>
    </w:p>
    <w:p w14:paraId="5FB7F94B" w14:textId="6645D7EB" w:rsidR="00B1784C" w:rsidRDefault="00B1784C" w:rsidP="00861449">
      <w:pPr>
        <w:spacing w:after="0" w:line="240" w:lineRule="auto"/>
        <w:rPr>
          <w:rFonts w:ascii="Calibri" w:hAnsi="Calibri" w:cs="Calibri"/>
          <w:b/>
          <w:i/>
        </w:rPr>
      </w:pPr>
    </w:p>
    <w:p w14:paraId="2FE39B4C" w14:textId="43BF7D2A" w:rsidR="00B1784C" w:rsidRDefault="00B1784C" w:rsidP="00861449">
      <w:pPr>
        <w:spacing w:after="0" w:line="240" w:lineRule="auto"/>
        <w:rPr>
          <w:rFonts w:ascii="Calibri" w:hAnsi="Calibri" w:cs="Calibri"/>
          <w:b/>
          <w:i/>
        </w:rPr>
      </w:pPr>
    </w:p>
    <w:p w14:paraId="49C97F69" w14:textId="7E87CB32" w:rsidR="00B1784C" w:rsidRDefault="008778EA" w:rsidP="00861449">
      <w:pPr>
        <w:spacing w:after="0" w:line="240" w:lineRule="auto"/>
        <w:rPr>
          <w:rFonts w:ascii="Calibri" w:hAnsi="Calibri" w:cs="Calibri"/>
          <w:b/>
          <w:i/>
        </w:rPr>
      </w:pPr>
      <w:r>
        <w:rPr>
          <w:rFonts w:ascii="Calibri" w:hAnsi="Calibri" w:cs="Calibri"/>
          <w:b/>
          <w:i/>
          <w:noProof/>
          <w:lang w:eastAsia="zh-CN"/>
        </w:rPr>
        <mc:AlternateContent>
          <mc:Choice Requires="wps">
            <w:drawing>
              <wp:anchor distT="0" distB="0" distL="114300" distR="114300" simplePos="0" relativeHeight="251662336" behindDoc="0" locked="0" layoutInCell="1" allowOverlap="1" wp14:anchorId="1C692EA9" wp14:editId="1D9A9659">
                <wp:simplePos x="0" y="0"/>
                <wp:positionH relativeFrom="margin">
                  <wp:align>right</wp:align>
                </wp:positionH>
                <wp:positionV relativeFrom="paragraph">
                  <wp:posOffset>127553</wp:posOffset>
                </wp:positionV>
                <wp:extent cx="7172325" cy="8158348"/>
                <wp:effectExtent l="0" t="0" r="28575" b="14605"/>
                <wp:wrapNone/>
                <wp:docPr id="5" name="Rectangle 5"/>
                <wp:cNvGraphicFramePr/>
                <a:graphic xmlns:a="http://schemas.openxmlformats.org/drawingml/2006/main">
                  <a:graphicData uri="http://schemas.microsoft.com/office/word/2010/wordprocessingShape">
                    <wps:wsp>
                      <wps:cNvSpPr/>
                      <wps:spPr>
                        <a:xfrm>
                          <a:off x="0" y="0"/>
                          <a:ext cx="7172325" cy="8158348"/>
                        </a:xfrm>
                        <a:prstGeom prst="rect">
                          <a:avLst/>
                        </a:prstGeom>
                        <a:solidFill>
                          <a:schemeClr val="bg1"/>
                        </a:solidFill>
                        <a:ln w="127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F5D193" w14:textId="44A144C4" w:rsidR="008F4B7D" w:rsidRPr="00B1784C" w:rsidRDefault="008F4B7D" w:rsidP="00CB030A">
                            <w:pPr>
                              <w:pStyle w:val="NoSpacing"/>
                              <w:jc w:val="center"/>
                              <w:rPr>
                                <w:b/>
                                <w:color w:val="E36C0A" w:themeColor="accent6" w:themeShade="BF"/>
                                <w:sz w:val="24"/>
                                <w:szCs w:val="24"/>
                              </w:rPr>
                            </w:pPr>
                            <w:r>
                              <w:rPr>
                                <w:b/>
                                <w:color w:val="E36C0A" w:themeColor="accent6" w:themeShade="BF"/>
                                <w:sz w:val="24"/>
                                <w:szCs w:val="24"/>
                              </w:rPr>
                              <w:t>KEY RESULTS FOR 201</w:t>
                            </w:r>
                            <w:r w:rsidR="00BC60ED">
                              <w:rPr>
                                <w:b/>
                                <w:color w:val="E36C0A" w:themeColor="accent6" w:themeShade="BF"/>
                                <w:sz w:val="24"/>
                                <w:szCs w:val="24"/>
                              </w:rPr>
                              <w:t>7</w:t>
                            </w:r>
                          </w:p>
                          <w:p w14:paraId="2B274581" w14:textId="47D65F2F" w:rsidR="008F4B7D" w:rsidRPr="00BC60ED" w:rsidRDefault="00CB030A" w:rsidP="00BC60ED">
                            <w:pPr>
                              <w:pStyle w:val="ListParagraph"/>
                              <w:numPr>
                                <w:ilvl w:val="0"/>
                                <w:numId w:val="31"/>
                              </w:numPr>
                              <w:ind w:left="0"/>
                              <w:rPr>
                                <w:rFonts w:cs="Arial"/>
                                <w:color w:val="0D0D0D" w:themeColor="text1" w:themeTint="F2"/>
                                <w:sz w:val="18"/>
                                <w:szCs w:val="18"/>
                              </w:rPr>
                            </w:pPr>
                            <w:r>
                              <w:rPr>
                                <w:rFonts w:asciiTheme="minorHAnsi" w:hAnsiTheme="minorHAnsi" w:cs="Arial"/>
                                <w:b/>
                                <w:iCs/>
                                <w:color w:val="0D0D0D" w:themeColor="text1" w:themeTint="F2"/>
                                <w:sz w:val="18"/>
                                <w:szCs w:val="18"/>
                              </w:rPr>
                              <w:t xml:space="preserve">1. </w:t>
                            </w:r>
                            <w:r w:rsidR="00BC60ED">
                              <w:rPr>
                                <w:rFonts w:asciiTheme="minorHAnsi" w:hAnsiTheme="minorHAnsi" w:cs="Arial"/>
                                <w:b/>
                                <w:iCs/>
                                <w:color w:val="0D0D0D" w:themeColor="text1" w:themeTint="F2"/>
                                <w:sz w:val="18"/>
                                <w:szCs w:val="18"/>
                              </w:rPr>
                              <w:t>Update of the IASC’s 2008 Gender Policy Statement and Creation of Accountability Framework:</w:t>
                            </w:r>
                          </w:p>
                          <w:p w14:paraId="38818AF3" w14:textId="77777777" w:rsidR="00BC60ED" w:rsidRPr="00BC60ED" w:rsidRDefault="00BC60ED" w:rsidP="00BC60ED">
                            <w:pPr>
                              <w:rPr>
                                <w:rFonts w:cs="Arial"/>
                                <w:color w:val="0D0D0D" w:themeColor="text1" w:themeTint="F2"/>
                                <w:sz w:val="18"/>
                                <w:szCs w:val="18"/>
                              </w:rPr>
                            </w:pPr>
                            <w:r w:rsidRPr="00BC60ED">
                              <w:rPr>
                                <w:rFonts w:cs="Arial"/>
                                <w:color w:val="0D0D0D" w:themeColor="text1" w:themeTint="F2"/>
                                <w:sz w:val="18"/>
                                <w:szCs w:val="18"/>
                              </w:rPr>
                              <w:t xml:space="preserve">Following the extensive consultation process across the IASC structures (Principals, WG, Subsidiary Bodies, Global Clusters and field presence) and with other relevant stakeholders, and with the support of the GRG Policy Advisory Group (UN Women, Oxfam, OCHA, WFP, WRC, UNFPA, UNDP and IASC Secretariat), the process for the policy update was completed with the IASC Working Group's endorsement of the new policy and its associated AF in Dec 2017.  </w:t>
                            </w:r>
                          </w:p>
                          <w:p w14:paraId="4002DCF6" w14:textId="77777777" w:rsidR="00BC60ED" w:rsidRPr="00BC60ED" w:rsidRDefault="00BC60ED" w:rsidP="00BC60ED">
                            <w:pPr>
                              <w:rPr>
                                <w:rFonts w:cs="Arial"/>
                                <w:color w:val="0D0D0D" w:themeColor="text1" w:themeTint="F2"/>
                                <w:sz w:val="18"/>
                                <w:szCs w:val="18"/>
                              </w:rPr>
                            </w:pPr>
                            <w:r w:rsidRPr="00BC60ED">
                              <w:rPr>
                                <w:rFonts w:cs="Arial"/>
                                <w:color w:val="0D0D0D" w:themeColor="text1" w:themeTint="F2"/>
                                <w:sz w:val="18"/>
                                <w:szCs w:val="18"/>
                              </w:rPr>
                              <w:t>Whilst maintaining the IASC’s commitment to gender equality and the empowerment of women and girls in humanitarian action and reflecting the recently adopted structural changes of the IASC, the new version of the policy now reflects major developments in humanitarian normative priorities adopted since 2008, such as those developed at the 2016 World Humanitarian Summit (2016), the New York Declaration on Refugees and Migrants (2016), the SDGs (2015) and the Sendai  Disaster Risk Reduction Framework 2015.  Key themes in the policy include humanitarian financing, localization, the humanitarian-development nexus, cash based programming and innovation.</w:t>
                            </w:r>
                          </w:p>
                          <w:p w14:paraId="060E7C4C" w14:textId="614F0A89" w:rsidR="00BC60ED" w:rsidRPr="00BC60ED" w:rsidRDefault="00BC60ED" w:rsidP="00BC60ED">
                            <w:pPr>
                              <w:rPr>
                                <w:rFonts w:cs="Arial"/>
                                <w:color w:val="0D0D0D" w:themeColor="text1" w:themeTint="F2"/>
                                <w:sz w:val="18"/>
                                <w:szCs w:val="18"/>
                              </w:rPr>
                            </w:pPr>
                            <w:r w:rsidRPr="00BC60ED">
                              <w:rPr>
                                <w:rFonts w:cs="Arial"/>
                                <w:color w:val="0D0D0D" w:themeColor="text1" w:themeTint="F2"/>
                                <w:sz w:val="18"/>
                                <w:szCs w:val="18"/>
                              </w:rPr>
                              <w:t>The IASC Gender Accountability Framework is based on the revised policy, and is developed to capture, monitor and measure the performance of the IASC Bodies as per their roles and responsibilities set out in the policy. The IASC Gender Accountability Framework will also measure whether the key standards laid out in the policy are implemented at global and field levels, in order to monitor progress in the implementation of the policy.</w:t>
                            </w:r>
                          </w:p>
                          <w:p w14:paraId="6295021C" w14:textId="16A49413" w:rsidR="00CB030A" w:rsidRPr="00CB030A" w:rsidRDefault="00CB030A" w:rsidP="00CB030A">
                            <w:pPr>
                              <w:pStyle w:val="ListParagraph"/>
                              <w:numPr>
                                <w:ilvl w:val="0"/>
                                <w:numId w:val="31"/>
                              </w:numPr>
                              <w:ind w:left="0"/>
                              <w:rPr>
                                <w:rFonts w:asciiTheme="minorHAnsi" w:hAnsiTheme="minorHAnsi" w:cs="Arial"/>
                                <w:color w:val="0D0D0D" w:themeColor="text1" w:themeTint="F2"/>
                                <w:sz w:val="18"/>
                                <w:szCs w:val="18"/>
                              </w:rPr>
                            </w:pPr>
                            <w:r>
                              <w:rPr>
                                <w:rFonts w:asciiTheme="minorHAnsi" w:hAnsiTheme="minorHAnsi" w:cs="Arial"/>
                                <w:b/>
                                <w:i/>
                                <w:color w:val="0D0D0D" w:themeColor="text1" w:themeTint="F2"/>
                                <w:sz w:val="18"/>
                                <w:szCs w:val="18"/>
                              </w:rPr>
                              <w:t xml:space="preserve">2. </w:t>
                            </w:r>
                            <w:r w:rsidRPr="00CB030A">
                              <w:rPr>
                                <w:rFonts w:asciiTheme="minorHAnsi" w:hAnsiTheme="minorHAnsi" w:cs="Arial"/>
                                <w:b/>
                                <w:i/>
                                <w:color w:val="0D0D0D" w:themeColor="text1" w:themeTint="F2"/>
                                <w:sz w:val="18"/>
                                <w:szCs w:val="18"/>
                              </w:rPr>
                              <w:t>Update of T</w:t>
                            </w:r>
                            <w:r w:rsidRPr="00CB030A">
                              <w:rPr>
                                <w:rFonts w:asciiTheme="minorHAnsi" w:hAnsiTheme="minorHAnsi" w:cs="Calibri"/>
                                <w:b/>
                                <w:i/>
                                <w:color w:val="0D0D0D" w:themeColor="text1" w:themeTint="F2"/>
                                <w:sz w:val="18"/>
                                <w:szCs w:val="18"/>
                              </w:rPr>
                              <w:t>he IASC’s Handbook on Gender in Humanitarian Action</w:t>
                            </w:r>
                          </w:p>
                          <w:p w14:paraId="30CA872F" w14:textId="3B585DBA" w:rsidR="00BC60ED" w:rsidRDefault="00BC60ED" w:rsidP="00BC60ED">
                            <w:pPr>
                              <w:rPr>
                                <w:rFonts w:cs="Arial"/>
                                <w:color w:val="0D0D0D" w:themeColor="text1" w:themeTint="F2"/>
                                <w:sz w:val="18"/>
                                <w:szCs w:val="18"/>
                              </w:rPr>
                            </w:pPr>
                            <w:r w:rsidRPr="00BC60ED">
                              <w:rPr>
                                <w:rFonts w:cs="Arial"/>
                                <w:color w:val="0D0D0D" w:themeColor="text1" w:themeTint="F2"/>
                                <w:sz w:val="18"/>
                                <w:szCs w:val="18"/>
                              </w:rPr>
                              <w:t xml:space="preserve">Field testing of </w:t>
                            </w:r>
                            <w:r>
                              <w:rPr>
                                <w:rFonts w:cs="Arial"/>
                                <w:color w:val="0D0D0D" w:themeColor="text1" w:themeTint="F2"/>
                                <w:sz w:val="18"/>
                                <w:szCs w:val="18"/>
                              </w:rPr>
                              <w:t xml:space="preserve">the </w:t>
                            </w:r>
                            <w:r w:rsidRPr="00BC60ED">
                              <w:rPr>
                                <w:rFonts w:cs="Arial"/>
                                <w:color w:val="0D0D0D" w:themeColor="text1" w:themeTint="F2"/>
                                <w:sz w:val="18"/>
                                <w:szCs w:val="18"/>
                              </w:rPr>
                              <w:t>prototype handbook was conducted in Afghanistan and Ethiopia in April and May of 2017, respectively.  The practical usefulness of the handbook and its content were assessed and reviewed by a wide variety of frontline humanitarian stakeholders, incl. UN, INGOs, LNGOs, govt. etc.  A comprehensive report was developed and shared with the Handbook Steering Committee (UN Women, CARE, WFP, UNFPA, UNHCR, GenCap, Oxfam, Interaction, WRC, OCHA, ECHO) with key recommendations of providing practical working examples of developing prog. plans through assessment, gender analysis and participation through case-studies and best practice on a sector-by sector basis.</w:t>
                            </w:r>
                          </w:p>
                          <w:p w14:paraId="48107512" w14:textId="6A355EA1" w:rsidR="00BC60ED" w:rsidRPr="00BC60ED" w:rsidRDefault="00BC60ED" w:rsidP="00BC60ED">
                            <w:pPr>
                              <w:rPr>
                                <w:rFonts w:eastAsia="Arial Unicode MS" w:cs="Arial"/>
                                <w:color w:val="0D0D0D" w:themeColor="text1" w:themeTint="F2"/>
                                <w:sz w:val="18"/>
                                <w:szCs w:val="18"/>
                                <w:bdr w:val="nil"/>
                                <w:lang w:val="en-US"/>
                              </w:rPr>
                            </w:pPr>
                            <w:r>
                              <w:rPr>
                                <w:rFonts w:cs="Arial"/>
                                <w:color w:val="0D0D0D" w:themeColor="text1" w:themeTint="F2"/>
                                <w:sz w:val="18"/>
                                <w:szCs w:val="18"/>
                              </w:rPr>
                              <w:t>By end of December 2017, the content of the handbook has been completed and sent for copy editing and publication design.  Submission to the Working Group for endorsement will happen in early 2018.</w:t>
                            </w:r>
                          </w:p>
                          <w:p w14:paraId="7173D891" w14:textId="77777777" w:rsidR="00BC60ED" w:rsidRDefault="00CB030A" w:rsidP="00BC60ED">
                            <w:pPr>
                              <w:spacing w:after="0" w:line="240" w:lineRule="auto"/>
                              <w:rPr>
                                <w:rFonts w:cs="Arial"/>
                                <w:color w:val="0D0D0D" w:themeColor="text1" w:themeTint="F2"/>
                                <w:sz w:val="18"/>
                                <w:szCs w:val="18"/>
                              </w:rPr>
                            </w:pPr>
                            <w:r w:rsidRPr="00BC60ED">
                              <w:rPr>
                                <w:rFonts w:cs="Arial"/>
                                <w:b/>
                                <w:i/>
                                <w:color w:val="0D0D0D" w:themeColor="text1" w:themeTint="F2"/>
                                <w:sz w:val="18"/>
                                <w:szCs w:val="18"/>
                              </w:rPr>
                              <w:t>3. ECOSOC Humanitarian Affairs Segment Side-Event</w:t>
                            </w:r>
                          </w:p>
                          <w:p w14:paraId="6A8E1279" w14:textId="77777777" w:rsidR="00BC60ED" w:rsidRDefault="00BC60ED" w:rsidP="00BC60ED">
                            <w:pPr>
                              <w:spacing w:after="0" w:line="240" w:lineRule="auto"/>
                              <w:rPr>
                                <w:rFonts w:cs="Arial"/>
                                <w:color w:val="0D0D0D" w:themeColor="text1" w:themeTint="F2"/>
                                <w:sz w:val="18"/>
                                <w:szCs w:val="18"/>
                              </w:rPr>
                            </w:pPr>
                            <w:r w:rsidRPr="00BC60ED">
                              <w:rPr>
                                <w:rFonts w:cs="Arial"/>
                                <w:color w:val="0D0D0D" w:themeColor="text1" w:themeTint="F2"/>
                                <w:sz w:val="18"/>
                                <w:szCs w:val="18"/>
                              </w:rPr>
                              <w:t xml:space="preserve">The GRG co-hosted a side event at ECOSOC HAS with UN Women and the United Arab Emirates on "Moving from commitments to implementation: women and girls in the context of crisis".  The side event was a forum to discuss internal reforms that the UN and other humanitarian and development agencies should undertake to ensure that (a) the needs and vulnerabilities of women and girls are planned for and met during humanitarian crises and (b) women are empowered as first responders, income generators for their families and instrumental in the development of the resilience of themselves, their households and their communities.  The speakers at the event were Dr. Jemilah Mahmood, Under Secretary General, Partnerships, IFRC; Ms. Joan Timoney, Senior Director of Advocacy and External Relations, Women’s Refugee Commission  on behalf of the IASC Gender Reference Group and Ms. Sonya Ruparel, Deputy Humanitarian Director, ActionAid. </w:t>
                            </w:r>
                          </w:p>
                          <w:p w14:paraId="0EC8D821" w14:textId="77777777" w:rsidR="00BC60ED" w:rsidRDefault="00BC60ED" w:rsidP="00BC60ED">
                            <w:pPr>
                              <w:spacing w:after="0" w:line="240" w:lineRule="auto"/>
                              <w:rPr>
                                <w:rFonts w:cs="Arial"/>
                                <w:color w:val="0D0D0D" w:themeColor="text1" w:themeTint="F2"/>
                                <w:sz w:val="18"/>
                                <w:szCs w:val="18"/>
                              </w:rPr>
                            </w:pPr>
                          </w:p>
                          <w:p w14:paraId="64D23A90" w14:textId="20952920" w:rsidR="00CB030A" w:rsidRPr="00BC60ED" w:rsidRDefault="00BC60ED" w:rsidP="00BC60ED">
                            <w:pPr>
                              <w:spacing w:after="0" w:line="240" w:lineRule="auto"/>
                              <w:rPr>
                                <w:rFonts w:cs="Arial"/>
                                <w:color w:val="0D0D0D" w:themeColor="text1" w:themeTint="F2"/>
                                <w:sz w:val="18"/>
                                <w:szCs w:val="18"/>
                              </w:rPr>
                            </w:pPr>
                            <w:r>
                              <w:rPr>
                                <w:rFonts w:cs="Arial"/>
                                <w:b/>
                                <w:i/>
                                <w:color w:val="0D0D0D" w:themeColor="text1" w:themeTint="F2"/>
                                <w:sz w:val="18"/>
                                <w:szCs w:val="18"/>
                              </w:rPr>
                              <w:t>5. Establish Connections with other IASC Subsidiary Bodies and Re-establish working relationship GenCap</w:t>
                            </w:r>
                          </w:p>
                          <w:p w14:paraId="69D47420" w14:textId="77777777" w:rsidR="00BC60ED" w:rsidRDefault="00BC60ED" w:rsidP="00CB030A">
                            <w:pPr>
                              <w:spacing w:after="0"/>
                              <w:rPr>
                                <w:rFonts w:cs="Arial"/>
                                <w:color w:val="0D0D0D" w:themeColor="text1" w:themeTint="F2"/>
                                <w:sz w:val="18"/>
                                <w:szCs w:val="18"/>
                              </w:rPr>
                            </w:pPr>
                            <w:r w:rsidRPr="00BC60ED">
                              <w:rPr>
                                <w:rFonts w:cs="Arial"/>
                                <w:color w:val="0D0D0D" w:themeColor="text1" w:themeTint="F2"/>
                                <w:sz w:val="18"/>
                                <w:szCs w:val="18"/>
                              </w:rPr>
                              <w:t>Connections to IASC subsidiary bodies initiated thro</w:t>
                            </w:r>
                            <w:r>
                              <w:rPr>
                                <w:rFonts w:cs="Arial"/>
                                <w:color w:val="0D0D0D" w:themeColor="text1" w:themeTint="F2"/>
                                <w:sz w:val="18"/>
                                <w:szCs w:val="18"/>
                              </w:rPr>
                              <w:t>ugh the IASC subsidiary body co-</w:t>
                            </w:r>
                            <w:r w:rsidRPr="00BC60ED">
                              <w:rPr>
                                <w:rFonts w:cs="Arial"/>
                                <w:color w:val="0D0D0D" w:themeColor="text1" w:themeTint="F2"/>
                                <w:sz w:val="18"/>
                                <w:szCs w:val="18"/>
                              </w:rPr>
                              <w:t>chairs</w:t>
                            </w:r>
                            <w:r>
                              <w:rPr>
                                <w:rFonts w:cs="Arial"/>
                                <w:color w:val="0D0D0D" w:themeColor="text1" w:themeTint="F2"/>
                                <w:sz w:val="18"/>
                                <w:szCs w:val="18"/>
                              </w:rPr>
                              <w:t>’</w:t>
                            </w:r>
                            <w:r w:rsidRPr="00BC60ED">
                              <w:rPr>
                                <w:rFonts w:cs="Arial"/>
                                <w:color w:val="0D0D0D" w:themeColor="text1" w:themeTint="F2"/>
                                <w:sz w:val="18"/>
                                <w:szCs w:val="18"/>
                              </w:rPr>
                              <w:t xml:space="preserve"> meeting. Engagement with HFTT established. Input to TOR for HDN completed.  </w:t>
                            </w:r>
                          </w:p>
                          <w:p w14:paraId="117D9219" w14:textId="77777777" w:rsidR="00BC60ED" w:rsidRDefault="00BC60ED" w:rsidP="00CB030A">
                            <w:pPr>
                              <w:spacing w:after="0"/>
                              <w:rPr>
                                <w:rFonts w:cs="Arial"/>
                                <w:color w:val="0D0D0D" w:themeColor="text1" w:themeTint="F2"/>
                                <w:sz w:val="18"/>
                                <w:szCs w:val="18"/>
                              </w:rPr>
                            </w:pPr>
                          </w:p>
                          <w:p w14:paraId="7589F69E" w14:textId="1677EAF6" w:rsidR="008778EA" w:rsidRDefault="00BC60ED" w:rsidP="00CB030A">
                            <w:pPr>
                              <w:spacing w:after="0"/>
                              <w:rPr>
                                <w:rFonts w:cs="Arial"/>
                                <w:color w:val="0D0D0D" w:themeColor="text1" w:themeTint="F2"/>
                                <w:sz w:val="18"/>
                                <w:szCs w:val="18"/>
                              </w:rPr>
                            </w:pPr>
                            <w:r w:rsidRPr="00BC60ED">
                              <w:rPr>
                                <w:rFonts w:cs="Arial"/>
                                <w:color w:val="0D0D0D" w:themeColor="text1" w:themeTint="F2"/>
                                <w:sz w:val="18"/>
                                <w:szCs w:val="18"/>
                              </w:rPr>
                              <w:t>GRG co-chair (UN Women) engaged extensively with GenCap with input to the Strategic Review and to the Strategic Framework.</w:t>
                            </w:r>
                          </w:p>
                          <w:p w14:paraId="308A746D" w14:textId="77777777" w:rsidR="00CB030A" w:rsidRPr="00B61E70" w:rsidRDefault="00CB030A" w:rsidP="00CB030A">
                            <w:pPr>
                              <w:spacing w:after="0"/>
                              <w:rPr>
                                <w:rFonts w:cs="Arial"/>
                                <w:color w:val="0D0D0D" w:themeColor="text1" w:themeTint="F2"/>
                                <w:sz w:val="18"/>
                                <w:szCs w:val="18"/>
                              </w:rPr>
                            </w:pPr>
                            <w:bookmarkStart w:id="0" w:name="_GoBack"/>
                            <w:bookmarkEnd w:id="0"/>
                          </w:p>
                          <w:p w14:paraId="4AA1462D" w14:textId="77777777" w:rsidR="00CB030A" w:rsidRPr="00B61E70" w:rsidRDefault="00CB030A" w:rsidP="00CB030A">
                            <w:pPr>
                              <w:spacing w:after="0"/>
                              <w:rPr>
                                <w:rFonts w:cs="Arial"/>
                                <w:color w:val="0D0D0D" w:themeColor="text1" w:themeTint="F2"/>
                                <w:sz w:val="18"/>
                                <w:szCs w:val="18"/>
                              </w:rPr>
                            </w:pPr>
                          </w:p>
                          <w:p w14:paraId="280DF840" w14:textId="77777777" w:rsidR="00CB030A" w:rsidRPr="00B61E70" w:rsidRDefault="00CB030A" w:rsidP="00CB030A">
                            <w:pPr>
                              <w:spacing w:after="0"/>
                              <w:rPr>
                                <w:rFonts w:cs="Arial"/>
                                <w:color w:val="0D0D0D" w:themeColor="text1" w:themeTint="F2"/>
                                <w:sz w:val="18"/>
                                <w:szCs w:val="18"/>
                              </w:rPr>
                            </w:pPr>
                          </w:p>
                          <w:p w14:paraId="3AF9892A" w14:textId="77777777" w:rsidR="00CB030A" w:rsidRPr="00B61E70" w:rsidRDefault="00CB030A" w:rsidP="00CB030A">
                            <w:pPr>
                              <w:spacing w:after="0"/>
                              <w:rPr>
                                <w:rFonts w:cs="Arial"/>
                                <w:color w:val="0D0D0D" w:themeColor="text1" w:themeTint="F2"/>
                                <w:sz w:val="18"/>
                                <w:szCs w:val="18"/>
                              </w:rPr>
                            </w:pPr>
                          </w:p>
                          <w:p w14:paraId="120FE8E7" w14:textId="77777777" w:rsidR="00CB030A" w:rsidRPr="00B61E70" w:rsidRDefault="00CB030A" w:rsidP="00CB030A">
                            <w:pPr>
                              <w:spacing w:after="0"/>
                              <w:rPr>
                                <w:rFonts w:cs="Arial"/>
                                <w:color w:val="0D0D0D" w:themeColor="text1" w:themeTint="F2"/>
                                <w:sz w:val="18"/>
                                <w:szCs w:val="18"/>
                              </w:rPr>
                            </w:pPr>
                          </w:p>
                          <w:p w14:paraId="076694D4" w14:textId="77777777" w:rsidR="00CB030A" w:rsidRPr="00B61E70" w:rsidRDefault="00CB030A" w:rsidP="00CB030A">
                            <w:pPr>
                              <w:spacing w:after="0"/>
                              <w:rPr>
                                <w:rFonts w:cs="Arial"/>
                                <w:color w:val="0D0D0D" w:themeColor="text1" w:themeTint="F2"/>
                                <w:sz w:val="18"/>
                                <w:szCs w:val="18"/>
                              </w:rPr>
                            </w:pPr>
                          </w:p>
                          <w:p w14:paraId="05683142" w14:textId="77777777" w:rsidR="00CB030A" w:rsidRPr="00B61E70" w:rsidRDefault="00CB030A" w:rsidP="00CB030A">
                            <w:pPr>
                              <w:spacing w:after="0"/>
                              <w:rPr>
                                <w:rFonts w:cs="Arial"/>
                                <w:color w:val="0D0D0D" w:themeColor="text1" w:themeTint="F2"/>
                                <w:sz w:val="18"/>
                                <w:szCs w:val="18"/>
                              </w:rPr>
                            </w:pPr>
                          </w:p>
                          <w:p w14:paraId="093652D9" w14:textId="77777777" w:rsidR="00CB030A" w:rsidRPr="00B61E70" w:rsidRDefault="00CB030A" w:rsidP="00CB030A">
                            <w:pPr>
                              <w:spacing w:after="0"/>
                              <w:rPr>
                                <w:rFonts w:cs="Arial"/>
                                <w:color w:val="0D0D0D" w:themeColor="text1" w:themeTint="F2"/>
                                <w:sz w:val="18"/>
                                <w:szCs w:val="18"/>
                              </w:rPr>
                            </w:pPr>
                          </w:p>
                          <w:p w14:paraId="04150635" w14:textId="77777777" w:rsidR="00CB030A" w:rsidRPr="00B61E70" w:rsidRDefault="00CB030A" w:rsidP="00CB030A">
                            <w:pPr>
                              <w:spacing w:after="0"/>
                              <w:rPr>
                                <w:rFonts w:cs="Arial"/>
                                <w:color w:val="0D0D0D" w:themeColor="text1" w:themeTint="F2"/>
                                <w:sz w:val="18"/>
                                <w:szCs w:val="18"/>
                              </w:rPr>
                            </w:pPr>
                          </w:p>
                          <w:p w14:paraId="359BDBA6" w14:textId="77777777" w:rsidR="00CB030A" w:rsidRPr="00B61E70" w:rsidRDefault="00CB030A" w:rsidP="00CB030A">
                            <w:pPr>
                              <w:spacing w:after="0"/>
                              <w:rPr>
                                <w:rFonts w:cs="Arial"/>
                                <w:color w:val="0D0D0D" w:themeColor="text1" w:themeTint="F2"/>
                                <w:sz w:val="18"/>
                                <w:szCs w:val="18"/>
                              </w:rPr>
                            </w:pPr>
                          </w:p>
                          <w:p w14:paraId="37463237" w14:textId="77777777" w:rsidR="00CB030A" w:rsidRPr="00B61E70" w:rsidRDefault="00CB030A" w:rsidP="00CB030A">
                            <w:pPr>
                              <w:spacing w:after="0"/>
                              <w:rPr>
                                <w:rFonts w:cs="Arial"/>
                                <w:color w:val="0D0D0D" w:themeColor="text1" w:themeTint="F2"/>
                                <w:sz w:val="18"/>
                                <w:szCs w:val="18"/>
                              </w:rPr>
                            </w:pPr>
                          </w:p>
                          <w:p w14:paraId="1B0149B1" w14:textId="77777777" w:rsidR="00CB030A" w:rsidRPr="00B61E70" w:rsidRDefault="00CB030A" w:rsidP="00CB030A">
                            <w:pPr>
                              <w:spacing w:after="0"/>
                              <w:rPr>
                                <w:rFonts w:cs="Arial"/>
                                <w:color w:val="0D0D0D" w:themeColor="text1" w:themeTint="F2"/>
                                <w:sz w:val="18"/>
                                <w:szCs w:val="18"/>
                              </w:rPr>
                            </w:pPr>
                          </w:p>
                          <w:p w14:paraId="1B74B962" w14:textId="77777777" w:rsidR="00CB030A" w:rsidRPr="00B61E70" w:rsidRDefault="00CB030A" w:rsidP="00CB030A">
                            <w:pPr>
                              <w:spacing w:after="0"/>
                              <w:rPr>
                                <w:rFonts w:cs="Arial"/>
                                <w:color w:val="0D0D0D" w:themeColor="text1" w:themeTint="F2"/>
                                <w:sz w:val="18"/>
                                <w:szCs w:val="18"/>
                              </w:rPr>
                            </w:pPr>
                          </w:p>
                          <w:p w14:paraId="67F8B346" w14:textId="77777777" w:rsidR="00CB030A" w:rsidRPr="00B61E70" w:rsidRDefault="00CB030A" w:rsidP="00CB030A">
                            <w:pPr>
                              <w:spacing w:after="0"/>
                              <w:rPr>
                                <w:rFonts w:cs="Arial"/>
                                <w:color w:val="0D0D0D" w:themeColor="text1" w:themeTint="F2"/>
                                <w:sz w:val="18"/>
                                <w:szCs w:val="18"/>
                              </w:rPr>
                            </w:pPr>
                          </w:p>
                          <w:p w14:paraId="4B0279FE" w14:textId="77777777" w:rsidR="00CB030A" w:rsidRPr="00B61E70" w:rsidRDefault="00CB030A" w:rsidP="00CB030A">
                            <w:pPr>
                              <w:spacing w:after="0"/>
                              <w:rPr>
                                <w:rFonts w:cs="Arial"/>
                                <w:color w:val="0D0D0D" w:themeColor="text1" w:themeTint="F2"/>
                                <w:sz w:val="18"/>
                                <w:szCs w:val="18"/>
                              </w:rPr>
                            </w:pPr>
                          </w:p>
                          <w:p w14:paraId="390EDEE3" w14:textId="77777777" w:rsidR="00CB030A" w:rsidRPr="00B61E70" w:rsidRDefault="00CB030A" w:rsidP="00CB030A">
                            <w:pPr>
                              <w:spacing w:after="0"/>
                              <w:rPr>
                                <w:rFonts w:cs="Arial"/>
                                <w:color w:val="0D0D0D" w:themeColor="text1" w:themeTint="F2"/>
                                <w:sz w:val="18"/>
                                <w:szCs w:val="18"/>
                              </w:rPr>
                            </w:pPr>
                          </w:p>
                          <w:p w14:paraId="0A898D99" w14:textId="77777777" w:rsidR="00CB030A" w:rsidRPr="00B61E70" w:rsidRDefault="00CB030A" w:rsidP="00CB030A">
                            <w:pPr>
                              <w:spacing w:after="0"/>
                              <w:rPr>
                                <w:rFonts w:cs="Arial"/>
                                <w:color w:val="0D0D0D" w:themeColor="text1" w:themeTint="F2"/>
                                <w:sz w:val="18"/>
                                <w:szCs w:val="18"/>
                              </w:rPr>
                            </w:pPr>
                          </w:p>
                          <w:p w14:paraId="5A09E5F8" w14:textId="77777777" w:rsidR="00CB030A" w:rsidRPr="00B61E70" w:rsidRDefault="00CB030A" w:rsidP="00CB030A">
                            <w:pPr>
                              <w:spacing w:after="0"/>
                              <w:rPr>
                                <w:rFonts w:cs="Arial"/>
                                <w:color w:val="0D0D0D" w:themeColor="text1" w:themeTint="F2"/>
                                <w:sz w:val="18"/>
                                <w:szCs w:val="18"/>
                              </w:rPr>
                            </w:pPr>
                          </w:p>
                          <w:p w14:paraId="48C84E8F" w14:textId="77777777" w:rsidR="00CB030A" w:rsidRPr="00B61E70" w:rsidRDefault="00CB030A" w:rsidP="00CB030A">
                            <w:pPr>
                              <w:spacing w:after="0"/>
                              <w:rPr>
                                <w:rFonts w:cs="Arial"/>
                                <w:color w:val="0D0D0D" w:themeColor="text1" w:themeTint="F2"/>
                                <w:sz w:val="18"/>
                                <w:szCs w:val="18"/>
                              </w:rPr>
                            </w:pPr>
                          </w:p>
                          <w:p w14:paraId="477A9A44" w14:textId="77777777" w:rsidR="00CB030A" w:rsidRPr="00B61E70" w:rsidRDefault="00CB030A" w:rsidP="00CB030A">
                            <w:pPr>
                              <w:spacing w:after="0"/>
                              <w:rPr>
                                <w:rFonts w:cs="Arial"/>
                                <w:color w:val="0D0D0D" w:themeColor="text1" w:themeTint="F2"/>
                                <w:sz w:val="18"/>
                                <w:szCs w:val="18"/>
                              </w:rPr>
                            </w:pPr>
                          </w:p>
                          <w:p w14:paraId="457D0622" w14:textId="77777777" w:rsidR="00CB030A" w:rsidRPr="00B61E70" w:rsidRDefault="00CB030A" w:rsidP="00CB030A">
                            <w:pPr>
                              <w:spacing w:after="0"/>
                              <w:rPr>
                                <w:rFonts w:cs="Arial"/>
                                <w:color w:val="0D0D0D" w:themeColor="text1" w:themeTint="F2"/>
                                <w:sz w:val="18"/>
                                <w:szCs w:val="18"/>
                              </w:rPr>
                            </w:pPr>
                          </w:p>
                          <w:p w14:paraId="6B2FE055" w14:textId="77777777" w:rsidR="00CB030A" w:rsidRPr="00B61E70" w:rsidRDefault="00CB030A" w:rsidP="00CB030A">
                            <w:pPr>
                              <w:spacing w:after="0"/>
                              <w:rPr>
                                <w:rFonts w:cs="Arial"/>
                                <w:color w:val="0D0D0D" w:themeColor="text1" w:themeTint="F2"/>
                                <w:sz w:val="18"/>
                                <w:szCs w:val="18"/>
                              </w:rPr>
                            </w:pPr>
                          </w:p>
                          <w:p w14:paraId="26BE028F" w14:textId="77777777" w:rsidR="00CB030A" w:rsidRPr="00B61E70" w:rsidRDefault="00CB030A" w:rsidP="00CB030A">
                            <w:pPr>
                              <w:spacing w:after="0"/>
                              <w:rPr>
                                <w:rFonts w:cs="Arial"/>
                                <w:color w:val="0D0D0D" w:themeColor="text1" w:themeTint="F2"/>
                                <w:sz w:val="18"/>
                                <w:szCs w:val="18"/>
                              </w:rPr>
                            </w:pPr>
                          </w:p>
                          <w:p w14:paraId="08871799" w14:textId="77777777" w:rsidR="008F4B7D" w:rsidRPr="00B61E70" w:rsidRDefault="008F4B7D" w:rsidP="00CB030A">
                            <w:pP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92EA9" id="Rectangle 5" o:spid="_x0000_s1029" style="position:absolute;margin-left:513.55pt;margin-top:10.05pt;width:564.75pt;height:642.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" fillcolor="white [3212]" strokecolor="#548dd4 [1951]" strokeweight="1pt">
                <v:textbox>
                  <w:txbxContent>
                    <w:p w14:paraId="40F5D193" w14:textId="44A144C4" w:rsidR="008F4B7D" w:rsidRPr="00B1784C" w:rsidRDefault="008F4B7D" w:rsidP="00CB030A">
                      <w:pPr>
                        <w:pStyle w:val="NoSpacing"/>
                        <w:jc w:val="center"/>
                        <w:rPr>
                          <w:b/>
                          <w:color w:val="E36C0A" w:themeColor="accent6" w:themeShade="BF"/>
                          <w:sz w:val="24"/>
                          <w:szCs w:val="24"/>
                        </w:rPr>
                      </w:pPr>
                      <w:r>
                        <w:rPr>
                          <w:b/>
                          <w:color w:val="E36C0A" w:themeColor="accent6" w:themeShade="BF"/>
                          <w:sz w:val="24"/>
                          <w:szCs w:val="24"/>
                        </w:rPr>
                        <w:t>KEY RESULTS FOR 201</w:t>
                      </w:r>
                      <w:r w:rsidR="00BC60ED">
                        <w:rPr>
                          <w:b/>
                          <w:color w:val="E36C0A" w:themeColor="accent6" w:themeShade="BF"/>
                          <w:sz w:val="24"/>
                          <w:szCs w:val="24"/>
                        </w:rPr>
                        <w:t>7</w:t>
                      </w:r>
                    </w:p>
                    <w:p w14:paraId="2B274581" w14:textId="47D65F2F" w:rsidR="008F4B7D" w:rsidRPr="00BC60ED" w:rsidRDefault="00CB030A" w:rsidP="00BC60ED">
                      <w:pPr>
                        <w:pStyle w:val="ListParagraph"/>
                        <w:numPr>
                          <w:ilvl w:val="0"/>
                          <w:numId w:val="31"/>
                        </w:numPr>
                        <w:ind w:left="0"/>
                        <w:rPr>
                          <w:rFonts w:cs="Arial"/>
                          <w:color w:val="0D0D0D" w:themeColor="text1" w:themeTint="F2"/>
                          <w:sz w:val="18"/>
                          <w:szCs w:val="18"/>
                        </w:rPr>
                      </w:pPr>
                      <w:r>
                        <w:rPr>
                          <w:rFonts w:asciiTheme="minorHAnsi" w:hAnsiTheme="minorHAnsi" w:cs="Arial"/>
                          <w:b/>
                          <w:iCs/>
                          <w:color w:val="0D0D0D" w:themeColor="text1" w:themeTint="F2"/>
                          <w:sz w:val="18"/>
                          <w:szCs w:val="18"/>
                        </w:rPr>
                        <w:t xml:space="preserve">1. </w:t>
                      </w:r>
                      <w:r w:rsidR="00BC60ED">
                        <w:rPr>
                          <w:rFonts w:asciiTheme="minorHAnsi" w:hAnsiTheme="minorHAnsi" w:cs="Arial"/>
                          <w:b/>
                          <w:iCs/>
                          <w:color w:val="0D0D0D" w:themeColor="text1" w:themeTint="F2"/>
                          <w:sz w:val="18"/>
                          <w:szCs w:val="18"/>
                        </w:rPr>
                        <w:t>Update of the IASC’s 2008 Gender Policy Statement and Creation of Accountability Framework:</w:t>
                      </w:r>
                    </w:p>
                    <w:p w14:paraId="38818AF3" w14:textId="77777777" w:rsidR="00BC60ED" w:rsidRPr="00BC60ED" w:rsidRDefault="00BC60ED" w:rsidP="00BC60ED">
                      <w:pPr>
                        <w:rPr>
                          <w:rFonts w:cs="Arial"/>
                          <w:color w:val="0D0D0D" w:themeColor="text1" w:themeTint="F2"/>
                          <w:sz w:val="18"/>
                          <w:szCs w:val="18"/>
                        </w:rPr>
                      </w:pPr>
                      <w:r w:rsidRPr="00BC60ED">
                        <w:rPr>
                          <w:rFonts w:cs="Arial"/>
                          <w:color w:val="0D0D0D" w:themeColor="text1" w:themeTint="F2"/>
                          <w:sz w:val="18"/>
                          <w:szCs w:val="18"/>
                        </w:rPr>
                        <w:t xml:space="preserve">Following the extensive consultation process across the IASC structures (Principals, WG, Subsidiary Bodies, Global Clusters and field presence) and with other relevant stakeholders, and with the support of the GRG Policy Advisory Group (UN Women, Oxfam, OCHA, WFP, WRC, UNFPA, UNDP and IASC Secretariat), the process for the policy update was completed with the IASC Working Group's endorsement of the new policy and its associated AF in Dec 2017.  </w:t>
                      </w:r>
                    </w:p>
                    <w:p w14:paraId="4002DCF6" w14:textId="77777777" w:rsidR="00BC60ED" w:rsidRPr="00BC60ED" w:rsidRDefault="00BC60ED" w:rsidP="00BC60ED">
                      <w:pPr>
                        <w:rPr>
                          <w:rFonts w:cs="Arial"/>
                          <w:color w:val="0D0D0D" w:themeColor="text1" w:themeTint="F2"/>
                          <w:sz w:val="18"/>
                          <w:szCs w:val="18"/>
                        </w:rPr>
                      </w:pPr>
                      <w:r w:rsidRPr="00BC60ED">
                        <w:rPr>
                          <w:rFonts w:cs="Arial"/>
                          <w:color w:val="0D0D0D" w:themeColor="text1" w:themeTint="F2"/>
                          <w:sz w:val="18"/>
                          <w:szCs w:val="18"/>
                        </w:rPr>
                        <w:t>Whilst maintaining the IASC’s commitment to gender equality and the empowerment of women and girls in humanitarian action and reflecting the recently adopted structural changes of the IASC, the new version of the policy now reflects major developments in humanitarian normative priorities adopted since 2008, such as those developed at the 2016 World Humanitarian Summit (2016), the New York Declaration on Refugees and Migrants (2016), the SDGs (2015) and the Sendai  Disaster Risk Reduction Framework 2015.  Key themes in the policy include humanitarian financing, localization, the humanitarian-development nexus, cash based programming and innovation.</w:t>
                      </w:r>
                    </w:p>
                    <w:p w14:paraId="060E7C4C" w14:textId="614F0A89" w:rsidR="00BC60ED" w:rsidRPr="00BC60ED" w:rsidRDefault="00BC60ED" w:rsidP="00BC60ED">
                      <w:pPr>
                        <w:rPr>
                          <w:rFonts w:cs="Arial"/>
                          <w:color w:val="0D0D0D" w:themeColor="text1" w:themeTint="F2"/>
                          <w:sz w:val="18"/>
                          <w:szCs w:val="18"/>
                        </w:rPr>
                      </w:pPr>
                      <w:r w:rsidRPr="00BC60ED">
                        <w:rPr>
                          <w:rFonts w:cs="Arial"/>
                          <w:color w:val="0D0D0D" w:themeColor="text1" w:themeTint="F2"/>
                          <w:sz w:val="18"/>
                          <w:szCs w:val="18"/>
                        </w:rPr>
                        <w:t>The IASC Gender Accountability Framework is based on the revised policy, and is developed to capture, monitor and measure the performance of the IASC Bodies as per their roles and responsibilities set out in the policy. The IASC Gender Accountability Framework will also measure whether the key standards laid out in the policy are implemented at global and field levels, in order to monitor progress in the implementation of the policy.</w:t>
                      </w:r>
                    </w:p>
                    <w:p w14:paraId="6295021C" w14:textId="16A49413" w:rsidR="00CB030A" w:rsidRPr="00CB030A" w:rsidRDefault="00CB030A" w:rsidP="00CB030A">
                      <w:pPr>
                        <w:pStyle w:val="ListParagraph"/>
                        <w:numPr>
                          <w:ilvl w:val="0"/>
                          <w:numId w:val="31"/>
                        </w:numPr>
                        <w:ind w:left="0"/>
                        <w:rPr>
                          <w:rFonts w:asciiTheme="minorHAnsi" w:hAnsiTheme="minorHAnsi" w:cs="Arial"/>
                          <w:color w:val="0D0D0D" w:themeColor="text1" w:themeTint="F2"/>
                          <w:sz w:val="18"/>
                          <w:szCs w:val="18"/>
                        </w:rPr>
                      </w:pPr>
                      <w:r>
                        <w:rPr>
                          <w:rFonts w:asciiTheme="minorHAnsi" w:hAnsiTheme="minorHAnsi" w:cs="Arial"/>
                          <w:b/>
                          <w:i/>
                          <w:color w:val="0D0D0D" w:themeColor="text1" w:themeTint="F2"/>
                          <w:sz w:val="18"/>
                          <w:szCs w:val="18"/>
                        </w:rPr>
                        <w:t xml:space="preserve">2. </w:t>
                      </w:r>
                      <w:r w:rsidRPr="00CB030A">
                        <w:rPr>
                          <w:rFonts w:asciiTheme="minorHAnsi" w:hAnsiTheme="minorHAnsi" w:cs="Arial"/>
                          <w:b/>
                          <w:i/>
                          <w:color w:val="0D0D0D" w:themeColor="text1" w:themeTint="F2"/>
                          <w:sz w:val="18"/>
                          <w:szCs w:val="18"/>
                        </w:rPr>
                        <w:t>Update of T</w:t>
                      </w:r>
                      <w:r w:rsidRPr="00CB030A">
                        <w:rPr>
                          <w:rFonts w:asciiTheme="minorHAnsi" w:hAnsiTheme="minorHAnsi" w:cs="Calibri"/>
                          <w:b/>
                          <w:i/>
                          <w:color w:val="0D0D0D" w:themeColor="text1" w:themeTint="F2"/>
                          <w:sz w:val="18"/>
                          <w:szCs w:val="18"/>
                        </w:rPr>
                        <w:t>he IASC’s Handbook on Gender in Humanitarian Action</w:t>
                      </w:r>
                    </w:p>
                    <w:p w14:paraId="30CA872F" w14:textId="3B585DBA" w:rsidR="00BC60ED" w:rsidRDefault="00BC60ED" w:rsidP="00BC60ED">
                      <w:pPr>
                        <w:rPr>
                          <w:rFonts w:cs="Arial"/>
                          <w:color w:val="0D0D0D" w:themeColor="text1" w:themeTint="F2"/>
                          <w:sz w:val="18"/>
                          <w:szCs w:val="18"/>
                        </w:rPr>
                      </w:pPr>
                      <w:r w:rsidRPr="00BC60ED">
                        <w:rPr>
                          <w:rFonts w:cs="Arial"/>
                          <w:color w:val="0D0D0D" w:themeColor="text1" w:themeTint="F2"/>
                          <w:sz w:val="18"/>
                          <w:szCs w:val="18"/>
                        </w:rPr>
                        <w:t xml:space="preserve">Field testing of </w:t>
                      </w:r>
                      <w:r>
                        <w:rPr>
                          <w:rFonts w:cs="Arial"/>
                          <w:color w:val="0D0D0D" w:themeColor="text1" w:themeTint="F2"/>
                          <w:sz w:val="18"/>
                          <w:szCs w:val="18"/>
                        </w:rPr>
                        <w:t xml:space="preserve">the </w:t>
                      </w:r>
                      <w:r w:rsidRPr="00BC60ED">
                        <w:rPr>
                          <w:rFonts w:cs="Arial"/>
                          <w:color w:val="0D0D0D" w:themeColor="text1" w:themeTint="F2"/>
                          <w:sz w:val="18"/>
                          <w:szCs w:val="18"/>
                        </w:rPr>
                        <w:t>prototype handbook was conducted in Afghanistan and Ethiopia in April and May of 2017, respectively.  The practical usefulness of the handbook and its content were assessed and reviewed by a wide variety of frontline humanitarian stakeholders, incl. UN, INGOs, LNGOs, govt. etc.  A comprehensive report was developed and shared with the Handbook Steering Committee (UN Women, CARE, WFP, UNFPA, UNHCR, GenCap, Oxfam, Interaction, WRC, OCHA, ECHO) with key recommendations of providing practical working examples of developing prog. plans through assessment, gender analysis and participation through case-studies and best practice on a sector-by sector basis.</w:t>
                      </w:r>
                    </w:p>
                    <w:p w14:paraId="48107512" w14:textId="6A355EA1" w:rsidR="00BC60ED" w:rsidRPr="00BC60ED" w:rsidRDefault="00BC60ED" w:rsidP="00BC60ED">
                      <w:pPr>
                        <w:rPr>
                          <w:rFonts w:eastAsia="Arial Unicode MS" w:cs="Arial"/>
                          <w:color w:val="0D0D0D" w:themeColor="text1" w:themeTint="F2"/>
                          <w:sz w:val="18"/>
                          <w:szCs w:val="18"/>
                          <w:bdr w:val="nil"/>
                          <w:lang w:val="en-US"/>
                        </w:rPr>
                      </w:pPr>
                      <w:r>
                        <w:rPr>
                          <w:rFonts w:cs="Arial"/>
                          <w:color w:val="0D0D0D" w:themeColor="text1" w:themeTint="F2"/>
                          <w:sz w:val="18"/>
                          <w:szCs w:val="18"/>
                        </w:rPr>
                        <w:t>By end of December 2017, the content of the handbook has been completed and sent for copy editing and publication design.  Submission to the Working Group for endorsement will happen in early 2018.</w:t>
                      </w:r>
                    </w:p>
                    <w:p w14:paraId="7173D891" w14:textId="77777777" w:rsidR="00BC60ED" w:rsidRDefault="00CB030A" w:rsidP="00BC60ED">
                      <w:pPr>
                        <w:spacing w:after="0" w:line="240" w:lineRule="auto"/>
                        <w:rPr>
                          <w:rFonts w:cs="Arial"/>
                          <w:color w:val="0D0D0D" w:themeColor="text1" w:themeTint="F2"/>
                          <w:sz w:val="18"/>
                          <w:szCs w:val="18"/>
                        </w:rPr>
                      </w:pPr>
                      <w:r w:rsidRPr="00BC60ED">
                        <w:rPr>
                          <w:rFonts w:cs="Arial"/>
                          <w:b/>
                          <w:i/>
                          <w:color w:val="0D0D0D" w:themeColor="text1" w:themeTint="F2"/>
                          <w:sz w:val="18"/>
                          <w:szCs w:val="18"/>
                        </w:rPr>
                        <w:t>3. ECOSOC Humanitarian Affairs Segment Side-Event</w:t>
                      </w:r>
                    </w:p>
                    <w:p w14:paraId="6A8E1279" w14:textId="77777777" w:rsidR="00BC60ED" w:rsidRDefault="00BC60ED" w:rsidP="00BC60ED">
                      <w:pPr>
                        <w:spacing w:after="0" w:line="240" w:lineRule="auto"/>
                        <w:rPr>
                          <w:rFonts w:cs="Arial"/>
                          <w:color w:val="0D0D0D" w:themeColor="text1" w:themeTint="F2"/>
                          <w:sz w:val="18"/>
                          <w:szCs w:val="18"/>
                        </w:rPr>
                      </w:pPr>
                      <w:r w:rsidRPr="00BC60ED">
                        <w:rPr>
                          <w:rFonts w:cs="Arial"/>
                          <w:color w:val="0D0D0D" w:themeColor="text1" w:themeTint="F2"/>
                          <w:sz w:val="18"/>
                          <w:szCs w:val="18"/>
                        </w:rPr>
                        <w:t xml:space="preserve">The GRG co-hosted a side event at ECOSOC HAS with UN Women and the United Arab Emirates on "Moving from commitments to implementation: women and girls in the context of crisis".  The side event was a forum to discuss internal reforms that the UN and other humanitarian and development agencies should undertake to ensure that (a) the needs and vulnerabilities of women and girls are planned for and met during humanitarian crises and (b) women are empowered as first responders, income generators for their families and instrumental in the development of the resilience of themselves, their households and their communities.  The speakers at the event were Dr. Jemilah Mahmood, Under Secretary General, Partnerships, IFRC; Ms. Joan Timoney, Senior Director of Advocacy and External Relations, Women’s Refugee Commission  on behalf of the IASC Gender Reference Group and Ms. Sonya Ruparel, Deputy Humanitarian Director, ActionAid. </w:t>
                      </w:r>
                    </w:p>
                    <w:p w14:paraId="0EC8D821" w14:textId="77777777" w:rsidR="00BC60ED" w:rsidRDefault="00BC60ED" w:rsidP="00BC60ED">
                      <w:pPr>
                        <w:spacing w:after="0" w:line="240" w:lineRule="auto"/>
                        <w:rPr>
                          <w:rFonts w:cs="Arial"/>
                          <w:color w:val="0D0D0D" w:themeColor="text1" w:themeTint="F2"/>
                          <w:sz w:val="18"/>
                          <w:szCs w:val="18"/>
                        </w:rPr>
                      </w:pPr>
                    </w:p>
                    <w:p w14:paraId="64D23A90" w14:textId="20952920" w:rsidR="00CB030A" w:rsidRPr="00BC60ED" w:rsidRDefault="00BC60ED" w:rsidP="00BC60ED">
                      <w:pPr>
                        <w:spacing w:after="0" w:line="240" w:lineRule="auto"/>
                        <w:rPr>
                          <w:rFonts w:cs="Arial"/>
                          <w:color w:val="0D0D0D" w:themeColor="text1" w:themeTint="F2"/>
                          <w:sz w:val="18"/>
                          <w:szCs w:val="18"/>
                        </w:rPr>
                      </w:pPr>
                      <w:r>
                        <w:rPr>
                          <w:rFonts w:cs="Arial"/>
                          <w:b/>
                          <w:i/>
                          <w:color w:val="0D0D0D" w:themeColor="text1" w:themeTint="F2"/>
                          <w:sz w:val="18"/>
                          <w:szCs w:val="18"/>
                        </w:rPr>
                        <w:t>5. Establish Connections with other IASC Subsidiary Bodies and Re-establish working relationship GenCap</w:t>
                      </w:r>
                    </w:p>
                    <w:p w14:paraId="69D47420" w14:textId="77777777" w:rsidR="00BC60ED" w:rsidRDefault="00BC60ED" w:rsidP="00CB030A">
                      <w:pPr>
                        <w:spacing w:after="0"/>
                        <w:rPr>
                          <w:rFonts w:cs="Arial"/>
                          <w:color w:val="0D0D0D" w:themeColor="text1" w:themeTint="F2"/>
                          <w:sz w:val="18"/>
                          <w:szCs w:val="18"/>
                        </w:rPr>
                      </w:pPr>
                      <w:r w:rsidRPr="00BC60ED">
                        <w:rPr>
                          <w:rFonts w:cs="Arial"/>
                          <w:color w:val="0D0D0D" w:themeColor="text1" w:themeTint="F2"/>
                          <w:sz w:val="18"/>
                          <w:szCs w:val="18"/>
                        </w:rPr>
                        <w:t>Connections to IASC subsidiary bodies initiated thro</w:t>
                      </w:r>
                      <w:r>
                        <w:rPr>
                          <w:rFonts w:cs="Arial"/>
                          <w:color w:val="0D0D0D" w:themeColor="text1" w:themeTint="F2"/>
                          <w:sz w:val="18"/>
                          <w:szCs w:val="18"/>
                        </w:rPr>
                        <w:t>ugh the IASC subsidiary body co-</w:t>
                      </w:r>
                      <w:r w:rsidRPr="00BC60ED">
                        <w:rPr>
                          <w:rFonts w:cs="Arial"/>
                          <w:color w:val="0D0D0D" w:themeColor="text1" w:themeTint="F2"/>
                          <w:sz w:val="18"/>
                          <w:szCs w:val="18"/>
                        </w:rPr>
                        <w:t>chairs</w:t>
                      </w:r>
                      <w:r>
                        <w:rPr>
                          <w:rFonts w:cs="Arial"/>
                          <w:color w:val="0D0D0D" w:themeColor="text1" w:themeTint="F2"/>
                          <w:sz w:val="18"/>
                          <w:szCs w:val="18"/>
                        </w:rPr>
                        <w:t>’</w:t>
                      </w:r>
                      <w:r w:rsidRPr="00BC60ED">
                        <w:rPr>
                          <w:rFonts w:cs="Arial"/>
                          <w:color w:val="0D0D0D" w:themeColor="text1" w:themeTint="F2"/>
                          <w:sz w:val="18"/>
                          <w:szCs w:val="18"/>
                        </w:rPr>
                        <w:t xml:space="preserve"> meeting. Engagement with HFTT established. Input to TOR for HDN completed.  </w:t>
                      </w:r>
                    </w:p>
                    <w:p w14:paraId="117D9219" w14:textId="77777777" w:rsidR="00BC60ED" w:rsidRDefault="00BC60ED" w:rsidP="00CB030A">
                      <w:pPr>
                        <w:spacing w:after="0"/>
                        <w:rPr>
                          <w:rFonts w:cs="Arial"/>
                          <w:color w:val="0D0D0D" w:themeColor="text1" w:themeTint="F2"/>
                          <w:sz w:val="18"/>
                          <w:szCs w:val="18"/>
                        </w:rPr>
                      </w:pPr>
                    </w:p>
                    <w:p w14:paraId="7589F69E" w14:textId="1677EAF6" w:rsidR="008778EA" w:rsidRDefault="00BC60ED" w:rsidP="00CB030A">
                      <w:pPr>
                        <w:spacing w:after="0"/>
                        <w:rPr>
                          <w:rFonts w:cs="Arial"/>
                          <w:color w:val="0D0D0D" w:themeColor="text1" w:themeTint="F2"/>
                          <w:sz w:val="18"/>
                          <w:szCs w:val="18"/>
                        </w:rPr>
                      </w:pPr>
                      <w:r w:rsidRPr="00BC60ED">
                        <w:rPr>
                          <w:rFonts w:cs="Arial"/>
                          <w:color w:val="0D0D0D" w:themeColor="text1" w:themeTint="F2"/>
                          <w:sz w:val="18"/>
                          <w:szCs w:val="18"/>
                        </w:rPr>
                        <w:t>GRG co-chair (UN Women) engaged extensively with GenCap with input to the Strategic Review and to the Strategic Framework.</w:t>
                      </w:r>
                    </w:p>
                    <w:p w14:paraId="308A746D" w14:textId="77777777" w:rsidR="00CB030A" w:rsidRPr="00B61E70" w:rsidRDefault="00CB030A" w:rsidP="00CB030A">
                      <w:pPr>
                        <w:spacing w:after="0"/>
                        <w:rPr>
                          <w:rFonts w:cs="Arial"/>
                          <w:color w:val="0D0D0D" w:themeColor="text1" w:themeTint="F2"/>
                          <w:sz w:val="18"/>
                          <w:szCs w:val="18"/>
                        </w:rPr>
                      </w:pPr>
                      <w:bookmarkStart w:id="1" w:name="_GoBack"/>
                      <w:bookmarkEnd w:id="1"/>
                    </w:p>
                    <w:p w14:paraId="4AA1462D" w14:textId="77777777" w:rsidR="00CB030A" w:rsidRPr="00B61E70" w:rsidRDefault="00CB030A" w:rsidP="00CB030A">
                      <w:pPr>
                        <w:spacing w:after="0"/>
                        <w:rPr>
                          <w:rFonts w:cs="Arial"/>
                          <w:color w:val="0D0D0D" w:themeColor="text1" w:themeTint="F2"/>
                          <w:sz w:val="18"/>
                          <w:szCs w:val="18"/>
                        </w:rPr>
                      </w:pPr>
                    </w:p>
                    <w:p w14:paraId="280DF840" w14:textId="77777777" w:rsidR="00CB030A" w:rsidRPr="00B61E70" w:rsidRDefault="00CB030A" w:rsidP="00CB030A">
                      <w:pPr>
                        <w:spacing w:after="0"/>
                        <w:rPr>
                          <w:rFonts w:cs="Arial"/>
                          <w:color w:val="0D0D0D" w:themeColor="text1" w:themeTint="F2"/>
                          <w:sz w:val="18"/>
                          <w:szCs w:val="18"/>
                        </w:rPr>
                      </w:pPr>
                    </w:p>
                    <w:p w14:paraId="3AF9892A" w14:textId="77777777" w:rsidR="00CB030A" w:rsidRPr="00B61E70" w:rsidRDefault="00CB030A" w:rsidP="00CB030A">
                      <w:pPr>
                        <w:spacing w:after="0"/>
                        <w:rPr>
                          <w:rFonts w:cs="Arial"/>
                          <w:color w:val="0D0D0D" w:themeColor="text1" w:themeTint="F2"/>
                          <w:sz w:val="18"/>
                          <w:szCs w:val="18"/>
                        </w:rPr>
                      </w:pPr>
                    </w:p>
                    <w:p w14:paraId="120FE8E7" w14:textId="77777777" w:rsidR="00CB030A" w:rsidRPr="00B61E70" w:rsidRDefault="00CB030A" w:rsidP="00CB030A">
                      <w:pPr>
                        <w:spacing w:after="0"/>
                        <w:rPr>
                          <w:rFonts w:cs="Arial"/>
                          <w:color w:val="0D0D0D" w:themeColor="text1" w:themeTint="F2"/>
                          <w:sz w:val="18"/>
                          <w:szCs w:val="18"/>
                        </w:rPr>
                      </w:pPr>
                    </w:p>
                    <w:p w14:paraId="076694D4" w14:textId="77777777" w:rsidR="00CB030A" w:rsidRPr="00B61E70" w:rsidRDefault="00CB030A" w:rsidP="00CB030A">
                      <w:pPr>
                        <w:spacing w:after="0"/>
                        <w:rPr>
                          <w:rFonts w:cs="Arial"/>
                          <w:color w:val="0D0D0D" w:themeColor="text1" w:themeTint="F2"/>
                          <w:sz w:val="18"/>
                          <w:szCs w:val="18"/>
                        </w:rPr>
                      </w:pPr>
                    </w:p>
                    <w:p w14:paraId="05683142" w14:textId="77777777" w:rsidR="00CB030A" w:rsidRPr="00B61E70" w:rsidRDefault="00CB030A" w:rsidP="00CB030A">
                      <w:pPr>
                        <w:spacing w:after="0"/>
                        <w:rPr>
                          <w:rFonts w:cs="Arial"/>
                          <w:color w:val="0D0D0D" w:themeColor="text1" w:themeTint="F2"/>
                          <w:sz w:val="18"/>
                          <w:szCs w:val="18"/>
                        </w:rPr>
                      </w:pPr>
                    </w:p>
                    <w:p w14:paraId="093652D9" w14:textId="77777777" w:rsidR="00CB030A" w:rsidRPr="00B61E70" w:rsidRDefault="00CB030A" w:rsidP="00CB030A">
                      <w:pPr>
                        <w:spacing w:after="0"/>
                        <w:rPr>
                          <w:rFonts w:cs="Arial"/>
                          <w:color w:val="0D0D0D" w:themeColor="text1" w:themeTint="F2"/>
                          <w:sz w:val="18"/>
                          <w:szCs w:val="18"/>
                        </w:rPr>
                      </w:pPr>
                    </w:p>
                    <w:p w14:paraId="04150635" w14:textId="77777777" w:rsidR="00CB030A" w:rsidRPr="00B61E70" w:rsidRDefault="00CB030A" w:rsidP="00CB030A">
                      <w:pPr>
                        <w:spacing w:after="0"/>
                        <w:rPr>
                          <w:rFonts w:cs="Arial"/>
                          <w:color w:val="0D0D0D" w:themeColor="text1" w:themeTint="F2"/>
                          <w:sz w:val="18"/>
                          <w:szCs w:val="18"/>
                        </w:rPr>
                      </w:pPr>
                    </w:p>
                    <w:p w14:paraId="359BDBA6" w14:textId="77777777" w:rsidR="00CB030A" w:rsidRPr="00B61E70" w:rsidRDefault="00CB030A" w:rsidP="00CB030A">
                      <w:pPr>
                        <w:spacing w:after="0"/>
                        <w:rPr>
                          <w:rFonts w:cs="Arial"/>
                          <w:color w:val="0D0D0D" w:themeColor="text1" w:themeTint="F2"/>
                          <w:sz w:val="18"/>
                          <w:szCs w:val="18"/>
                        </w:rPr>
                      </w:pPr>
                    </w:p>
                    <w:p w14:paraId="37463237" w14:textId="77777777" w:rsidR="00CB030A" w:rsidRPr="00B61E70" w:rsidRDefault="00CB030A" w:rsidP="00CB030A">
                      <w:pPr>
                        <w:spacing w:after="0"/>
                        <w:rPr>
                          <w:rFonts w:cs="Arial"/>
                          <w:color w:val="0D0D0D" w:themeColor="text1" w:themeTint="F2"/>
                          <w:sz w:val="18"/>
                          <w:szCs w:val="18"/>
                        </w:rPr>
                      </w:pPr>
                    </w:p>
                    <w:p w14:paraId="1B0149B1" w14:textId="77777777" w:rsidR="00CB030A" w:rsidRPr="00B61E70" w:rsidRDefault="00CB030A" w:rsidP="00CB030A">
                      <w:pPr>
                        <w:spacing w:after="0"/>
                        <w:rPr>
                          <w:rFonts w:cs="Arial"/>
                          <w:color w:val="0D0D0D" w:themeColor="text1" w:themeTint="F2"/>
                          <w:sz w:val="18"/>
                          <w:szCs w:val="18"/>
                        </w:rPr>
                      </w:pPr>
                    </w:p>
                    <w:p w14:paraId="1B74B962" w14:textId="77777777" w:rsidR="00CB030A" w:rsidRPr="00B61E70" w:rsidRDefault="00CB030A" w:rsidP="00CB030A">
                      <w:pPr>
                        <w:spacing w:after="0"/>
                        <w:rPr>
                          <w:rFonts w:cs="Arial"/>
                          <w:color w:val="0D0D0D" w:themeColor="text1" w:themeTint="F2"/>
                          <w:sz w:val="18"/>
                          <w:szCs w:val="18"/>
                        </w:rPr>
                      </w:pPr>
                    </w:p>
                    <w:p w14:paraId="67F8B346" w14:textId="77777777" w:rsidR="00CB030A" w:rsidRPr="00B61E70" w:rsidRDefault="00CB030A" w:rsidP="00CB030A">
                      <w:pPr>
                        <w:spacing w:after="0"/>
                        <w:rPr>
                          <w:rFonts w:cs="Arial"/>
                          <w:color w:val="0D0D0D" w:themeColor="text1" w:themeTint="F2"/>
                          <w:sz w:val="18"/>
                          <w:szCs w:val="18"/>
                        </w:rPr>
                      </w:pPr>
                    </w:p>
                    <w:p w14:paraId="4B0279FE" w14:textId="77777777" w:rsidR="00CB030A" w:rsidRPr="00B61E70" w:rsidRDefault="00CB030A" w:rsidP="00CB030A">
                      <w:pPr>
                        <w:spacing w:after="0"/>
                        <w:rPr>
                          <w:rFonts w:cs="Arial"/>
                          <w:color w:val="0D0D0D" w:themeColor="text1" w:themeTint="F2"/>
                          <w:sz w:val="18"/>
                          <w:szCs w:val="18"/>
                        </w:rPr>
                      </w:pPr>
                    </w:p>
                    <w:p w14:paraId="390EDEE3" w14:textId="77777777" w:rsidR="00CB030A" w:rsidRPr="00B61E70" w:rsidRDefault="00CB030A" w:rsidP="00CB030A">
                      <w:pPr>
                        <w:spacing w:after="0"/>
                        <w:rPr>
                          <w:rFonts w:cs="Arial"/>
                          <w:color w:val="0D0D0D" w:themeColor="text1" w:themeTint="F2"/>
                          <w:sz w:val="18"/>
                          <w:szCs w:val="18"/>
                        </w:rPr>
                      </w:pPr>
                    </w:p>
                    <w:p w14:paraId="0A898D99" w14:textId="77777777" w:rsidR="00CB030A" w:rsidRPr="00B61E70" w:rsidRDefault="00CB030A" w:rsidP="00CB030A">
                      <w:pPr>
                        <w:spacing w:after="0"/>
                        <w:rPr>
                          <w:rFonts w:cs="Arial"/>
                          <w:color w:val="0D0D0D" w:themeColor="text1" w:themeTint="F2"/>
                          <w:sz w:val="18"/>
                          <w:szCs w:val="18"/>
                        </w:rPr>
                      </w:pPr>
                    </w:p>
                    <w:p w14:paraId="5A09E5F8" w14:textId="77777777" w:rsidR="00CB030A" w:rsidRPr="00B61E70" w:rsidRDefault="00CB030A" w:rsidP="00CB030A">
                      <w:pPr>
                        <w:spacing w:after="0"/>
                        <w:rPr>
                          <w:rFonts w:cs="Arial"/>
                          <w:color w:val="0D0D0D" w:themeColor="text1" w:themeTint="F2"/>
                          <w:sz w:val="18"/>
                          <w:szCs w:val="18"/>
                        </w:rPr>
                      </w:pPr>
                    </w:p>
                    <w:p w14:paraId="48C84E8F" w14:textId="77777777" w:rsidR="00CB030A" w:rsidRPr="00B61E70" w:rsidRDefault="00CB030A" w:rsidP="00CB030A">
                      <w:pPr>
                        <w:spacing w:after="0"/>
                        <w:rPr>
                          <w:rFonts w:cs="Arial"/>
                          <w:color w:val="0D0D0D" w:themeColor="text1" w:themeTint="F2"/>
                          <w:sz w:val="18"/>
                          <w:szCs w:val="18"/>
                        </w:rPr>
                      </w:pPr>
                    </w:p>
                    <w:p w14:paraId="477A9A44" w14:textId="77777777" w:rsidR="00CB030A" w:rsidRPr="00B61E70" w:rsidRDefault="00CB030A" w:rsidP="00CB030A">
                      <w:pPr>
                        <w:spacing w:after="0"/>
                        <w:rPr>
                          <w:rFonts w:cs="Arial"/>
                          <w:color w:val="0D0D0D" w:themeColor="text1" w:themeTint="F2"/>
                          <w:sz w:val="18"/>
                          <w:szCs w:val="18"/>
                        </w:rPr>
                      </w:pPr>
                    </w:p>
                    <w:p w14:paraId="457D0622" w14:textId="77777777" w:rsidR="00CB030A" w:rsidRPr="00B61E70" w:rsidRDefault="00CB030A" w:rsidP="00CB030A">
                      <w:pPr>
                        <w:spacing w:after="0"/>
                        <w:rPr>
                          <w:rFonts w:cs="Arial"/>
                          <w:color w:val="0D0D0D" w:themeColor="text1" w:themeTint="F2"/>
                          <w:sz w:val="18"/>
                          <w:szCs w:val="18"/>
                        </w:rPr>
                      </w:pPr>
                    </w:p>
                    <w:p w14:paraId="6B2FE055" w14:textId="77777777" w:rsidR="00CB030A" w:rsidRPr="00B61E70" w:rsidRDefault="00CB030A" w:rsidP="00CB030A">
                      <w:pPr>
                        <w:spacing w:after="0"/>
                        <w:rPr>
                          <w:rFonts w:cs="Arial"/>
                          <w:color w:val="0D0D0D" w:themeColor="text1" w:themeTint="F2"/>
                          <w:sz w:val="18"/>
                          <w:szCs w:val="18"/>
                        </w:rPr>
                      </w:pPr>
                    </w:p>
                    <w:p w14:paraId="26BE028F" w14:textId="77777777" w:rsidR="00CB030A" w:rsidRPr="00B61E70" w:rsidRDefault="00CB030A" w:rsidP="00CB030A">
                      <w:pPr>
                        <w:spacing w:after="0"/>
                        <w:rPr>
                          <w:rFonts w:cs="Arial"/>
                          <w:color w:val="0D0D0D" w:themeColor="text1" w:themeTint="F2"/>
                          <w:sz w:val="18"/>
                          <w:szCs w:val="18"/>
                        </w:rPr>
                      </w:pPr>
                    </w:p>
                    <w:p w14:paraId="08871799" w14:textId="77777777" w:rsidR="008F4B7D" w:rsidRPr="00B61E70" w:rsidRDefault="008F4B7D" w:rsidP="00CB030A">
                      <w:pPr>
                        <w:rPr>
                          <w:color w:val="0D0D0D" w:themeColor="text1" w:themeTint="F2"/>
                        </w:rPr>
                      </w:pPr>
                    </w:p>
                  </w:txbxContent>
                </v:textbox>
                <w10:wrap anchorx="margin"/>
              </v:rect>
            </w:pict>
          </mc:Fallback>
        </mc:AlternateContent>
      </w:r>
    </w:p>
    <w:p w14:paraId="066A76FA" w14:textId="5109C2EC" w:rsidR="00B1784C" w:rsidRPr="00B1784C" w:rsidRDefault="00B1784C" w:rsidP="00861449">
      <w:pPr>
        <w:spacing w:after="0" w:line="240" w:lineRule="auto"/>
        <w:rPr>
          <w:rFonts w:ascii="Calibri" w:hAnsi="Calibri" w:cs="Calibri"/>
          <w:bCs/>
          <w:iCs/>
        </w:rPr>
      </w:pPr>
    </w:p>
    <w:p w14:paraId="5229BFF3" w14:textId="11AEC8FB" w:rsidR="00B1784C" w:rsidRDefault="00B1784C" w:rsidP="00861449">
      <w:pPr>
        <w:spacing w:after="0" w:line="240" w:lineRule="auto"/>
        <w:rPr>
          <w:rFonts w:ascii="Calibri" w:hAnsi="Calibri" w:cs="Calibri"/>
          <w:b/>
          <w:i/>
        </w:rPr>
      </w:pPr>
    </w:p>
    <w:p w14:paraId="26B5C131" w14:textId="7EE91DE0" w:rsidR="00B1784C" w:rsidRDefault="00B1784C" w:rsidP="00861449">
      <w:pPr>
        <w:spacing w:after="0" w:line="240" w:lineRule="auto"/>
        <w:rPr>
          <w:rFonts w:ascii="Calibri" w:hAnsi="Calibri" w:cs="Calibri"/>
          <w:b/>
          <w:i/>
        </w:rPr>
      </w:pPr>
    </w:p>
    <w:p w14:paraId="25C14E91" w14:textId="1712214A" w:rsidR="00B1784C" w:rsidRDefault="00B1784C" w:rsidP="00861449">
      <w:pPr>
        <w:spacing w:after="0" w:line="240" w:lineRule="auto"/>
        <w:rPr>
          <w:rFonts w:ascii="Calibri" w:hAnsi="Calibri" w:cs="Calibri"/>
          <w:b/>
          <w:i/>
        </w:rPr>
      </w:pPr>
    </w:p>
    <w:p w14:paraId="03EFDB62" w14:textId="64AE91F6" w:rsidR="00B1784C" w:rsidRDefault="00B1784C" w:rsidP="00861449">
      <w:pPr>
        <w:spacing w:after="0" w:line="240" w:lineRule="auto"/>
        <w:rPr>
          <w:rFonts w:ascii="Calibri" w:hAnsi="Calibri" w:cs="Calibri"/>
          <w:b/>
          <w:i/>
        </w:rPr>
      </w:pPr>
    </w:p>
    <w:p w14:paraId="23BFF5C0" w14:textId="1F383E4E" w:rsidR="00B1784C" w:rsidRDefault="00B1784C" w:rsidP="00861449">
      <w:pPr>
        <w:spacing w:after="0" w:line="240" w:lineRule="auto"/>
        <w:rPr>
          <w:rFonts w:ascii="Calibri" w:hAnsi="Calibri" w:cs="Calibri"/>
          <w:b/>
          <w:i/>
        </w:rPr>
      </w:pPr>
    </w:p>
    <w:p w14:paraId="3159A8BA" w14:textId="77777777" w:rsidR="008F4B7D" w:rsidRDefault="008F4B7D" w:rsidP="00861449">
      <w:pPr>
        <w:spacing w:after="0" w:line="240" w:lineRule="auto"/>
        <w:rPr>
          <w:rFonts w:ascii="Calibri" w:hAnsi="Calibri" w:cs="Calibri"/>
          <w:b/>
          <w:i/>
        </w:rPr>
      </w:pPr>
    </w:p>
    <w:p w14:paraId="57AAB844" w14:textId="77777777" w:rsidR="008F4B7D" w:rsidRDefault="008F4B7D" w:rsidP="00861449">
      <w:pPr>
        <w:spacing w:after="0" w:line="240" w:lineRule="auto"/>
        <w:rPr>
          <w:rFonts w:ascii="Calibri" w:hAnsi="Calibri" w:cs="Calibri"/>
          <w:b/>
          <w:i/>
        </w:rPr>
      </w:pPr>
    </w:p>
    <w:p w14:paraId="4B6BFA98" w14:textId="77777777" w:rsidR="008F4B7D" w:rsidRDefault="008F4B7D" w:rsidP="00861449">
      <w:pPr>
        <w:spacing w:after="0" w:line="240" w:lineRule="auto"/>
        <w:rPr>
          <w:rFonts w:ascii="Calibri" w:hAnsi="Calibri" w:cs="Calibri"/>
          <w:b/>
          <w:i/>
        </w:rPr>
      </w:pPr>
    </w:p>
    <w:p w14:paraId="087976A8" w14:textId="77777777" w:rsidR="008F4B7D" w:rsidRDefault="008F4B7D" w:rsidP="00861449">
      <w:pPr>
        <w:spacing w:after="0" w:line="240" w:lineRule="auto"/>
        <w:rPr>
          <w:rFonts w:ascii="Calibri" w:hAnsi="Calibri" w:cs="Calibri"/>
          <w:b/>
          <w:i/>
        </w:rPr>
      </w:pPr>
    </w:p>
    <w:p w14:paraId="36C9D1EA" w14:textId="77777777" w:rsidR="008F4B7D" w:rsidRDefault="008F4B7D" w:rsidP="00861449">
      <w:pPr>
        <w:spacing w:after="0" w:line="240" w:lineRule="auto"/>
        <w:rPr>
          <w:rFonts w:ascii="Calibri" w:hAnsi="Calibri" w:cs="Calibri"/>
          <w:b/>
          <w:i/>
        </w:rPr>
      </w:pPr>
    </w:p>
    <w:p w14:paraId="7786D166" w14:textId="77777777" w:rsidR="008F4B7D" w:rsidRDefault="008F4B7D" w:rsidP="00861449">
      <w:pPr>
        <w:spacing w:after="0" w:line="240" w:lineRule="auto"/>
        <w:rPr>
          <w:rFonts w:ascii="Calibri" w:hAnsi="Calibri" w:cs="Calibri"/>
          <w:b/>
          <w:i/>
        </w:rPr>
      </w:pPr>
    </w:p>
    <w:p w14:paraId="0A1C3CA1" w14:textId="77777777" w:rsidR="008F4B7D" w:rsidRDefault="008F4B7D" w:rsidP="00861449">
      <w:pPr>
        <w:spacing w:after="0" w:line="240" w:lineRule="auto"/>
        <w:rPr>
          <w:rFonts w:ascii="Calibri" w:hAnsi="Calibri" w:cs="Calibri"/>
          <w:b/>
          <w:i/>
        </w:rPr>
      </w:pPr>
    </w:p>
    <w:p w14:paraId="784EA8A7" w14:textId="77777777" w:rsidR="008F4B7D" w:rsidRDefault="008F4B7D" w:rsidP="00861449">
      <w:pPr>
        <w:spacing w:after="0" w:line="240" w:lineRule="auto"/>
        <w:rPr>
          <w:rFonts w:ascii="Calibri" w:hAnsi="Calibri" w:cs="Calibri"/>
          <w:b/>
          <w:i/>
        </w:rPr>
      </w:pPr>
    </w:p>
    <w:p w14:paraId="7CA90966" w14:textId="77777777" w:rsidR="008F4B7D" w:rsidRDefault="008F4B7D" w:rsidP="00861449">
      <w:pPr>
        <w:spacing w:after="0" w:line="240" w:lineRule="auto"/>
        <w:rPr>
          <w:rFonts w:ascii="Calibri" w:hAnsi="Calibri" w:cs="Calibri"/>
          <w:b/>
          <w:i/>
        </w:rPr>
      </w:pPr>
    </w:p>
    <w:p w14:paraId="7BDA7C45" w14:textId="77777777" w:rsidR="008F4B7D" w:rsidRDefault="008F4B7D" w:rsidP="00861449">
      <w:pPr>
        <w:spacing w:after="0" w:line="240" w:lineRule="auto"/>
        <w:rPr>
          <w:rFonts w:ascii="Calibri" w:hAnsi="Calibri" w:cs="Calibri"/>
          <w:b/>
          <w:i/>
        </w:rPr>
      </w:pPr>
    </w:p>
    <w:p w14:paraId="07DE6AC4" w14:textId="77777777" w:rsidR="008F4B7D" w:rsidRDefault="008F4B7D" w:rsidP="00861449">
      <w:pPr>
        <w:spacing w:after="0" w:line="240" w:lineRule="auto"/>
        <w:rPr>
          <w:rFonts w:ascii="Calibri" w:hAnsi="Calibri" w:cs="Calibri"/>
          <w:b/>
          <w:i/>
        </w:rPr>
      </w:pPr>
    </w:p>
    <w:p w14:paraId="7AB292E1" w14:textId="77777777" w:rsidR="008F4B7D" w:rsidRDefault="008F4B7D" w:rsidP="00861449">
      <w:pPr>
        <w:spacing w:after="0" w:line="240" w:lineRule="auto"/>
        <w:rPr>
          <w:rFonts w:ascii="Calibri" w:hAnsi="Calibri" w:cs="Calibri"/>
          <w:b/>
          <w:i/>
        </w:rPr>
      </w:pPr>
    </w:p>
    <w:p w14:paraId="2FB9ABFD" w14:textId="77777777" w:rsidR="008F4B7D" w:rsidRDefault="008F4B7D" w:rsidP="00861449">
      <w:pPr>
        <w:spacing w:after="0" w:line="240" w:lineRule="auto"/>
        <w:rPr>
          <w:rFonts w:ascii="Calibri" w:hAnsi="Calibri" w:cs="Calibri"/>
          <w:b/>
          <w:i/>
        </w:rPr>
      </w:pPr>
    </w:p>
    <w:p w14:paraId="0107D245" w14:textId="77777777" w:rsidR="008F4B7D" w:rsidRDefault="008F4B7D" w:rsidP="00861449">
      <w:pPr>
        <w:spacing w:after="0" w:line="240" w:lineRule="auto"/>
        <w:rPr>
          <w:rFonts w:ascii="Calibri" w:hAnsi="Calibri" w:cs="Calibri"/>
          <w:b/>
          <w:i/>
        </w:rPr>
      </w:pPr>
    </w:p>
    <w:p w14:paraId="241A4DE0" w14:textId="77777777" w:rsidR="008F4B7D" w:rsidRDefault="008F4B7D" w:rsidP="00861449">
      <w:pPr>
        <w:spacing w:after="0" w:line="240" w:lineRule="auto"/>
        <w:rPr>
          <w:rFonts w:ascii="Calibri" w:hAnsi="Calibri" w:cs="Calibri"/>
          <w:b/>
          <w:i/>
        </w:rPr>
      </w:pPr>
    </w:p>
    <w:p w14:paraId="202A55AE" w14:textId="77777777" w:rsidR="008F4B7D" w:rsidRDefault="008F4B7D" w:rsidP="00861449">
      <w:pPr>
        <w:spacing w:after="0" w:line="240" w:lineRule="auto"/>
        <w:rPr>
          <w:rFonts w:ascii="Calibri" w:hAnsi="Calibri" w:cs="Calibri"/>
          <w:b/>
          <w:i/>
        </w:rPr>
      </w:pPr>
    </w:p>
    <w:p w14:paraId="1325C83F" w14:textId="77777777" w:rsidR="008F4B7D" w:rsidRDefault="008F4B7D" w:rsidP="00861449">
      <w:pPr>
        <w:spacing w:after="0" w:line="240" w:lineRule="auto"/>
        <w:rPr>
          <w:rFonts w:ascii="Calibri" w:hAnsi="Calibri" w:cs="Calibri"/>
          <w:b/>
          <w:i/>
        </w:rPr>
      </w:pPr>
    </w:p>
    <w:p w14:paraId="2B7FD46B" w14:textId="77777777" w:rsidR="008F4B7D" w:rsidRDefault="008F4B7D" w:rsidP="00861449">
      <w:pPr>
        <w:spacing w:after="0" w:line="240" w:lineRule="auto"/>
        <w:rPr>
          <w:rFonts w:ascii="Calibri" w:hAnsi="Calibri" w:cs="Calibri"/>
          <w:b/>
          <w:i/>
        </w:rPr>
      </w:pPr>
    </w:p>
    <w:p w14:paraId="6204DF8D" w14:textId="77777777" w:rsidR="008F4B7D" w:rsidRDefault="008F4B7D" w:rsidP="00861449">
      <w:pPr>
        <w:spacing w:after="0" w:line="240" w:lineRule="auto"/>
        <w:rPr>
          <w:rFonts w:ascii="Calibri" w:hAnsi="Calibri" w:cs="Calibri"/>
          <w:b/>
          <w:i/>
        </w:rPr>
      </w:pPr>
    </w:p>
    <w:p w14:paraId="70012223" w14:textId="77777777" w:rsidR="008F4B7D" w:rsidRDefault="008F4B7D" w:rsidP="00861449">
      <w:pPr>
        <w:spacing w:after="0" w:line="240" w:lineRule="auto"/>
        <w:rPr>
          <w:rFonts w:ascii="Calibri" w:hAnsi="Calibri" w:cs="Calibri"/>
          <w:b/>
          <w:i/>
        </w:rPr>
      </w:pPr>
    </w:p>
    <w:p w14:paraId="76878F40" w14:textId="77777777" w:rsidR="008F4B7D" w:rsidRDefault="008F4B7D" w:rsidP="00861449">
      <w:pPr>
        <w:spacing w:after="0" w:line="240" w:lineRule="auto"/>
        <w:rPr>
          <w:rFonts w:ascii="Calibri" w:hAnsi="Calibri" w:cs="Calibri"/>
          <w:b/>
          <w:i/>
        </w:rPr>
      </w:pPr>
    </w:p>
    <w:p w14:paraId="498F71E0" w14:textId="77777777" w:rsidR="008F4B7D" w:rsidRDefault="008F4B7D" w:rsidP="00861449">
      <w:pPr>
        <w:spacing w:after="0" w:line="240" w:lineRule="auto"/>
        <w:rPr>
          <w:rFonts w:ascii="Calibri" w:hAnsi="Calibri" w:cs="Calibri"/>
          <w:b/>
          <w:i/>
        </w:rPr>
      </w:pPr>
    </w:p>
    <w:p w14:paraId="1F10804F" w14:textId="77777777" w:rsidR="008F4B7D" w:rsidRDefault="008F4B7D" w:rsidP="00861449">
      <w:pPr>
        <w:spacing w:after="0" w:line="240" w:lineRule="auto"/>
        <w:rPr>
          <w:rFonts w:ascii="Calibri" w:hAnsi="Calibri" w:cs="Calibri"/>
          <w:b/>
          <w:i/>
        </w:rPr>
      </w:pPr>
    </w:p>
    <w:p w14:paraId="571719AF" w14:textId="77777777" w:rsidR="008F4B7D" w:rsidRDefault="008F4B7D" w:rsidP="00861449">
      <w:pPr>
        <w:spacing w:after="0" w:line="240" w:lineRule="auto"/>
        <w:rPr>
          <w:rFonts w:ascii="Calibri" w:hAnsi="Calibri" w:cs="Calibri"/>
          <w:b/>
          <w:i/>
        </w:rPr>
      </w:pPr>
    </w:p>
    <w:p w14:paraId="2C413740" w14:textId="77777777" w:rsidR="008F4B7D" w:rsidRDefault="008F4B7D" w:rsidP="00861449">
      <w:pPr>
        <w:spacing w:after="0" w:line="240" w:lineRule="auto"/>
        <w:rPr>
          <w:rFonts w:ascii="Calibri" w:hAnsi="Calibri" w:cs="Calibri"/>
          <w:b/>
          <w:i/>
        </w:rPr>
      </w:pPr>
    </w:p>
    <w:p w14:paraId="5CF16292" w14:textId="77777777" w:rsidR="008F4B7D" w:rsidRDefault="008F4B7D" w:rsidP="00861449">
      <w:pPr>
        <w:spacing w:after="0" w:line="240" w:lineRule="auto"/>
        <w:rPr>
          <w:rFonts w:ascii="Calibri" w:hAnsi="Calibri" w:cs="Calibri"/>
          <w:b/>
          <w:i/>
        </w:rPr>
      </w:pPr>
    </w:p>
    <w:p w14:paraId="335F7074" w14:textId="77777777" w:rsidR="008F4B7D" w:rsidRDefault="008F4B7D" w:rsidP="00861449">
      <w:pPr>
        <w:spacing w:after="0" w:line="240" w:lineRule="auto"/>
        <w:rPr>
          <w:rFonts w:ascii="Calibri" w:hAnsi="Calibri" w:cs="Calibri"/>
          <w:b/>
          <w:i/>
        </w:rPr>
      </w:pPr>
    </w:p>
    <w:p w14:paraId="6F69DDD1" w14:textId="77777777" w:rsidR="008F4B7D" w:rsidRDefault="008F4B7D" w:rsidP="00861449">
      <w:pPr>
        <w:spacing w:after="0" w:line="240" w:lineRule="auto"/>
        <w:rPr>
          <w:rFonts w:ascii="Calibri" w:hAnsi="Calibri" w:cs="Calibri"/>
          <w:b/>
          <w:i/>
        </w:rPr>
      </w:pPr>
    </w:p>
    <w:p w14:paraId="4B6F864C" w14:textId="77777777" w:rsidR="008F4B7D" w:rsidRDefault="008F4B7D" w:rsidP="00861449">
      <w:pPr>
        <w:spacing w:after="0" w:line="240" w:lineRule="auto"/>
        <w:rPr>
          <w:rFonts w:ascii="Calibri" w:hAnsi="Calibri" w:cs="Calibri"/>
          <w:b/>
          <w:i/>
        </w:rPr>
      </w:pPr>
    </w:p>
    <w:p w14:paraId="107FF6B1" w14:textId="77777777" w:rsidR="008F4B7D" w:rsidRDefault="008F4B7D" w:rsidP="00861449">
      <w:pPr>
        <w:spacing w:after="0" w:line="240" w:lineRule="auto"/>
        <w:rPr>
          <w:rFonts w:ascii="Calibri" w:hAnsi="Calibri" w:cs="Calibri"/>
          <w:b/>
          <w:i/>
        </w:rPr>
      </w:pPr>
    </w:p>
    <w:p w14:paraId="1827990E" w14:textId="77777777" w:rsidR="008F4B7D" w:rsidRDefault="008F4B7D" w:rsidP="00861449">
      <w:pPr>
        <w:spacing w:after="0" w:line="240" w:lineRule="auto"/>
        <w:rPr>
          <w:rFonts w:ascii="Calibri" w:hAnsi="Calibri" w:cs="Calibri"/>
          <w:b/>
          <w:i/>
        </w:rPr>
      </w:pPr>
    </w:p>
    <w:p w14:paraId="42275CC4" w14:textId="77777777" w:rsidR="008F4B7D" w:rsidRDefault="008F4B7D" w:rsidP="00861449">
      <w:pPr>
        <w:spacing w:after="0" w:line="240" w:lineRule="auto"/>
        <w:rPr>
          <w:rFonts w:ascii="Calibri" w:hAnsi="Calibri" w:cs="Calibri"/>
          <w:b/>
          <w:i/>
        </w:rPr>
      </w:pPr>
    </w:p>
    <w:p w14:paraId="7B1EAB42" w14:textId="77777777" w:rsidR="008F4B7D" w:rsidRDefault="008F4B7D" w:rsidP="00861449">
      <w:pPr>
        <w:spacing w:after="0" w:line="240" w:lineRule="auto"/>
        <w:rPr>
          <w:rFonts w:ascii="Calibri" w:hAnsi="Calibri" w:cs="Calibri"/>
          <w:b/>
          <w:i/>
        </w:rPr>
      </w:pPr>
    </w:p>
    <w:p w14:paraId="629CFDEF" w14:textId="77777777" w:rsidR="008F4B7D" w:rsidRDefault="008F4B7D" w:rsidP="00861449">
      <w:pPr>
        <w:spacing w:after="0" w:line="240" w:lineRule="auto"/>
        <w:rPr>
          <w:rFonts w:ascii="Calibri" w:hAnsi="Calibri" w:cs="Calibri"/>
          <w:b/>
          <w:i/>
        </w:rPr>
      </w:pPr>
    </w:p>
    <w:p w14:paraId="3BC69683" w14:textId="77777777" w:rsidR="008F4B7D" w:rsidRDefault="008F4B7D" w:rsidP="00861449">
      <w:pPr>
        <w:spacing w:after="0" w:line="240" w:lineRule="auto"/>
        <w:rPr>
          <w:rFonts w:ascii="Calibri" w:hAnsi="Calibri" w:cs="Calibri"/>
          <w:b/>
          <w:i/>
        </w:rPr>
      </w:pPr>
    </w:p>
    <w:p w14:paraId="4C88ED84" w14:textId="77777777" w:rsidR="008F4B7D" w:rsidRDefault="008F4B7D" w:rsidP="00861449">
      <w:pPr>
        <w:spacing w:after="0" w:line="240" w:lineRule="auto"/>
        <w:rPr>
          <w:rFonts w:ascii="Calibri" w:hAnsi="Calibri" w:cs="Calibri"/>
          <w:b/>
          <w:i/>
        </w:rPr>
      </w:pPr>
    </w:p>
    <w:p w14:paraId="3C0CB732" w14:textId="77777777" w:rsidR="008F4B7D" w:rsidRDefault="008F4B7D" w:rsidP="00861449">
      <w:pPr>
        <w:spacing w:after="0" w:line="240" w:lineRule="auto"/>
        <w:rPr>
          <w:rFonts w:ascii="Calibri" w:hAnsi="Calibri" w:cs="Calibri"/>
          <w:b/>
          <w:i/>
        </w:rPr>
      </w:pPr>
    </w:p>
    <w:p w14:paraId="4EDCD5A0" w14:textId="77777777" w:rsidR="008F4B7D" w:rsidRDefault="008F4B7D" w:rsidP="00861449">
      <w:pPr>
        <w:spacing w:after="0" w:line="240" w:lineRule="auto"/>
        <w:rPr>
          <w:rFonts w:ascii="Calibri" w:hAnsi="Calibri" w:cs="Calibri"/>
          <w:b/>
          <w:i/>
        </w:rPr>
      </w:pPr>
    </w:p>
    <w:p w14:paraId="08FC3A83" w14:textId="77777777" w:rsidR="008F4B7D" w:rsidRDefault="008F4B7D" w:rsidP="00861449">
      <w:pPr>
        <w:spacing w:after="0" w:line="240" w:lineRule="auto"/>
        <w:rPr>
          <w:rFonts w:ascii="Calibri" w:hAnsi="Calibri" w:cs="Calibri"/>
          <w:b/>
          <w:i/>
        </w:rPr>
      </w:pPr>
    </w:p>
    <w:p w14:paraId="4F5D6FD5" w14:textId="77777777" w:rsidR="008F4B7D" w:rsidRDefault="008F4B7D" w:rsidP="00861449">
      <w:pPr>
        <w:spacing w:after="0" w:line="240" w:lineRule="auto"/>
        <w:rPr>
          <w:rFonts w:ascii="Calibri" w:hAnsi="Calibri" w:cs="Calibri"/>
          <w:b/>
          <w:i/>
        </w:rPr>
      </w:pPr>
    </w:p>
    <w:p w14:paraId="1643949A" w14:textId="77777777" w:rsidR="00B1784C" w:rsidRDefault="00B1784C" w:rsidP="00861449">
      <w:pPr>
        <w:spacing w:after="0" w:line="240" w:lineRule="auto"/>
        <w:rPr>
          <w:rFonts w:ascii="Calibri" w:hAnsi="Calibri" w:cs="Calibri"/>
          <w:b/>
          <w:i/>
        </w:rPr>
      </w:pPr>
    </w:p>
    <w:p w14:paraId="20E0C857" w14:textId="4B00D6CB" w:rsidR="00167584" w:rsidRDefault="00167584" w:rsidP="00B61E70">
      <w:pPr>
        <w:spacing w:after="0" w:line="240" w:lineRule="auto"/>
        <w:rPr>
          <w:rFonts w:ascii="Arial" w:hAnsi="Arial" w:cs="Arial"/>
          <w:sz w:val="20"/>
          <w:szCs w:val="20"/>
          <w:lang w:val="en-US"/>
        </w:rPr>
      </w:pPr>
    </w:p>
    <w:sectPr w:rsidR="00167584" w:rsidSect="00B1784C">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6EE02" w14:textId="77777777" w:rsidR="00FB431F" w:rsidRDefault="00FB431F" w:rsidP="00D508D5">
      <w:pPr>
        <w:spacing w:after="0" w:line="240" w:lineRule="auto"/>
      </w:pPr>
      <w:r>
        <w:separator/>
      </w:r>
    </w:p>
  </w:endnote>
  <w:endnote w:type="continuationSeparator" w:id="0">
    <w:p w14:paraId="43514C2D" w14:textId="77777777" w:rsidR="00FB431F" w:rsidRDefault="00FB431F" w:rsidP="00D5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DB8AA" w14:textId="77777777" w:rsidR="00FB431F" w:rsidRDefault="00FB431F" w:rsidP="00D508D5">
      <w:pPr>
        <w:spacing w:after="0" w:line="240" w:lineRule="auto"/>
      </w:pPr>
      <w:r>
        <w:separator/>
      </w:r>
    </w:p>
  </w:footnote>
  <w:footnote w:type="continuationSeparator" w:id="0">
    <w:p w14:paraId="7DE770EE" w14:textId="77777777" w:rsidR="00FB431F" w:rsidRDefault="00FB431F" w:rsidP="00D50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5D8"/>
    <w:multiLevelType w:val="multilevel"/>
    <w:tmpl w:val="67FEF6F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 w15:restartNumberingAfterBreak="0">
    <w:nsid w:val="03772A2E"/>
    <w:multiLevelType w:val="hybridMultilevel"/>
    <w:tmpl w:val="2D36F8BE"/>
    <w:lvl w:ilvl="0" w:tplc="98F21A88">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A69CD"/>
    <w:multiLevelType w:val="hybridMultilevel"/>
    <w:tmpl w:val="6FB25F8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22BE0"/>
    <w:multiLevelType w:val="multilevel"/>
    <w:tmpl w:val="D3E4616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086F2B9F"/>
    <w:multiLevelType w:val="hybridMultilevel"/>
    <w:tmpl w:val="45982FE0"/>
    <w:lvl w:ilvl="0" w:tplc="0D90CB6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856CED"/>
    <w:multiLevelType w:val="multilevel"/>
    <w:tmpl w:val="26F03DD8"/>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6" w15:restartNumberingAfterBreak="0">
    <w:nsid w:val="0B49105A"/>
    <w:multiLevelType w:val="hybridMultilevel"/>
    <w:tmpl w:val="0832C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105CD1"/>
    <w:multiLevelType w:val="hybridMultilevel"/>
    <w:tmpl w:val="18B8B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E20E82"/>
    <w:multiLevelType w:val="hybridMultilevel"/>
    <w:tmpl w:val="63BCA6E6"/>
    <w:lvl w:ilvl="0" w:tplc="F74EEC9A">
      <w:numFmt w:val="bullet"/>
      <w:lvlText w:val="•"/>
      <w:lvlJc w:val="left"/>
      <w:pPr>
        <w:ind w:left="720" w:hanging="72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EF03A4"/>
    <w:multiLevelType w:val="hybridMultilevel"/>
    <w:tmpl w:val="C7E65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F01408"/>
    <w:multiLevelType w:val="hybridMultilevel"/>
    <w:tmpl w:val="3782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15BBC"/>
    <w:multiLevelType w:val="hybridMultilevel"/>
    <w:tmpl w:val="B540D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4D272D"/>
    <w:multiLevelType w:val="hybridMultilevel"/>
    <w:tmpl w:val="0D6C4BDE"/>
    <w:lvl w:ilvl="0" w:tplc="09F6726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52E78"/>
    <w:multiLevelType w:val="hybridMultilevel"/>
    <w:tmpl w:val="9282F1FC"/>
    <w:lvl w:ilvl="0" w:tplc="68A4B9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A4D39"/>
    <w:multiLevelType w:val="hybridMultilevel"/>
    <w:tmpl w:val="38069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BC35CB"/>
    <w:multiLevelType w:val="hybridMultilevel"/>
    <w:tmpl w:val="F90E1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B762F0"/>
    <w:multiLevelType w:val="hybridMultilevel"/>
    <w:tmpl w:val="C4685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0C78B6"/>
    <w:multiLevelType w:val="hybridMultilevel"/>
    <w:tmpl w:val="7DFA5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737363"/>
    <w:multiLevelType w:val="hybridMultilevel"/>
    <w:tmpl w:val="EFA63490"/>
    <w:lvl w:ilvl="0" w:tplc="80B8870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C10D1"/>
    <w:multiLevelType w:val="hybridMultilevel"/>
    <w:tmpl w:val="9CB07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C74CF2"/>
    <w:multiLevelType w:val="hybridMultilevel"/>
    <w:tmpl w:val="1A2C5902"/>
    <w:lvl w:ilvl="0" w:tplc="80B88704">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1B53F6"/>
    <w:multiLevelType w:val="hybridMultilevel"/>
    <w:tmpl w:val="7464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4F24"/>
    <w:multiLevelType w:val="hybridMultilevel"/>
    <w:tmpl w:val="C32AB6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C32CE0"/>
    <w:multiLevelType w:val="hybridMultilevel"/>
    <w:tmpl w:val="820CA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A40827"/>
    <w:multiLevelType w:val="hybridMultilevel"/>
    <w:tmpl w:val="EB7EEC20"/>
    <w:lvl w:ilvl="0" w:tplc="80B8870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76EB3"/>
    <w:multiLevelType w:val="hybridMultilevel"/>
    <w:tmpl w:val="4CD4B5A6"/>
    <w:lvl w:ilvl="0" w:tplc="94761F5C">
      <w:start w:val="1"/>
      <w:numFmt w:val="decimal"/>
      <w:lvlText w:val="%1."/>
      <w:lvlJc w:val="left"/>
      <w:pPr>
        <w:ind w:left="720" w:hanging="360"/>
      </w:pPr>
      <w:rPr>
        <w:rFonts w:cs="Arial" w:hint="default"/>
        <w:b/>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FF42A2"/>
    <w:multiLevelType w:val="hybridMultilevel"/>
    <w:tmpl w:val="6D6AE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54AD0"/>
    <w:multiLevelType w:val="hybridMultilevel"/>
    <w:tmpl w:val="8A80B8CA"/>
    <w:lvl w:ilvl="0" w:tplc="F74EEC9A">
      <w:numFmt w:val="bullet"/>
      <w:lvlText w:val="•"/>
      <w:lvlJc w:val="left"/>
      <w:pPr>
        <w:ind w:left="1080" w:hanging="72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27E18"/>
    <w:multiLevelType w:val="hybridMultilevel"/>
    <w:tmpl w:val="699E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971CD"/>
    <w:multiLevelType w:val="hybridMultilevel"/>
    <w:tmpl w:val="2C20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D871FA"/>
    <w:multiLevelType w:val="hybridMultilevel"/>
    <w:tmpl w:val="98B02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FA60CD"/>
    <w:multiLevelType w:val="hybridMultilevel"/>
    <w:tmpl w:val="E6F6F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0E0B92"/>
    <w:multiLevelType w:val="hybridMultilevel"/>
    <w:tmpl w:val="1A163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13"/>
  </w:num>
  <w:num w:numId="4">
    <w:abstractNumId w:val="22"/>
  </w:num>
  <w:num w:numId="5">
    <w:abstractNumId w:val="16"/>
  </w:num>
  <w:num w:numId="6">
    <w:abstractNumId w:val="29"/>
  </w:num>
  <w:num w:numId="7">
    <w:abstractNumId w:val="23"/>
  </w:num>
  <w:num w:numId="8">
    <w:abstractNumId w:val="17"/>
  </w:num>
  <w:num w:numId="9">
    <w:abstractNumId w:val="10"/>
  </w:num>
  <w:num w:numId="10">
    <w:abstractNumId w:val="32"/>
  </w:num>
  <w:num w:numId="11">
    <w:abstractNumId w:val="3"/>
  </w:num>
  <w:num w:numId="12">
    <w:abstractNumId w:val="0"/>
  </w:num>
  <w:num w:numId="13">
    <w:abstractNumId w:val="5"/>
  </w:num>
  <w:num w:numId="14">
    <w:abstractNumId w:val="31"/>
  </w:num>
  <w:num w:numId="15">
    <w:abstractNumId w:val="21"/>
  </w:num>
  <w:num w:numId="16">
    <w:abstractNumId w:val="4"/>
  </w:num>
  <w:num w:numId="17">
    <w:abstractNumId w:val="30"/>
  </w:num>
  <w:num w:numId="18">
    <w:abstractNumId w:val="9"/>
  </w:num>
  <w:num w:numId="19">
    <w:abstractNumId w:val="7"/>
  </w:num>
  <w:num w:numId="20">
    <w:abstractNumId w:val="28"/>
  </w:num>
  <w:num w:numId="21">
    <w:abstractNumId w:val="18"/>
  </w:num>
  <w:num w:numId="22">
    <w:abstractNumId w:val="20"/>
  </w:num>
  <w:num w:numId="23">
    <w:abstractNumId w:val="24"/>
  </w:num>
  <w:num w:numId="24">
    <w:abstractNumId w:val="27"/>
  </w:num>
  <w:num w:numId="25">
    <w:abstractNumId w:val="8"/>
  </w:num>
  <w:num w:numId="26">
    <w:abstractNumId w:val="11"/>
  </w:num>
  <w:num w:numId="27">
    <w:abstractNumId w:val="2"/>
  </w:num>
  <w:num w:numId="28">
    <w:abstractNumId w:val="15"/>
  </w:num>
  <w:num w:numId="29">
    <w:abstractNumId w:val="14"/>
  </w:num>
  <w:num w:numId="30">
    <w:abstractNumId w:val="26"/>
  </w:num>
  <w:num w:numId="31">
    <w:abstractNumId w:val="25"/>
  </w:num>
  <w:num w:numId="32">
    <w:abstractNumId w:val="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D1"/>
    <w:rsid w:val="00001D33"/>
    <w:rsid w:val="000052AE"/>
    <w:rsid w:val="00005AC4"/>
    <w:rsid w:val="00035202"/>
    <w:rsid w:val="00042633"/>
    <w:rsid w:val="000560D0"/>
    <w:rsid w:val="00063E87"/>
    <w:rsid w:val="0007721F"/>
    <w:rsid w:val="0008041E"/>
    <w:rsid w:val="0009313F"/>
    <w:rsid w:val="000F642B"/>
    <w:rsid w:val="00150C72"/>
    <w:rsid w:val="001519AC"/>
    <w:rsid w:val="00167584"/>
    <w:rsid w:val="00170976"/>
    <w:rsid w:val="001805A1"/>
    <w:rsid w:val="00184A2C"/>
    <w:rsid w:val="00191CE5"/>
    <w:rsid w:val="0019618D"/>
    <w:rsid w:val="001D00C8"/>
    <w:rsid w:val="00214BE3"/>
    <w:rsid w:val="0022765E"/>
    <w:rsid w:val="00270045"/>
    <w:rsid w:val="00292474"/>
    <w:rsid w:val="002C1732"/>
    <w:rsid w:val="002C47C4"/>
    <w:rsid w:val="002D275B"/>
    <w:rsid w:val="003132EE"/>
    <w:rsid w:val="003706D8"/>
    <w:rsid w:val="003778C0"/>
    <w:rsid w:val="00383E23"/>
    <w:rsid w:val="00391255"/>
    <w:rsid w:val="003D31C8"/>
    <w:rsid w:val="003F734A"/>
    <w:rsid w:val="00406DA2"/>
    <w:rsid w:val="00421A03"/>
    <w:rsid w:val="00434814"/>
    <w:rsid w:val="004834F5"/>
    <w:rsid w:val="0048559C"/>
    <w:rsid w:val="00490A52"/>
    <w:rsid w:val="004E160D"/>
    <w:rsid w:val="004F12F1"/>
    <w:rsid w:val="0053653C"/>
    <w:rsid w:val="00547ABC"/>
    <w:rsid w:val="00547E10"/>
    <w:rsid w:val="00557750"/>
    <w:rsid w:val="005606D3"/>
    <w:rsid w:val="005A0BFD"/>
    <w:rsid w:val="005A5783"/>
    <w:rsid w:val="005B03C2"/>
    <w:rsid w:val="005B53CE"/>
    <w:rsid w:val="005C52DA"/>
    <w:rsid w:val="005D3242"/>
    <w:rsid w:val="005D70F4"/>
    <w:rsid w:val="005E242B"/>
    <w:rsid w:val="00600FC0"/>
    <w:rsid w:val="0063590A"/>
    <w:rsid w:val="00636FEF"/>
    <w:rsid w:val="0065090C"/>
    <w:rsid w:val="00651C8F"/>
    <w:rsid w:val="00664931"/>
    <w:rsid w:val="0067141F"/>
    <w:rsid w:val="00675E84"/>
    <w:rsid w:val="006A11BD"/>
    <w:rsid w:val="0076608B"/>
    <w:rsid w:val="007734A8"/>
    <w:rsid w:val="007A0C6C"/>
    <w:rsid w:val="007A6CAF"/>
    <w:rsid w:val="007B6D81"/>
    <w:rsid w:val="007D5EFA"/>
    <w:rsid w:val="007F19C6"/>
    <w:rsid w:val="007F3DE0"/>
    <w:rsid w:val="007F4886"/>
    <w:rsid w:val="008024C9"/>
    <w:rsid w:val="00861449"/>
    <w:rsid w:val="008778EA"/>
    <w:rsid w:val="008A35B8"/>
    <w:rsid w:val="008A65A6"/>
    <w:rsid w:val="008F4B7D"/>
    <w:rsid w:val="00917F5E"/>
    <w:rsid w:val="00937AB0"/>
    <w:rsid w:val="009534CC"/>
    <w:rsid w:val="009741ED"/>
    <w:rsid w:val="00983604"/>
    <w:rsid w:val="009A2331"/>
    <w:rsid w:val="009C019C"/>
    <w:rsid w:val="009C07CF"/>
    <w:rsid w:val="009C20C0"/>
    <w:rsid w:val="009C26A2"/>
    <w:rsid w:val="009F054B"/>
    <w:rsid w:val="00A222F4"/>
    <w:rsid w:val="00AE08F1"/>
    <w:rsid w:val="00B1442B"/>
    <w:rsid w:val="00B1784C"/>
    <w:rsid w:val="00B456E7"/>
    <w:rsid w:val="00B551BA"/>
    <w:rsid w:val="00B61E70"/>
    <w:rsid w:val="00B749EB"/>
    <w:rsid w:val="00B90310"/>
    <w:rsid w:val="00BC4BCD"/>
    <w:rsid w:val="00BC60ED"/>
    <w:rsid w:val="00BE0351"/>
    <w:rsid w:val="00C0639C"/>
    <w:rsid w:val="00C3041A"/>
    <w:rsid w:val="00C30D95"/>
    <w:rsid w:val="00C41991"/>
    <w:rsid w:val="00C51552"/>
    <w:rsid w:val="00C66448"/>
    <w:rsid w:val="00C74442"/>
    <w:rsid w:val="00C75DD0"/>
    <w:rsid w:val="00CB030A"/>
    <w:rsid w:val="00CB2A7E"/>
    <w:rsid w:val="00CD0F48"/>
    <w:rsid w:val="00D205A2"/>
    <w:rsid w:val="00D21796"/>
    <w:rsid w:val="00D508D5"/>
    <w:rsid w:val="00D90FAC"/>
    <w:rsid w:val="00D912DE"/>
    <w:rsid w:val="00D96561"/>
    <w:rsid w:val="00DD4748"/>
    <w:rsid w:val="00DD7C61"/>
    <w:rsid w:val="00DE5B2F"/>
    <w:rsid w:val="00DF4E15"/>
    <w:rsid w:val="00E26F2B"/>
    <w:rsid w:val="00E33F9B"/>
    <w:rsid w:val="00E46749"/>
    <w:rsid w:val="00E65D06"/>
    <w:rsid w:val="00E703CE"/>
    <w:rsid w:val="00E81345"/>
    <w:rsid w:val="00E951B5"/>
    <w:rsid w:val="00E975E4"/>
    <w:rsid w:val="00EC04D1"/>
    <w:rsid w:val="00EC5884"/>
    <w:rsid w:val="00F003AE"/>
    <w:rsid w:val="00F0416A"/>
    <w:rsid w:val="00F30B11"/>
    <w:rsid w:val="00F53C9D"/>
    <w:rsid w:val="00F737C3"/>
    <w:rsid w:val="00F8726E"/>
    <w:rsid w:val="00FB431F"/>
    <w:rsid w:val="00FC6FC0"/>
    <w:rsid w:val="00FC7F66"/>
    <w:rsid w:val="00FF4E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968B1C"/>
  <w15:docId w15:val="{FF611E9F-C058-43F0-A37C-E1C2E57B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D1"/>
    <w:rPr>
      <w:rFonts w:ascii="Tahoma" w:hAnsi="Tahoma" w:cs="Tahoma"/>
      <w:sz w:val="16"/>
      <w:szCs w:val="16"/>
    </w:rPr>
  </w:style>
  <w:style w:type="paragraph" w:styleId="ListParagraph">
    <w:name w:val="List Paragraph"/>
    <w:basedOn w:val="Normal"/>
    <w:uiPriority w:val="34"/>
    <w:qFormat/>
    <w:rsid w:val="00035202"/>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NoSpacing">
    <w:name w:val="No Spacing"/>
    <w:uiPriority w:val="1"/>
    <w:qFormat/>
    <w:rsid w:val="00BC4BCD"/>
    <w:pPr>
      <w:spacing w:after="0" w:line="240" w:lineRule="auto"/>
    </w:pPr>
  </w:style>
  <w:style w:type="paragraph" w:customStyle="1" w:styleId="Body">
    <w:name w:val="Body"/>
    <w:rsid w:val="0076608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table" w:styleId="TableGrid">
    <w:name w:val="Table Grid"/>
    <w:basedOn w:val="TableNormal"/>
    <w:uiPriority w:val="39"/>
    <w:rsid w:val="0076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7750"/>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eastAsia="en-GB"/>
    </w:rPr>
  </w:style>
  <w:style w:type="character" w:styleId="Hyperlink">
    <w:name w:val="Hyperlink"/>
    <w:basedOn w:val="DefaultParagraphFont"/>
    <w:uiPriority w:val="99"/>
    <w:unhideWhenUsed/>
    <w:rsid w:val="00C0639C"/>
    <w:rPr>
      <w:color w:val="0000FF" w:themeColor="hyperlink"/>
      <w:u w:val="single"/>
    </w:rPr>
  </w:style>
  <w:style w:type="paragraph" w:customStyle="1" w:styleId="TableStyle1">
    <w:name w:val="Table Style 1"/>
    <w:rsid w:val="00C0639C"/>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 w:type="numbering" w:customStyle="1" w:styleId="Bullet">
    <w:name w:val="Bullet"/>
    <w:rsid w:val="00C0639C"/>
    <w:pPr>
      <w:numPr>
        <w:numId w:val="11"/>
      </w:numPr>
    </w:pPr>
  </w:style>
  <w:style w:type="paragraph" w:styleId="Revision">
    <w:name w:val="Revision"/>
    <w:hidden/>
    <w:uiPriority w:val="99"/>
    <w:semiHidden/>
    <w:rsid w:val="004834F5"/>
    <w:pPr>
      <w:spacing w:after="0" w:line="240" w:lineRule="auto"/>
    </w:pPr>
  </w:style>
  <w:style w:type="table" w:customStyle="1" w:styleId="TableGrid1">
    <w:name w:val="Table Grid1"/>
    <w:basedOn w:val="TableNormal"/>
    <w:next w:val="TableGrid"/>
    <w:uiPriority w:val="39"/>
    <w:rsid w:val="003912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8D5"/>
  </w:style>
  <w:style w:type="paragraph" w:styleId="Footer">
    <w:name w:val="footer"/>
    <w:basedOn w:val="Normal"/>
    <w:link w:val="FooterChar"/>
    <w:uiPriority w:val="99"/>
    <w:unhideWhenUsed/>
    <w:rsid w:val="00D50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27080213F264DBBBF50D20B8418D2" ma:contentTypeVersion="3" ma:contentTypeDescription="Create a new document." ma:contentTypeScope="" ma:versionID="c520536b0f10aacf9d168421bd12ebcd">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456DD-8B96-4EEF-A06C-6A435CB8E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5EC46B-5034-4011-B824-EC78322A3D22}">
  <ds:schemaRefs>
    <ds:schemaRef ds:uri="http://schemas.microsoft.com/sharepoint/v3/contenttype/forms"/>
  </ds:schemaRefs>
</ds:datastoreItem>
</file>

<file path=customXml/itemProps3.xml><?xml version="1.0" encoding="utf-8"?>
<ds:datastoreItem xmlns:ds="http://schemas.openxmlformats.org/officeDocument/2006/customXml" ds:itemID="{36367D74-48A7-49EE-993B-F36EEFF9BEF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David Coffey</cp:lastModifiedBy>
  <cp:revision>2</cp:revision>
  <cp:lastPrinted>2015-05-11T10:09:00Z</cp:lastPrinted>
  <dcterms:created xsi:type="dcterms:W3CDTF">2018-01-31T15:47:00Z</dcterms:created>
  <dcterms:modified xsi:type="dcterms:W3CDTF">2018-01-31T15:47:00Z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0x0101007C027080213F264DBBBF50D20B8418D2</vt:lpwstr>
  </property>
</Properties>
</file>