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Pr="004414BB" w:rsidRDefault="002D1700" w:rsidP="0073507F">
      <w:pPr>
        <w:pStyle w:val="Heading2"/>
        <w:spacing w:line="240" w:lineRule="auto"/>
        <w:jc w:val="center"/>
        <w:rPr>
          <w:rFonts w:ascii="Calibri" w:hAnsi="Calibri" w:cs="Calibri"/>
          <w:sz w:val="22"/>
        </w:rPr>
      </w:pPr>
      <w:r w:rsidRPr="004414BB">
        <w:rPr>
          <w:rFonts w:ascii="Calibri" w:hAnsi="Calibri" w:cs="Calibri"/>
          <w:sz w:val="22"/>
        </w:rPr>
        <w:t xml:space="preserve">IASC </w:t>
      </w:r>
      <w:r w:rsidR="00F52775">
        <w:rPr>
          <w:rFonts w:ascii="Calibri" w:hAnsi="Calibri" w:cs="Calibri"/>
          <w:sz w:val="22"/>
        </w:rPr>
        <w:t>GRG Meeting</w:t>
      </w:r>
    </w:p>
    <w:p w:rsidR="00D50D23" w:rsidRDefault="002D1700" w:rsidP="007F4846">
      <w:pPr>
        <w:pStyle w:val="Date"/>
        <w:spacing w:line="240" w:lineRule="auto"/>
        <w:jc w:val="right"/>
        <w:rPr>
          <w:rFonts w:ascii="Calibri" w:hAnsi="Calibri" w:cs="Calibri"/>
          <w:sz w:val="22"/>
        </w:rPr>
      </w:pPr>
      <w:r w:rsidRPr="004414BB">
        <w:rPr>
          <w:rFonts w:ascii="Calibri" w:hAnsi="Calibri" w:cs="Calibri"/>
          <w:sz w:val="22"/>
        </w:rPr>
        <w:t>November 21, 2017</w:t>
      </w:r>
      <w:r w:rsidRPr="004414BB">
        <w:rPr>
          <w:rFonts w:ascii="Calibri" w:hAnsi="Calibri" w:cs="Calibri"/>
          <w:sz w:val="22"/>
        </w:rPr>
        <w:br/>
        <w:t>UN Women Headquarters</w:t>
      </w:r>
    </w:p>
    <w:p w:rsidR="00F52775" w:rsidRPr="0073507F" w:rsidRDefault="00F52775" w:rsidP="0073507F">
      <w:pPr>
        <w:tabs>
          <w:tab w:val="left" w:pos="3240"/>
        </w:tabs>
        <w:ind w:left="0"/>
        <w:rPr>
          <w:rFonts w:ascii="Calibri" w:hAnsi="Calibri" w:cs="Calibri"/>
          <w:b/>
          <w:iCs/>
          <w:color w:val="4F81BD" w:themeColor="accent1"/>
          <w:sz w:val="22"/>
          <w:szCs w:val="22"/>
        </w:rPr>
      </w:pPr>
      <w:r w:rsidRPr="00F52775">
        <w:rPr>
          <w:rFonts w:ascii="Calibri" w:hAnsi="Calibri" w:cs="Calibri"/>
          <w:b/>
          <w:iCs/>
          <w:color w:val="4F81BD" w:themeColor="accent1"/>
          <w:sz w:val="22"/>
          <w:szCs w:val="22"/>
        </w:rPr>
        <w:t>Meeting Chair</w:t>
      </w:r>
      <w:r w:rsidR="0073507F">
        <w:rPr>
          <w:rFonts w:ascii="Calibri" w:hAnsi="Calibri" w:cs="Calibri"/>
          <w:b/>
          <w:iCs/>
          <w:color w:val="4F81BD" w:themeColor="accent1"/>
          <w:sz w:val="22"/>
          <w:szCs w:val="22"/>
        </w:rPr>
        <w:br/>
      </w:r>
      <w:r w:rsidRPr="00F52775">
        <w:rPr>
          <w:rFonts w:ascii="Calibri" w:hAnsi="Calibri" w:cs="Calibri"/>
          <w:sz w:val="22"/>
          <w:szCs w:val="22"/>
        </w:rPr>
        <w:t>Caroline Rusten</w:t>
      </w:r>
      <w:r>
        <w:rPr>
          <w:rFonts w:ascii="Calibri" w:hAnsi="Calibri" w:cs="Calibri"/>
          <w:sz w:val="22"/>
          <w:szCs w:val="22"/>
        </w:rPr>
        <w:t xml:space="preserve">, </w:t>
      </w:r>
      <w:r w:rsidRPr="00F52775">
        <w:rPr>
          <w:rFonts w:ascii="Calibri" w:hAnsi="Calibri" w:cs="Calibri"/>
          <w:sz w:val="22"/>
          <w:szCs w:val="22"/>
        </w:rPr>
        <w:t>UN Women</w:t>
      </w:r>
      <w:r w:rsidRPr="00F52775">
        <w:rPr>
          <w:rFonts w:ascii="Calibri" w:hAnsi="Calibri" w:cs="Calibri"/>
          <w:sz w:val="22"/>
          <w:szCs w:val="22"/>
        </w:rPr>
        <w:br/>
      </w:r>
      <w:r w:rsidRPr="00F52775">
        <w:rPr>
          <w:rFonts w:ascii="Calibri" w:hAnsi="Calibri" w:cs="Calibri"/>
          <w:sz w:val="22"/>
        </w:rPr>
        <w:t>Jina Krause-Vilmar, HIAS</w:t>
      </w:r>
    </w:p>
    <w:tbl>
      <w:tblPr>
        <w:tblStyle w:val="TableGrid"/>
        <w:tblW w:w="9985" w:type="dxa"/>
        <w:tblLook w:val="04A0" w:firstRow="1" w:lastRow="0" w:firstColumn="1" w:lastColumn="0" w:noHBand="0" w:noVBand="1"/>
      </w:tblPr>
      <w:tblGrid>
        <w:gridCol w:w="9985"/>
      </w:tblGrid>
      <w:tr w:rsidR="00F52775" w:rsidRPr="00F52775" w:rsidTr="00A81B6F">
        <w:tc>
          <w:tcPr>
            <w:tcW w:w="9985" w:type="dxa"/>
          </w:tcPr>
          <w:p w:rsidR="00F52775" w:rsidRPr="00F52775" w:rsidRDefault="00F52775" w:rsidP="003321FE">
            <w:pPr>
              <w:rPr>
                <w:rFonts w:ascii="Calibri" w:hAnsi="Calibri" w:cs="Calibri"/>
                <w:b/>
              </w:rPr>
            </w:pPr>
            <w:r w:rsidRPr="00F52775">
              <w:rPr>
                <w:rFonts w:ascii="Calibri" w:eastAsia="Batang" w:hAnsi="Calibri" w:cs="Calibri"/>
                <w:b/>
                <w:color w:val="4F81BD" w:themeColor="accent1"/>
              </w:rPr>
              <w:t>Participants</w:t>
            </w:r>
          </w:p>
        </w:tc>
      </w:tr>
      <w:tr w:rsidR="00F52775" w:rsidRPr="00F52775" w:rsidTr="00A81B6F">
        <w:tc>
          <w:tcPr>
            <w:tcW w:w="9985" w:type="dxa"/>
          </w:tcPr>
          <w:p w:rsidR="00F52775" w:rsidRPr="00F52775" w:rsidRDefault="00F52775" w:rsidP="003321FE">
            <w:pPr>
              <w:rPr>
                <w:rFonts w:ascii="Calibri" w:hAnsi="Calibri" w:cs="Calibri"/>
                <w:b/>
              </w:rPr>
            </w:pPr>
            <w:r w:rsidRPr="00F52775">
              <w:rPr>
                <w:rFonts w:ascii="Calibri" w:hAnsi="Calibri" w:cs="Calibri"/>
              </w:rPr>
              <w:t>Fabrizia Falcione -UNFPA</w:t>
            </w:r>
          </w:p>
        </w:tc>
      </w:tr>
      <w:tr w:rsidR="00F52775" w:rsidRPr="00F52775" w:rsidTr="00A81B6F">
        <w:tc>
          <w:tcPr>
            <w:tcW w:w="9985" w:type="dxa"/>
          </w:tcPr>
          <w:p w:rsidR="00F52775" w:rsidRPr="00F52775" w:rsidRDefault="00F52775" w:rsidP="003321FE">
            <w:pPr>
              <w:rPr>
                <w:rFonts w:ascii="Calibri" w:hAnsi="Calibri" w:cs="Calibri"/>
                <w:b/>
              </w:rPr>
            </w:pPr>
            <w:r w:rsidRPr="00F52775">
              <w:rPr>
                <w:rFonts w:ascii="Calibri" w:hAnsi="Calibri" w:cs="Calibri"/>
              </w:rPr>
              <w:t>Kate Hunt – CARE International</w:t>
            </w:r>
          </w:p>
        </w:tc>
      </w:tr>
      <w:tr w:rsidR="00F52775" w:rsidRPr="00F52775" w:rsidTr="00A81B6F">
        <w:tc>
          <w:tcPr>
            <w:tcW w:w="9985" w:type="dxa"/>
          </w:tcPr>
          <w:p w:rsidR="00F52775" w:rsidRPr="00F52775" w:rsidRDefault="00F52775" w:rsidP="003321FE">
            <w:pPr>
              <w:rPr>
                <w:rFonts w:ascii="Calibri" w:hAnsi="Calibri" w:cs="Calibri"/>
                <w:b/>
              </w:rPr>
            </w:pPr>
            <w:proofErr w:type="spellStart"/>
            <w:r w:rsidRPr="00F52775">
              <w:rPr>
                <w:rFonts w:ascii="Calibri" w:hAnsi="Calibri" w:cs="Calibri"/>
              </w:rPr>
              <w:t>Benard</w:t>
            </w:r>
            <w:proofErr w:type="spellEnd"/>
            <w:r w:rsidRPr="00F52775">
              <w:rPr>
                <w:rFonts w:ascii="Calibri" w:hAnsi="Calibri" w:cs="Calibri"/>
              </w:rPr>
              <w:t xml:space="preserve"> </w:t>
            </w:r>
            <w:proofErr w:type="spellStart"/>
            <w:r w:rsidRPr="00F52775">
              <w:rPr>
                <w:rFonts w:ascii="Calibri" w:hAnsi="Calibri" w:cs="Calibri"/>
              </w:rPr>
              <w:t>Muinde</w:t>
            </w:r>
            <w:proofErr w:type="spellEnd"/>
            <w:r w:rsidRPr="00F52775">
              <w:rPr>
                <w:rFonts w:ascii="Calibri" w:hAnsi="Calibri" w:cs="Calibri"/>
              </w:rPr>
              <w:t xml:space="preserve"> – IASC Secretariat</w:t>
            </w:r>
          </w:p>
        </w:tc>
      </w:tr>
      <w:tr w:rsidR="00F52775" w:rsidRPr="00F52775" w:rsidTr="00A81B6F">
        <w:tc>
          <w:tcPr>
            <w:tcW w:w="9985" w:type="dxa"/>
          </w:tcPr>
          <w:p w:rsidR="00F52775" w:rsidRPr="00F52775" w:rsidRDefault="00F52775" w:rsidP="003321FE">
            <w:pPr>
              <w:rPr>
                <w:rFonts w:ascii="Calibri" w:hAnsi="Calibri" w:cs="Calibri"/>
              </w:rPr>
            </w:pPr>
            <w:r>
              <w:rPr>
                <w:rFonts w:ascii="Calibri" w:hAnsi="Calibri" w:cs="Calibri"/>
              </w:rPr>
              <w:t xml:space="preserve">Emma Pearce – WRC </w:t>
            </w:r>
          </w:p>
        </w:tc>
      </w:tr>
      <w:tr w:rsidR="00F52775" w:rsidRPr="00F52775" w:rsidTr="00A81B6F">
        <w:tc>
          <w:tcPr>
            <w:tcW w:w="9985" w:type="dxa"/>
          </w:tcPr>
          <w:p w:rsidR="00F52775" w:rsidRPr="00F52775" w:rsidRDefault="00F52775" w:rsidP="003321FE">
            <w:pPr>
              <w:rPr>
                <w:rFonts w:ascii="Calibri" w:hAnsi="Calibri" w:cs="Calibri"/>
                <w:b/>
              </w:rPr>
            </w:pPr>
            <w:r w:rsidRPr="00F52775">
              <w:rPr>
                <w:rFonts w:ascii="Calibri" w:hAnsi="Calibri" w:cs="Calibri"/>
              </w:rPr>
              <w:t xml:space="preserve">Elizabeth Eilor </w:t>
            </w:r>
            <w:r w:rsidR="00307731">
              <w:rPr>
                <w:rFonts w:ascii="Calibri" w:hAnsi="Calibri" w:cs="Calibri"/>
              </w:rPr>
              <w:t>–</w:t>
            </w:r>
            <w:r w:rsidRPr="00F52775">
              <w:rPr>
                <w:rFonts w:ascii="Calibri" w:hAnsi="Calibri" w:cs="Calibri"/>
              </w:rPr>
              <w:t xml:space="preserve"> OCHA</w:t>
            </w:r>
          </w:p>
        </w:tc>
      </w:tr>
      <w:tr w:rsidR="00F52775" w:rsidRPr="00F52775" w:rsidTr="00A81B6F">
        <w:tc>
          <w:tcPr>
            <w:tcW w:w="9985" w:type="dxa"/>
          </w:tcPr>
          <w:p w:rsidR="00F52775" w:rsidRPr="00F52775" w:rsidRDefault="00F52775" w:rsidP="003321FE">
            <w:pPr>
              <w:rPr>
                <w:rFonts w:ascii="Calibri" w:hAnsi="Calibri" w:cs="Calibri"/>
                <w:b/>
              </w:rPr>
            </w:pPr>
            <w:r w:rsidRPr="004414BB">
              <w:rPr>
                <w:rFonts w:ascii="Calibri" w:hAnsi="Calibri" w:cs="Calibri"/>
              </w:rPr>
              <w:t>Tess</w:t>
            </w:r>
            <w:r>
              <w:rPr>
                <w:rFonts w:ascii="Calibri" w:hAnsi="Calibri" w:cs="Calibri"/>
              </w:rPr>
              <w:t xml:space="preserve"> Dico-Young</w:t>
            </w:r>
            <w:r w:rsidRPr="00F52775">
              <w:rPr>
                <w:rFonts w:ascii="Calibri" w:hAnsi="Calibri" w:cs="Calibri"/>
              </w:rPr>
              <w:t xml:space="preserve"> – Oxfam</w:t>
            </w:r>
          </w:p>
        </w:tc>
      </w:tr>
      <w:tr w:rsidR="00F52775" w:rsidRPr="00F52775" w:rsidTr="00A81B6F">
        <w:tc>
          <w:tcPr>
            <w:tcW w:w="9985" w:type="dxa"/>
          </w:tcPr>
          <w:p w:rsidR="00F52775" w:rsidRPr="004414BB" w:rsidRDefault="00F52775" w:rsidP="003321FE">
            <w:pPr>
              <w:rPr>
                <w:rFonts w:ascii="Calibri" w:hAnsi="Calibri" w:cs="Calibri"/>
              </w:rPr>
            </w:pPr>
            <w:r w:rsidRPr="00F52775">
              <w:rPr>
                <w:rFonts w:ascii="Calibri" w:hAnsi="Calibri" w:cs="Calibri"/>
              </w:rPr>
              <w:t>David Coffey – UN Women</w:t>
            </w:r>
          </w:p>
        </w:tc>
      </w:tr>
      <w:tr w:rsidR="00F52775" w:rsidRPr="00F52775" w:rsidTr="00A81B6F">
        <w:tc>
          <w:tcPr>
            <w:tcW w:w="9985" w:type="dxa"/>
          </w:tcPr>
          <w:p w:rsidR="00F52775" w:rsidRPr="00F52775" w:rsidRDefault="00F52775" w:rsidP="003321FE">
            <w:pPr>
              <w:rPr>
                <w:rFonts w:ascii="Calibri" w:hAnsi="Calibri" w:cs="Calibri"/>
              </w:rPr>
            </w:pPr>
            <w:proofErr w:type="spellStart"/>
            <w:r>
              <w:rPr>
                <w:rFonts w:ascii="Calibri" w:hAnsi="Calibri" w:cs="Calibri"/>
              </w:rPr>
              <w:t>Nuhad</w:t>
            </w:r>
            <w:proofErr w:type="spellEnd"/>
            <w:r>
              <w:rPr>
                <w:rFonts w:ascii="Calibri" w:hAnsi="Calibri" w:cs="Calibri"/>
              </w:rPr>
              <w:t xml:space="preserve"> Al </w:t>
            </w:r>
            <w:proofErr w:type="spellStart"/>
            <w:r>
              <w:rPr>
                <w:rFonts w:ascii="Calibri" w:hAnsi="Calibri" w:cs="Calibri"/>
              </w:rPr>
              <w:t>Alfi</w:t>
            </w:r>
            <w:proofErr w:type="spellEnd"/>
            <w:r>
              <w:rPr>
                <w:rFonts w:ascii="Calibri" w:hAnsi="Calibri" w:cs="Calibri"/>
              </w:rPr>
              <w:t xml:space="preserve"> – IASC Secretariat </w:t>
            </w:r>
          </w:p>
        </w:tc>
      </w:tr>
      <w:tr w:rsidR="00115E03" w:rsidRPr="00F52775" w:rsidTr="00A81B6F">
        <w:tc>
          <w:tcPr>
            <w:tcW w:w="9985" w:type="dxa"/>
          </w:tcPr>
          <w:p w:rsidR="00115E03" w:rsidRDefault="00115E03" w:rsidP="003321FE">
            <w:pPr>
              <w:rPr>
                <w:rFonts w:ascii="Calibri" w:hAnsi="Calibri" w:cs="Calibri"/>
              </w:rPr>
            </w:pPr>
            <w:proofErr w:type="spellStart"/>
            <w:r>
              <w:rPr>
                <w:rFonts w:ascii="Calibri" w:hAnsi="Calibri" w:cs="Calibri"/>
              </w:rPr>
              <w:t>Merrin</w:t>
            </w:r>
            <w:proofErr w:type="spellEnd"/>
            <w:r>
              <w:rPr>
                <w:rFonts w:ascii="Calibri" w:hAnsi="Calibri" w:cs="Calibri"/>
              </w:rPr>
              <w:t xml:space="preserve"> Waterhouse – </w:t>
            </w:r>
            <w:proofErr w:type="spellStart"/>
            <w:r>
              <w:rPr>
                <w:rFonts w:ascii="Calibri" w:hAnsi="Calibri" w:cs="Calibri"/>
              </w:rPr>
              <w:t>GenCap</w:t>
            </w:r>
            <w:proofErr w:type="spellEnd"/>
            <w:r>
              <w:rPr>
                <w:rFonts w:ascii="Calibri" w:hAnsi="Calibri" w:cs="Calibri"/>
              </w:rPr>
              <w:t xml:space="preserve"> </w:t>
            </w:r>
          </w:p>
        </w:tc>
      </w:tr>
    </w:tbl>
    <w:p w:rsidR="00F52775" w:rsidRDefault="00F52775" w:rsidP="00F52775">
      <w:pPr>
        <w:ind w:left="0"/>
        <w:rPr>
          <w:rFonts w:ascii="Calibri" w:hAnsi="Calibri" w:cs="Calibri"/>
          <w:sz w:val="22"/>
          <w:szCs w:val="22"/>
        </w:rPr>
      </w:pPr>
    </w:p>
    <w:tbl>
      <w:tblPr>
        <w:tblStyle w:val="TableGrid"/>
        <w:tblW w:w="0" w:type="auto"/>
        <w:tblLook w:val="04A0" w:firstRow="1" w:lastRow="0" w:firstColumn="1" w:lastColumn="0" w:noHBand="0" w:noVBand="1"/>
      </w:tblPr>
      <w:tblGrid>
        <w:gridCol w:w="5665"/>
      </w:tblGrid>
      <w:tr w:rsidR="00F52775" w:rsidRPr="00F52775" w:rsidTr="00BD372D">
        <w:tc>
          <w:tcPr>
            <w:tcW w:w="5665" w:type="dxa"/>
          </w:tcPr>
          <w:p w:rsidR="00F52775" w:rsidRPr="00F52775" w:rsidRDefault="00F52775" w:rsidP="003321FE">
            <w:pPr>
              <w:rPr>
                <w:rFonts w:ascii="Calibri" w:hAnsi="Calibri" w:cs="Calibri"/>
                <w:b/>
              </w:rPr>
            </w:pPr>
            <w:r>
              <w:rPr>
                <w:rFonts w:ascii="Calibri" w:eastAsia="Batang" w:hAnsi="Calibri" w:cs="Calibri"/>
                <w:b/>
                <w:color w:val="4F81BD" w:themeColor="accent1"/>
              </w:rPr>
              <w:t>Guest Speakers</w:t>
            </w:r>
          </w:p>
        </w:tc>
      </w:tr>
      <w:tr w:rsidR="00F52775" w:rsidRPr="00F52775" w:rsidTr="00BD372D">
        <w:tc>
          <w:tcPr>
            <w:tcW w:w="5665" w:type="dxa"/>
          </w:tcPr>
          <w:p w:rsidR="00F52775" w:rsidRPr="00F52775" w:rsidRDefault="00F52775" w:rsidP="003321FE">
            <w:pPr>
              <w:rPr>
                <w:rFonts w:ascii="Calibri" w:hAnsi="Calibri" w:cs="Calibri"/>
                <w:b/>
              </w:rPr>
            </w:pPr>
            <w:r>
              <w:rPr>
                <w:rFonts w:ascii="Calibri" w:hAnsi="Calibri" w:cs="Calibri"/>
              </w:rPr>
              <w:t>Ines Smyth,</w:t>
            </w:r>
            <w:r w:rsidR="00BD372D">
              <w:rPr>
                <w:rFonts w:ascii="Calibri" w:hAnsi="Calibri" w:cs="Calibri"/>
              </w:rPr>
              <w:t xml:space="preserve"> Gender Policy</w:t>
            </w:r>
            <w:r>
              <w:rPr>
                <w:rFonts w:ascii="Calibri" w:hAnsi="Calibri" w:cs="Calibri"/>
              </w:rPr>
              <w:t xml:space="preserve"> Consultant </w:t>
            </w:r>
          </w:p>
        </w:tc>
      </w:tr>
      <w:tr w:rsidR="00F52775" w:rsidRPr="00F52775" w:rsidTr="00BD372D">
        <w:tc>
          <w:tcPr>
            <w:tcW w:w="5665" w:type="dxa"/>
          </w:tcPr>
          <w:p w:rsidR="00F52775" w:rsidRPr="00F52775" w:rsidRDefault="00F52775" w:rsidP="003321FE">
            <w:pPr>
              <w:rPr>
                <w:rFonts w:ascii="Calibri" w:hAnsi="Calibri" w:cs="Calibri"/>
              </w:rPr>
            </w:pPr>
            <w:r>
              <w:rPr>
                <w:rFonts w:ascii="Calibri" w:hAnsi="Calibri" w:cs="Calibri"/>
              </w:rPr>
              <w:t xml:space="preserve">Tanja Chopra, </w:t>
            </w:r>
            <w:r w:rsidR="00BD372D">
              <w:rPr>
                <w:rFonts w:ascii="Calibri" w:hAnsi="Calibri" w:cs="Calibri"/>
              </w:rPr>
              <w:t xml:space="preserve">Gender Accountability Framework </w:t>
            </w:r>
            <w:r>
              <w:rPr>
                <w:rFonts w:ascii="Calibri" w:hAnsi="Calibri" w:cs="Calibri"/>
              </w:rPr>
              <w:t xml:space="preserve">Consultant  </w:t>
            </w:r>
          </w:p>
        </w:tc>
      </w:tr>
    </w:tbl>
    <w:p w:rsidR="00F52775" w:rsidRPr="00F52775" w:rsidRDefault="00F52775" w:rsidP="00F52775">
      <w:pPr>
        <w:ind w:left="0"/>
        <w:rPr>
          <w:rFonts w:ascii="Calibri" w:hAnsi="Calibri" w:cs="Calibri"/>
          <w:sz w:val="22"/>
          <w:szCs w:val="22"/>
        </w:rPr>
      </w:pPr>
    </w:p>
    <w:p w:rsidR="00D50D23" w:rsidRPr="004414BB" w:rsidRDefault="00B71734" w:rsidP="007F4846">
      <w:pPr>
        <w:pStyle w:val="ListNumber"/>
        <w:spacing w:line="240" w:lineRule="auto"/>
        <w:rPr>
          <w:rFonts w:ascii="Calibri" w:hAnsi="Calibri" w:cs="Calibri"/>
          <w:sz w:val="22"/>
        </w:rPr>
      </w:pPr>
      <w:r>
        <w:rPr>
          <w:rFonts w:ascii="Calibri" w:hAnsi="Calibri" w:cs="Calibri"/>
          <w:sz w:val="22"/>
        </w:rPr>
        <w:t>AGENDA ITEMS</w:t>
      </w:r>
    </w:p>
    <w:p w:rsidR="00C1643D" w:rsidRDefault="0026762B" w:rsidP="00EC1B0D">
      <w:pPr>
        <w:pStyle w:val="ListNumber2"/>
        <w:spacing w:line="240" w:lineRule="auto"/>
        <w:ind w:left="180" w:hanging="270"/>
        <w:rPr>
          <w:rFonts w:ascii="Calibri" w:hAnsi="Calibri" w:cs="Calibri"/>
          <w:sz w:val="22"/>
        </w:rPr>
      </w:pPr>
      <w:r w:rsidRPr="00B71734">
        <w:rPr>
          <w:rFonts w:ascii="Calibri" w:eastAsia="Batang" w:hAnsi="Calibri" w:cs="Calibri"/>
          <w:b/>
          <w:color w:val="4F81BD" w:themeColor="accent1"/>
          <w:sz w:val="22"/>
        </w:rPr>
        <w:t>IASC Guidelines on Persons with Disabilities</w:t>
      </w:r>
      <w:r w:rsidR="0029636A" w:rsidRPr="00B71734">
        <w:rPr>
          <w:rFonts w:ascii="Calibri" w:hAnsi="Calibri" w:cs="Calibri"/>
          <w:sz w:val="20"/>
        </w:rPr>
        <w:t xml:space="preserve"> </w:t>
      </w:r>
      <w:r w:rsidR="0029636A">
        <w:rPr>
          <w:rFonts w:ascii="Calibri" w:hAnsi="Calibri" w:cs="Calibri"/>
          <w:sz w:val="22"/>
        </w:rPr>
        <w:t>[</w:t>
      </w:r>
      <w:r w:rsidR="009F38B3">
        <w:rPr>
          <w:rFonts w:ascii="Calibri" w:hAnsi="Calibri" w:cs="Calibri"/>
          <w:sz w:val="22"/>
        </w:rPr>
        <w:t>WRC</w:t>
      </w:r>
      <w:r w:rsidR="0029636A">
        <w:rPr>
          <w:rFonts w:ascii="Calibri" w:hAnsi="Calibri" w:cs="Calibri"/>
          <w:sz w:val="22"/>
        </w:rPr>
        <w:t>]</w:t>
      </w:r>
    </w:p>
    <w:p w:rsidR="0029636A" w:rsidRDefault="0029636A" w:rsidP="00B71734">
      <w:pPr>
        <w:pStyle w:val="ListNumber2"/>
        <w:numPr>
          <w:ilvl w:val="0"/>
          <w:numId w:val="0"/>
        </w:numPr>
        <w:spacing w:line="240" w:lineRule="auto"/>
        <w:ind w:left="360"/>
        <w:jc w:val="both"/>
        <w:rPr>
          <w:rFonts w:ascii="Calibri" w:hAnsi="Calibri" w:cs="Calibri"/>
          <w:sz w:val="22"/>
        </w:rPr>
      </w:pPr>
      <w:r>
        <w:rPr>
          <w:rFonts w:ascii="Calibri" w:hAnsi="Calibri" w:cs="Calibri"/>
          <w:sz w:val="22"/>
        </w:rPr>
        <w:t>Consultation process and drafting for the Guidelines on Persons with Disabilities are ongoing. Regional consultations planned in Asia Pacific (Jan) and MENA (6</w:t>
      </w:r>
      <w:r w:rsidRPr="0029636A">
        <w:rPr>
          <w:rFonts w:ascii="Calibri" w:hAnsi="Calibri" w:cs="Calibri"/>
          <w:sz w:val="22"/>
          <w:vertAlign w:val="superscript"/>
        </w:rPr>
        <w:t>th</w:t>
      </w:r>
      <w:r>
        <w:rPr>
          <w:rFonts w:ascii="Calibri" w:hAnsi="Calibri" w:cs="Calibri"/>
          <w:sz w:val="22"/>
        </w:rPr>
        <w:t xml:space="preserve"> and 7</w:t>
      </w:r>
      <w:r w:rsidRPr="0029636A">
        <w:rPr>
          <w:rFonts w:ascii="Calibri" w:hAnsi="Calibri" w:cs="Calibri"/>
          <w:sz w:val="22"/>
          <w:vertAlign w:val="superscript"/>
        </w:rPr>
        <w:t>th</w:t>
      </w:r>
      <w:r>
        <w:rPr>
          <w:rFonts w:ascii="Calibri" w:hAnsi="Calibri" w:cs="Calibri"/>
          <w:sz w:val="22"/>
        </w:rPr>
        <w:t xml:space="preserve">, March). </w:t>
      </w:r>
      <w:r w:rsidR="0073507F">
        <w:rPr>
          <w:rFonts w:ascii="Calibri" w:hAnsi="Calibri" w:cs="Calibri"/>
          <w:sz w:val="22"/>
        </w:rPr>
        <w:t>Others to be planned</w:t>
      </w:r>
      <w:r>
        <w:rPr>
          <w:rFonts w:ascii="Calibri" w:hAnsi="Calibri" w:cs="Calibri"/>
          <w:sz w:val="22"/>
        </w:rPr>
        <w:t xml:space="preserve">. The first draft following the consultations will be piloted. </w:t>
      </w:r>
    </w:p>
    <w:p w:rsidR="0073507F" w:rsidRDefault="0073507F" w:rsidP="0073507F">
      <w:pPr>
        <w:pStyle w:val="ListNumber2"/>
        <w:numPr>
          <w:ilvl w:val="0"/>
          <w:numId w:val="0"/>
        </w:numPr>
        <w:spacing w:after="0" w:line="240" w:lineRule="auto"/>
        <w:ind w:left="360"/>
        <w:jc w:val="both"/>
        <w:rPr>
          <w:rFonts w:ascii="Calibri" w:hAnsi="Calibri" w:cs="Calibri"/>
          <w:sz w:val="22"/>
        </w:rPr>
      </w:pPr>
      <w:r>
        <w:rPr>
          <w:rFonts w:ascii="Calibri" w:hAnsi="Calibri" w:cs="Calibri"/>
          <w:b/>
          <w:sz w:val="22"/>
        </w:rPr>
        <w:t xml:space="preserve">Next Steps: </w:t>
      </w:r>
      <w:r>
        <w:rPr>
          <w:rFonts w:ascii="Calibri" w:hAnsi="Calibri" w:cs="Calibri"/>
          <w:sz w:val="22"/>
        </w:rPr>
        <w:t>Co-hosts are welcome for consultations. GRG welcomed to lead on specific consultations for the Guidelines with GBV actors.</w:t>
      </w:r>
      <w:r w:rsidRPr="0073507F">
        <w:rPr>
          <w:rFonts w:ascii="Calibri" w:hAnsi="Calibri" w:cs="Calibri"/>
          <w:sz w:val="22"/>
        </w:rPr>
        <w:t xml:space="preserve"> </w:t>
      </w:r>
      <w:r>
        <w:rPr>
          <w:rFonts w:ascii="Calibri" w:hAnsi="Calibri" w:cs="Calibri"/>
          <w:sz w:val="22"/>
        </w:rPr>
        <w:t>Emma will share Briefing Notes for the Guidelines with the GRG. GRG is also invited to sit in on the TT meetings and consider joining review groups once they are established. WRC can also act as an informal coordinator by bringing products to the GRG for feedback and inputs in the meantime.  WRC has also offered to facilitate the creation of a space for a ‘training plus action lab’ at the HQ level.</w:t>
      </w:r>
    </w:p>
    <w:p w:rsidR="0073507F" w:rsidRPr="0073507F" w:rsidRDefault="0073507F" w:rsidP="0073507F">
      <w:pPr>
        <w:pStyle w:val="ListNumber2"/>
        <w:numPr>
          <w:ilvl w:val="0"/>
          <w:numId w:val="0"/>
        </w:numPr>
        <w:spacing w:after="0" w:line="240" w:lineRule="auto"/>
        <w:ind w:left="360"/>
        <w:jc w:val="both"/>
        <w:rPr>
          <w:rFonts w:ascii="Calibri" w:hAnsi="Calibri" w:cs="Calibri"/>
          <w:b/>
          <w:sz w:val="22"/>
        </w:rPr>
      </w:pPr>
    </w:p>
    <w:p w:rsidR="002C3D7E" w:rsidRDefault="0026762B" w:rsidP="00EC1B0D">
      <w:pPr>
        <w:pStyle w:val="ListNumber2"/>
        <w:spacing w:line="240" w:lineRule="auto"/>
        <w:ind w:left="180" w:hanging="318"/>
        <w:rPr>
          <w:rFonts w:ascii="Calibri" w:hAnsi="Calibri" w:cs="Calibri"/>
          <w:sz w:val="22"/>
        </w:rPr>
      </w:pPr>
      <w:r w:rsidRPr="00B71734">
        <w:rPr>
          <w:rFonts w:ascii="Calibri" w:eastAsia="Batang" w:hAnsi="Calibri" w:cs="Calibri"/>
          <w:b/>
          <w:color w:val="4F81BD" w:themeColor="accent1"/>
          <w:sz w:val="22"/>
        </w:rPr>
        <w:t>The way forward on the Gender Policy (GP) and Gender Accountability Framework (GAF)</w:t>
      </w:r>
      <w:r w:rsidR="00DA7F02">
        <w:rPr>
          <w:rFonts w:ascii="Calibri" w:hAnsi="Calibri" w:cs="Calibri"/>
          <w:sz w:val="22"/>
        </w:rPr>
        <w:t xml:space="preserve"> [</w:t>
      </w:r>
      <w:r w:rsidR="009F38B3">
        <w:rPr>
          <w:rFonts w:ascii="Calibri" w:hAnsi="Calibri" w:cs="Calibri"/>
          <w:sz w:val="22"/>
        </w:rPr>
        <w:t>UN Women</w:t>
      </w:r>
      <w:r w:rsidR="00DA7F02">
        <w:rPr>
          <w:rFonts w:ascii="Calibri" w:hAnsi="Calibri" w:cs="Calibri"/>
          <w:sz w:val="22"/>
        </w:rPr>
        <w:t xml:space="preserve">] </w:t>
      </w:r>
    </w:p>
    <w:p w:rsidR="00DA7F02" w:rsidRPr="007F4846" w:rsidRDefault="00DA7F02" w:rsidP="00554B74">
      <w:pPr>
        <w:spacing w:line="240" w:lineRule="auto"/>
        <w:ind w:left="90"/>
      </w:pPr>
      <w:r>
        <w:rPr>
          <w:rFonts w:ascii="Calibri" w:hAnsi="Calibri" w:cs="Calibri"/>
          <w:sz w:val="22"/>
        </w:rPr>
        <w:lastRenderedPageBreak/>
        <w:t xml:space="preserve">Recap of the consultation process [David]: </w:t>
      </w:r>
      <w:r w:rsidRPr="00DA7F02">
        <w:rPr>
          <w:rFonts w:ascii="Calibri" w:hAnsi="Calibri" w:cs="Calibri"/>
          <w:sz w:val="22"/>
        </w:rPr>
        <w:t>Drafts shared periodically with the advisory group. And GRG kept updated through a matrix of changes.</w:t>
      </w:r>
      <w:r>
        <w:t xml:space="preserve"> </w:t>
      </w:r>
    </w:p>
    <w:p w:rsidR="00DA7F02" w:rsidRDefault="00DA7F02" w:rsidP="009F38B3">
      <w:pPr>
        <w:pStyle w:val="ListNumber2"/>
        <w:numPr>
          <w:ilvl w:val="0"/>
          <w:numId w:val="0"/>
        </w:numPr>
        <w:spacing w:line="240" w:lineRule="auto"/>
        <w:ind w:left="90"/>
        <w:rPr>
          <w:rFonts w:ascii="Calibri" w:hAnsi="Calibri" w:cs="Calibri"/>
          <w:sz w:val="22"/>
        </w:rPr>
      </w:pPr>
      <w:r w:rsidRPr="009F38B3">
        <w:rPr>
          <w:rFonts w:ascii="Calibri" w:hAnsi="Calibri" w:cs="Calibri"/>
          <w:b/>
          <w:sz w:val="22"/>
        </w:rPr>
        <w:t xml:space="preserve">Key comments </w:t>
      </w:r>
      <w:r w:rsidR="00B6093D" w:rsidRPr="009F38B3">
        <w:rPr>
          <w:rFonts w:ascii="Calibri" w:hAnsi="Calibri" w:cs="Calibri"/>
          <w:b/>
          <w:sz w:val="22"/>
        </w:rPr>
        <w:t>on</w:t>
      </w:r>
      <w:r w:rsidRPr="009F38B3">
        <w:rPr>
          <w:rFonts w:ascii="Calibri" w:hAnsi="Calibri" w:cs="Calibri"/>
          <w:b/>
          <w:sz w:val="22"/>
        </w:rPr>
        <w:t xml:space="preserve"> Gender Policy </w:t>
      </w:r>
      <w:r w:rsidR="00B6093D" w:rsidRPr="009F38B3">
        <w:rPr>
          <w:rFonts w:ascii="Calibri" w:hAnsi="Calibri" w:cs="Calibri"/>
          <w:b/>
          <w:sz w:val="22"/>
        </w:rPr>
        <w:t xml:space="preserve">Draft </w:t>
      </w:r>
      <w:r w:rsidRPr="009F38B3">
        <w:rPr>
          <w:rFonts w:ascii="Calibri" w:hAnsi="Calibri" w:cs="Calibri"/>
          <w:b/>
          <w:sz w:val="22"/>
        </w:rPr>
        <w:t xml:space="preserve">and Responses </w:t>
      </w:r>
      <w:r>
        <w:rPr>
          <w:rFonts w:ascii="Calibri" w:hAnsi="Calibri" w:cs="Calibri"/>
          <w:sz w:val="22"/>
        </w:rPr>
        <w:t>[</w:t>
      </w:r>
      <w:r w:rsidR="00BD372D">
        <w:rPr>
          <w:rFonts w:ascii="Calibri" w:hAnsi="Calibri" w:cs="Calibri"/>
          <w:sz w:val="22"/>
        </w:rPr>
        <w:t>Gender Policy Consultant</w:t>
      </w:r>
      <w:r>
        <w:rPr>
          <w:rFonts w:ascii="Calibri" w:hAnsi="Calibri" w:cs="Calibri"/>
          <w:sz w:val="22"/>
        </w:rPr>
        <w:t>]:</w:t>
      </w:r>
    </w:p>
    <w:p w:rsidR="00DA7F02" w:rsidRDefault="007F4846" w:rsidP="00B71734">
      <w:pPr>
        <w:pStyle w:val="ListNumber2"/>
        <w:numPr>
          <w:ilvl w:val="6"/>
          <w:numId w:val="40"/>
        </w:numPr>
        <w:spacing w:line="240" w:lineRule="auto"/>
        <w:ind w:left="360" w:hanging="270"/>
        <w:jc w:val="both"/>
        <w:rPr>
          <w:rFonts w:ascii="Calibri" w:hAnsi="Calibri" w:cs="Calibri"/>
          <w:sz w:val="22"/>
        </w:rPr>
      </w:pPr>
      <w:r>
        <w:rPr>
          <w:rFonts w:ascii="Calibri" w:hAnsi="Calibri" w:cs="Calibri"/>
          <w:sz w:val="22"/>
        </w:rPr>
        <w:t xml:space="preserve">Accepted comments and reflected changes include: emphasis on women’s capacities and men’s vulnerabilities, inclusion of clear standards and detailed roles and responsibilities, stronger intersectionality, addition of an appendix with working definitions, and prominence of the role of women’s rights organization. </w:t>
      </w:r>
      <w:r w:rsidR="00B6093D">
        <w:rPr>
          <w:rFonts w:ascii="Calibri" w:hAnsi="Calibri" w:cs="Calibri"/>
          <w:sz w:val="22"/>
        </w:rPr>
        <w:t xml:space="preserve">As per comments, the 15% financial target has been substituted with text calling for all IASC organizations to fully resource for both mainstreaming and targeted action by creating specific budget lines. </w:t>
      </w:r>
    </w:p>
    <w:p w:rsidR="00B6093D" w:rsidRDefault="00B6093D" w:rsidP="00B71734">
      <w:pPr>
        <w:pStyle w:val="ListNumber2"/>
        <w:numPr>
          <w:ilvl w:val="6"/>
          <w:numId w:val="40"/>
        </w:numPr>
        <w:spacing w:line="240" w:lineRule="auto"/>
        <w:ind w:left="360" w:hanging="270"/>
        <w:jc w:val="both"/>
        <w:rPr>
          <w:rFonts w:ascii="Calibri" w:hAnsi="Calibri" w:cs="Calibri"/>
          <w:sz w:val="22"/>
        </w:rPr>
      </w:pPr>
      <w:r>
        <w:rPr>
          <w:rFonts w:ascii="Calibri" w:hAnsi="Calibri" w:cs="Calibri"/>
          <w:sz w:val="22"/>
        </w:rPr>
        <w:t xml:space="preserve">The suggestion to include a menu of options to advance gender equality and women’s empowerment was not accepted as it could be counterproductive. Instead, the GP provides programme standards and organizational processes. In response to the question on how the ‘gender and age marker’ / the’ gender marker’ will be referred to, the policy indicates that they are under revision. </w:t>
      </w:r>
    </w:p>
    <w:p w:rsidR="00B6093D" w:rsidRDefault="00B6093D" w:rsidP="00B71734">
      <w:pPr>
        <w:pStyle w:val="ListNumber2"/>
        <w:numPr>
          <w:ilvl w:val="6"/>
          <w:numId w:val="40"/>
        </w:numPr>
        <w:spacing w:line="240" w:lineRule="auto"/>
        <w:ind w:left="360" w:hanging="270"/>
        <w:jc w:val="both"/>
        <w:rPr>
          <w:rFonts w:ascii="Calibri" w:hAnsi="Calibri" w:cs="Calibri"/>
          <w:sz w:val="22"/>
        </w:rPr>
      </w:pPr>
      <w:r>
        <w:rPr>
          <w:rFonts w:ascii="Calibri" w:hAnsi="Calibri" w:cs="Calibri"/>
          <w:sz w:val="22"/>
        </w:rPr>
        <w:t xml:space="preserve">References, </w:t>
      </w:r>
      <w:proofErr w:type="gramStart"/>
      <w:r>
        <w:rPr>
          <w:rFonts w:ascii="Calibri" w:hAnsi="Calibri" w:cs="Calibri"/>
          <w:sz w:val="22"/>
        </w:rPr>
        <w:t>few in number</w:t>
      </w:r>
      <w:proofErr w:type="gramEnd"/>
      <w:r>
        <w:rPr>
          <w:rFonts w:ascii="Calibri" w:hAnsi="Calibri" w:cs="Calibri"/>
          <w:sz w:val="22"/>
        </w:rPr>
        <w:t xml:space="preserve">, to peacebuilding have been retained to reflect the latest understanding of the humanitarian-development-peace building nexus. </w:t>
      </w:r>
    </w:p>
    <w:p w:rsidR="00B6093D" w:rsidRDefault="00B6093D" w:rsidP="00B71734">
      <w:pPr>
        <w:pStyle w:val="ListNumber2"/>
        <w:numPr>
          <w:ilvl w:val="6"/>
          <w:numId w:val="40"/>
        </w:numPr>
        <w:spacing w:line="240" w:lineRule="auto"/>
        <w:ind w:left="360" w:hanging="270"/>
        <w:jc w:val="both"/>
        <w:rPr>
          <w:rFonts w:ascii="Calibri" w:hAnsi="Calibri" w:cs="Calibri"/>
          <w:sz w:val="22"/>
        </w:rPr>
      </w:pPr>
      <w:r>
        <w:rPr>
          <w:rFonts w:ascii="Calibri" w:hAnsi="Calibri" w:cs="Calibri"/>
          <w:sz w:val="22"/>
        </w:rPr>
        <w:t>The responsibility of monitoring policy commitments has been edited from the GRG to ‘To be decided.’</w:t>
      </w:r>
    </w:p>
    <w:p w:rsidR="00B6093D" w:rsidRDefault="00B6093D" w:rsidP="00B71734">
      <w:pPr>
        <w:pStyle w:val="ListNumber2"/>
        <w:numPr>
          <w:ilvl w:val="6"/>
          <w:numId w:val="40"/>
        </w:numPr>
        <w:spacing w:line="240" w:lineRule="auto"/>
        <w:ind w:left="360" w:hanging="270"/>
        <w:jc w:val="both"/>
        <w:rPr>
          <w:rFonts w:ascii="Calibri" w:hAnsi="Calibri" w:cs="Calibri"/>
          <w:sz w:val="22"/>
        </w:rPr>
      </w:pPr>
      <w:r>
        <w:rPr>
          <w:rFonts w:ascii="Calibri" w:hAnsi="Calibri" w:cs="Calibri"/>
          <w:sz w:val="22"/>
        </w:rPr>
        <w:t xml:space="preserve">Reference to ‘Senior Focal Points’ have been retained because commitments will simply be partially effective unless assigned to a person of seniority. </w:t>
      </w:r>
    </w:p>
    <w:p w:rsidR="00B6093D" w:rsidRDefault="00B6093D" w:rsidP="009F38B3">
      <w:pPr>
        <w:pStyle w:val="ListNumber2"/>
        <w:numPr>
          <w:ilvl w:val="0"/>
          <w:numId w:val="0"/>
        </w:numPr>
        <w:spacing w:line="240" w:lineRule="auto"/>
        <w:ind w:left="180" w:hanging="90"/>
        <w:rPr>
          <w:rFonts w:ascii="Calibri" w:hAnsi="Calibri" w:cs="Calibri"/>
          <w:sz w:val="22"/>
        </w:rPr>
      </w:pPr>
      <w:r w:rsidRPr="009F38B3">
        <w:rPr>
          <w:rFonts w:ascii="Calibri" w:hAnsi="Calibri" w:cs="Calibri"/>
          <w:b/>
          <w:sz w:val="22"/>
        </w:rPr>
        <w:t>Key comments on GAF and Responses</w:t>
      </w:r>
      <w:r>
        <w:rPr>
          <w:rFonts w:ascii="Calibri" w:hAnsi="Calibri" w:cs="Calibri"/>
          <w:sz w:val="22"/>
        </w:rPr>
        <w:t xml:space="preserve"> [</w:t>
      </w:r>
      <w:r w:rsidR="00BD372D">
        <w:rPr>
          <w:rFonts w:ascii="Calibri" w:hAnsi="Calibri" w:cs="Calibri"/>
          <w:sz w:val="22"/>
        </w:rPr>
        <w:t>Gender Accountability Framework Consultant</w:t>
      </w:r>
      <w:r>
        <w:rPr>
          <w:rFonts w:ascii="Calibri" w:hAnsi="Calibri" w:cs="Calibri"/>
          <w:sz w:val="22"/>
        </w:rPr>
        <w:t xml:space="preserve">] </w:t>
      </w:r>
    </w:p>
    <w:p w:rsidR="00D40A61" w:rsidRDefault="00D40A61" w:rsidP="00554B74">
      <w:pPr>
        <w:pStyle w:val="ListNumber2"/>
        <w:numPr>
          <w:ilvl w:val="0"/>
          <w:numId w:val="0"/>
        </w:numPr>
        <w:spacing w:line="240" w:lineRule="auto"/>
        <w:ind w:left="360" w:hanging="270"/>
        <w:jc w:val="both"/>
        <w:rPr>
          <w:rFonts w:ascii="Calibri" w:hAnsi="Calibri" w:cs="Calibri"/>
          <w:sz w:val="22"/>
        </w:rPr>
      </w:pPr>
      <w:r w:rsidRPr="00D40A61">
        <w:rPr>
          <w:rFonts w:ascii="Calibri" w:hAnsi="Calibri" w:cs="Calibri"/>
          <w:sz w:val="22"/>
        </w:rPr>
        <w:t>1.</w:t>
      </w:r>
      <w:r>
        <w:rPr>
          <w:rFonts w:ascii="Calibri" w:hAnsi="Calibri" w:cs="Calibri"/>
          <w:sz w:val="22"/>
        </w:rPr>
        <w:t xml:space="preserve">  Questions on how to ensure adequate enforcement of policy raised. </w:t>
      </w:r>
    </w:p>
    <w:p w:rsidR="00DA7F02" w:rsidRDefault="00D40A61" w:rsidP="00554B74">
      <w:pPr>
        <w:pStyle w:val="ListNumber2"/>
        <w:numPr>
          <w:ilvl w:val="0"/>
          <w:numId w:val="0"/>
        </w:numPr>
        <w:spacing w:line="240" w:lineRule="auto"/>
        <w:ind w:left="360" w:hanging="270"/>
        <w:jc w:val="both"/>
        <w:rPr>
          <w:rFonts w:ascii="Calibri" w:hAnsi="Calibri" w:cs="Calibri"/>
          <w:sz w:val="22"/>
        </w:rPr>
      </w:pPr>
      <w:r>
        <w:rPr>
          <w:rFonts w:ascii="Calibri" w:hAnsi="Calibri" w:cs="Calibri"/>
          <w:sz w:val="22"/>
        </w:rPr>
        <w:t xml:space="preserve">2.  How best to proceed on monitoring of the policy? Global versus field level. Suggestion to focus on collective work i.e., what did organization A, as a collective body, achieve? </w:t>
      </w:r>
    </w:p>
    <w:p w:rsidR="00D40A61" w:rsidRDefault="00D40A61" w:rsidP="00554B74">
      <w:pPr>
        <w:pStyle w:val="ListNumber2"/>
        <w:numPr>
          <w:ilvl w:val="0"/>
          <w:numId w:val="0"/>
        </w:numPr>
        <w:spacing w:line="240" w:lineRule="auto"/>
        <w:ind w:left="270" w:hanging="180"/>
        <w:jc w:val="both"/>
        <w:rPr>
          <w:rFonts w:ascii="Calibri" w:hAnsi="Calibri" w:cs="Calibri"/>
          <w:sz w:val="22"/>
        </w:rPr>
      </w:pPr>
      <w:r>
        <w:rPr>
          <w:rFonts w:ascii="Calibri" w:hAnsi="Calibri" w:cs="Calibri"/>
          <w:sz w:val="22"/>
        </w:rPr>
        <w:t xml:space="preserve">3. Concern over monitoring framework and additional burden for field personnel. This can be addressed by the creation of a separate desk that can liaise with the field and develop monitoring documents. The location of this IASC desk is yet to be determined. The GRG itself should not have a monitoring function due to the conflict of interest. </w:t>
      </w:r>
    </w:p>
    <w:p w:rsidR="00D40A61" w:rsidRPr="009F38B3" w:rsidRDefault="00EA721D" w:rsidP="009F38B3">
      <w:pPr>
        <w:pStyle w:val="ListNumber2"/>
        <w:numPr>
          <w:ilvl w:val="0"/>
          <w:numId w:val="0"/>
        </w:numPr>
        <w:spacing w:line="240" w:lineRule="auto"/>
        <w:ind w:left="90"/>
        <w:jc w:val="both"/>
        <w:rPr>
          <w:rFonts w:ascii="Calibri" w:hAnsi="Calibri" w:cs="Calibri"/>
          <w:b/>
          <w:sz w:val="22"/>
        </w:rPr>
      </w:pPr>
      <w:r w:rsidRPr="009F38B3">
        <w:rPr>
          <w:rFonts w:ascii="Calibri" w:hAnsi="Calibri" w:cs="Calibri"/>
          <w:b/>
          <w:sz w:val="22"/>
        </w:rPr>
        <w:t xml:space="preserve">Concerns </w:t>
      </w:r>
      <w:r w:rsidR="00BD372D" w:rsidRPr="009F38B3">
        <w:rPr>
          <w:rFonts w:ascii="Calibri" w:hAnsi="Calibri" w:cs="Calibri"/>
          <w:b/>
          <w:sz w:val="22"/>
        </w:rPr>
        <w:t>raised by OCHA on</w:t>
      </w:r>
      <w:r w:rsidRPr="009F38B3">
        <w:rPr>
          <w:rFonts w:ascii="Calibri" w:hAnsi="Calibri" w:cs="Calibri"/>
          <w:b/>
          <w:sz w:val="22"/>
        </w:rPr>
        <w:t xml:space="preserve"> Gender Policy and Gender Accountability Framework Drafts </w:t>
      </w:r>
      <w:r w:rsidR="009E69C7" w:rsidRPr="009F38B3">
        <w:rPr>
          <w:rFonts w:ascii="Calibri" w:hAnsi="Calibri" w:cs="Calibri"/>
          <w:b/>
          <w:sz w:val="22"/>
        </w:rPr>
        <w:t xml:space="preserve">and </w:t>
      </w:r>
      <w:r w:rsidR="00596F15" w:rsidRPr="009F38B3">
        <w:rPr>
          <w:rFonts w:ascii="Calibri" w:hAnsi="Calibri" w:cs="Calibri"/>
          <w:b/>
          <w:sz w:val="22"/>
        </w:rPr>
        <w:t xml:space="preserve">Corresponding </w:t>
      </w:r>
      <w:r w:rsidR="009E69C7" w:rsidRPr="009F38B3">
        <w:rPr>
          <w:rFonts w:ascii="Calibri" w:hAnsi="Calibri" w:cs="Calibri"/>
          <w:b/>
          <w:sz w:val="22"/>
        </w:rPr>
        <w:t>Responses</w:t>
      </w:r>
    </w:p>
    <w:p w:rsidR="00EA721D" w:rsidRDefault="009E69C7" w:rsidP="00B71734">
      <w:pPr>
        <w:pStyle w:val="ListNumber2"/>
        <w:numPr>
          <w:ilvl w:val="0"/>
          <w:numId w:val="0"/>
        </w:numPr>
        <w:spacing w:line="240" w:lineRule="auto"/>
        <w:ind w:left="360"/>
        <w:jc w:val="both"/>
        <w:rPr>
          <w:rFonts w:ascii="Calibri" w:hAnsi="Calibri" w:cs="Calibri"/>
          <w:sz w:val="22"/>
        </w:rPr>
      </w:pPr>
      <w:r>
        <w:rPr>
          <w:rFonts w:ascii="Calibri" w:hAnsi="Calibri" w:cs="Calibri"/>
          <w:sz w:val="22"/>
        </w:rPr>
        <w:t>OCHA happy to see the finalization of the GP and GAF process and recognizes its value</w:t>
      </w:r>
    </w:p>
    <w:p w:rsidR="00BD372D" w:rsidRDefault="009E69C7" w:rsidP="00B71734">
      <w:pPr>
        <w:pStyle w:val="ListNumber2"/>
        <w:numPr>
          <w:ilvl w:val="0"/>
          <w:numId w:val="43"/>
        </w:numPr>
        <w:spacing w:line="240" w:lineRule="auto"/>
        <w:ind w:left="360" w:hanging="270"/>
        <w:jc w:val="both"/>
        <w:rPr>
          <w:rFonts w:ascii="Calibri" w:hAnsi="Calibri" w:cs="Calibri"/>
          <w:sz w:val="22"/>
        </w:rPr>
      </w:pPr>
      <w:r>
        <w:rPr>
          <w:rFonts w:ascii="Calibri" w:hAnsi="Calibri" w:cs="Calibri"/>
          <w:sz w:val="22"/>
        </w:rPr>
        <w:t>Concern with use of “empowerment”</w:t>
      </w:r>
      <w:r w:rsidR="000512DB">
        <w:rPr>
          <w:rFonts w:ascii="Calibri" w:hAnsi="Calibri" w:cs="Calibri"/>
          <w:sz w:val="22"/>
        </w:rPr>
        <w:t xml:space="preserve"> and whether it is realistic to set this as a goal. </w:t>
      </w:r>
      <w:r w:rsidR="00745626">
        <w:rPr>
          <w:rFonts w:ascii="Calibri" w:hAnsi="Calibri" w:cs="Calibri"/>
          <w:sz w:val="22"/>
        </w:rPr>
        <w:t xml:space="preserve">We can work towards participation but is “empowerment” too heavy a goal? [OCHA] </w:t>
      </w:r>
    </w:p>
    <w:p w:rsidR="00EC1B0D" w:rsidRDefault="00BD372D" w:rsidP="00BD372D">
      <w:pPr>
        <w:pStyle w:val="ListNumber2"/>
        <w:numPr>
          <w:ilvl w:val="0"/>
          <w:numId w:val="0"/>
        </w:numPr>
        <w:spacing w:line="240" w:lineRule="auto"/>
        <w:ind w:left="360"/>
        <w:jc w:val="both"/>
        <w:rPr>
          <w:rFonts w:ascii="Calibri" w:hAnsi="Calibri" w:cs="Calibri"/>
          <w:sz w:val="22"/>
        </w:rPr>
      </w:pPr>
      <w:r>
        <w:rPr>
          <w:rFonts w:ascii="Calibri" w:hAnsi="Calibri" w:cs="Calibri"/>
          <w:sz w:val="22"/>
        </w:rPr>
        <w:t>Response</w:t>
      </w:r>
      <w:r w:rsidR="00EC1B0D">
        <w:rPr>
          <w:rFonts w:ascii="Calibri" w:hAnsi="Calibri" w:cs="Calibri"/>
          <w:sz w:val="22"/>
        </w:rPr>
        <w:t xml:space="preserve"> from UN Women and seconded by GP consultant</w:t>
      </w:r>
      <w:r>
        <w:rPr>
          <w:rFonts w:ascii="Calibri" w:hAnsi="Calibri" w:cs="Calibri"/>
          <w:sz w:val="22"/>
        </w:rPr>
        <w:t xml:space="preserve">: </w:t>
      </w:r>
      <w:r w:rsidR="00EC1B0D">
        <w:rPr>
          <w:rFonts w:ascii="Calibri" w:hAnsi="Calibri" w:cs="Calibri"/>
          <w:sz w:val="22"/>
        </w:rPr>
        <w:t xml:space="preserve">The term was not newly introduced as the precedent is there in the original policy. </w:t>
      </w:r>
      <w:r w:rsidR="00745626">
        <w:rPr>
          <w:rFonts w:ascii="Calibri" w:hAnsi="Calibri" w:cs="Calibri"/>
          <w:sz w:val="22"/>
        </w:rPr>
        <w:t xml:space="preserve">To remove it would be a step backwards. </w:t>
      </w:r>
      <w:r w:rsidR="00C86897">
        <w:rPr>
          <w:rFonts w:ascii="Calibri" w:hAnsi="Calibri" w:cs="Calibri"/>
          <w:sz w:val="22"/>
        </w:rPr>
        <w:t xml:space="preserve"> Also, process was to update the policy rather than to rewrite it.</w:t>
      </w:r>
    </w:p>
    <w:p w:rsidR="00745626" w:rsidRDefault="00745626" w:rsidP="00BD372D">
      <w:pPr>
        <w:pStyle w:val="ListNumber2"/>
        <w:numPr>
          <w:ilvl w:val="0"/>
          <w:numId w:val="0"/>
        </w:numPr>
        <w:spacing w:line="240" w:lineRule="auto"/>
        <w:ind w:left="360"/>
        <w:jc w:val="both"/>
        <w:rPr>
          <w:rFonts w:ascii="Calibri" w:hAnsi="Calibri" w:cs="Calibri"/>
          <w:sz w:val="22"/>
        </w:rPr>
      </w:pPr>
      <w:r>
        <w:rPr>
          <w:rFonts w:ascii="Calibri" w:hAnsi="Calibri" w:cs="Calibri"/>
          <w:sz w:val="22"/>
        </w:rPr>
        <w:lastRenderedPageBreak/>
        <w:t xml:space="preserve">Oxfam in agreement with response but added that it would be worth unpacking the term in concrete terms particularly for the field. </w:t>
      </w:r>
    </w:p>
    <w:p w:rsidR="00EC1B0D" w:rsidRDefault="00EC1B0D" w:rsidP="00BD372D">
      <w:pPr>
        <w:pStyle w:val="ListNumber2"/>
        <w:numPr>
          <w:ilvl w:val="0"/>
          <w:numId w:val="0"/>
        </w:numPr>
        <w:spacing w:line="240" w:lineRule="auto"/>
        <w:ind w:left="360"/>
        <w:jc w:val="both"/>
        <w:rPr>
          <w:rFonts w:ascii="Calibri" w:hAnsi="Calibri" w:cs="Calibri"/>
          <w:sz w:val="22"/>
        </w:rPr>
      </w:pPr>
      <w:r>
        <w:rPr>
          <w:rFonts w:ascii="Calibri" w:hAnsi="Calibri" w:cs="Calibri"/>
          <w:sz w:val="22"/>
        </w:rPr>
        <w:t xml:space="preserve">It was agreed to retain “empowerment” with a clearer articulation of the term and better reflected in the GAF to ensure accountability. </w:t>
      </w:r>
    </w:p>
    <w:p w:rsidR="00BD372D" w:rsidRDefault="009E69C7" w:rsidP="00B71734">
      <w:pPr>
        <w:pStyle w:val="ListNumber2"/>
        <w:numPr>
          <w:ilvl w:val="0"/>
          <w:numId w:val="43"/>
        </w:numPr>
        <w:spacing w:line="240" w:lineRule="auto"/>
        <w:ind w:left="360" w:hanging="270"/>
        <w:jc w:val="both"/>
        <w:rPr>
          <w:rFonts w:ascii="Calibri" w:hAnsi="Calibri" w:cs="Calibri"/>
          <w:sz w:val="22"/>
        </w:rPr>
      </w:pPr>
      <w:r>
        <w:rPr>
          <w:rFonts w:ascii="Calibri" w:hAnsi="Calibri" w:cs="Calibri"/>
          <w:sz w:val="22"/>
        </w:rPr>
        <w:t>Concern with reference</w:t>
      </w:r>
      <w:r w:rsidR="00745626">
        <w:rPr>
          <w:rFonts w:ascii="Calibri" w:hAnsi="Calibri" w:cs="Calibri"/>
          <w:sz w:val="22"/>
        </w:rPr>
        <w:t>s</w:t>
      </w:r>
      <w:r>
        <w:rPr>
          <w:rFonts w:ascii="Calibri" w:hAnsi="Calibri" w:cs="Calibri"/>
          <w:sz w:val="22"/>
        </w:rPr>
        <w:t xml:space="preserve"> to a single institution</w:t>
      </w:r>
      <w:r w:rsidR="00745626">
        <w:rPr>
          <w:rFonts w:ascii="Calibri" w:hAnsi="Calibri" w:cs="Calibri"/>
          <w:sz w:val="22"/>
        </w:rPr>
        <w:t>, specifically UN Women, in the GP, without references to contributions by other agencies [OCHA]</w:t>
      </w:r>
      <w:r w:rsidR="00307731">
        <w:rPr>
          <w:rFonts w:ascii="Calibri" w:hAnsi="Calibri" w:cs="Calibri"/>
          <w:sz w:val="22"/>
        </w:rPr>
        <w:t xml:space="preserve"> </w:t>
      </w:r>
    </w:p>
    <w:p w:rsidR="00745626" w:rsidRDefault="00745626" w:rsidP="00BD372D">
      <w:pPr>
        <w:pStyle w:val="ListNumber2"/>
        <w:numPr>
          <w:ilvl w:val="0"/>
          <w:numId w:val="0"/>
        </w:numPr>
        <w:spacing w:line="240" w:lineRule="auto"/>
        <w:ind w:left="360"/>
        <w:jc w:val="both"/>
        <w:rPr>
          <w:rFonts w:ascii="Calibri" w:hAnsi="Calibri" w:cs="Calibri"/>
          <w:sz w:val="22"/>
        </w:rPr>
      </w:pPr>
      <w:r>
        <w:rPr>
          <w:rFonts w:ascii="Calibri" w:hAnsi="Calibri" w:cs="Calibri"/>
          <w:sz w:val="22"/>
        </w:rPr>
        <w:t xml:space="preserve">Clarification from GP Consultant: </w:t>
      </w:r>
      <w:r w:rsidR="00775E70">
        <w:rPr>
          <w:rFonts w:ascii="Calibri" w:hAnsi="Calibri" w:cs="Calibri"/>
          <w:sz w:val="22"/>
        </w:rPr>
        <w:t xml:space="preserve">It was included to record what has changed institutionally since the previous policy in 2008. </w:t>
      </w:r>
    </w:p>
    <w:p w:rsidR="00745626" w:rsidRDefault="00745626" w:rsidP="00BD372D">
      <w:pPr>
        <w:pStyle w:val="ListNumber2"/>
        <w:numPr>
          <w:ilvl w:val="0"/>
          <w:numId w:val="0"/>
        </w:numPr>
        <w:spacing w:line="240" w:lineRule="auto"/>
        <w:ind w:left="360"/>
        <w:jc w:val="both"/>
        <w:rPr>
          <w:rFonts w:ascii="Calibri" w:hAnsi="Calibri" w:cs="Calibri"/>
          <w:sz w:val="22"/>
        </w:rPr>
      </w:pPr>
      <w:r>
        <w:rPr>
          <w:rFonts w:ascii="Calibri" w:hAnsi="Calibri" w:cs="Calibri"/>
          <w:sz w:val="22"/>
        </w:rPr>
        <w:t xml:space="preserve">Response from UN Women: </w:t>
      </w:r>
      <w:r w:rsidR="00775E70">
        <w:rPr>
          <w:rFonts w:ascii="Calibri" w:hAnsi="Calibri" w:cs="Calibri"/>
          <w:sz w:val="22"/>
        </w:rPr>
        <w:t xml:space="preserve">It is not necessary to mention any agency specifically. </w:t>
      </w:r>
      <w:r>
        <w:rPr>
          <w:rFonts w:ascii="Calibri" w:hAnsi="Calibri" w:cs="Calibri"/>
          <w:sz w:val="22"/>
        </w:rPr>
        <w:t>Suggest that the language be edited to reflect more generally</w:t>
      </w:r>
      <w:r w:rsidR="00775E70">
        <w:rPr>
          <w:rFonts w:ascii="Calibri" w:hAnsi="Calibri" w:cs="Calibri"/>
          <w:sz w:val="22"/>
        </w:rPr>
        <w:t>,</w:t>
      </w:r>
      <w:r>
        <w:rPr>
          <w:rFonts w:ascii="Calibri" w:hAnsi="Calibri" w:cs="Calibri"/>
          <w:sz w:val="22"/>
        </w:rPr>
        <w:t xml:space="preserve"> institutional changes since the previous policy.</w:t>
      </w:r>
    </w:p>
    <w:p w:rsidR="009E69C7" w:rsidRDefault="00745626" w:rsidP="00745626">
      <w:pPr>
        <w:pStyle w:val="ListNumber2"/>
        <w:numPr>
          <w:ilvl w:val="0"/>
          <w:numId w:val="0"/>
        </w:numPr>
        <w:spacing w:line="240" w:lineRule="auto"/>
        <w:ind w:left="360"/>
        <w:jc w:val="both"/>
        <w:rPr>
          <w:rFonts w:ascii="Calibri" w:hAnsi="Calibri" w:cs="Calibri"/>
          <w:sz w:val="22"/>
        </w:rPr>
      </w:pPr>
      <w:r>
        <w:rPr>
          <w:rFonts w:ascii="Calibri" w:hAnsi="Calibri" w:cs="Calibri"/>
          <w:sz w:val="22"/>
        </w:rPr>
        <w:t xml:space="preserve">The above suggestion was accepted. </w:t>
      </w:r>
    </w:p>
    <w:p w:rsidR="00775E70" w:rsidRDefault="009E69C7" w:rsidP="00B71734">
      <w:pPr>
        <w:pStyle w:val="ListNumber2"/>
        <w:numPr>
          <w:ilvl w:val="0"/>
          <w:numId w:val="43"/>
        </w:numPr>
        <w:spacing w:line="240" w:lineRule="auto"/>
        <w:ind w:left="360" w:hanging="270"/>
        <w:jc w:val="both"/>
        <w:rPr>
          <w:rFonts w:ascii="Calibri" w:hAnsi="Calibri" w:cs="Calibri"/>
          <w:sz w:val="22"/>
        </w:rPr>
      </w:pPr>
      <w:r>
        <w:rPr>
          <w:rFonts w:ascii="Calibri" w:hAnsi="Calibri" w:cs="Calibri"/>
          <w:sz w:val="22"/>
        </w:rPr>
        <w:t xml:space="preserve">Suggestion to use GenCap Support Unit as </w:t>
      </w:r>
      <w:r w:rsidR="00596F15">
        <w:rPr>
          <w:rFonts w:ascii="Calibri" w:hAnsi="Calibri" w:cs="Calibri"/>
          <w:sz w:val="22"/>
        </w:rPr>
        <w:t>IASC Desk</w:t>
      </w:r>
      <w:r w:rsidR="00775E70">
        <w:rPr>
          <w:rFonts w:ascii="Calibri" w:hAnsi="Calibri" w:cs="Calibri"/>
          <w:sz w:val="22"/>
        </w:rPr>
        <w:t xml:space="preserve"> to avoid creating parallel systems [OCHA]</w:t>
      </w:r>
      <w:r w:rsidR="00307731">
        <w:rPr>
          <w:rFonts w:ascii="Calibri" w:hAnsi="Calibri" w:cs="Calibri"/>
          <w:sz w:val="22"/>
        </w:rPr>
        <w:t xml:space="preserve"> </w:t>
      </w:r>
    </w:p>
    <w:p w:rsidR="00775E70" w:rsidRDefault="00775E70" w:rsidP="00775E70">
      <w:pPr>
        <w:pStyle w:val="ListNumber2"/>
        <w:numPr>
          <w:ilvl w:val="0"/>
          <w:numId w:val="0"/>
        </w:numPr>
        <w:spacing w:line="240" w:lineRule="auto"/>
        <w:ind w:left="360"/>
        <w:jc w:val="both"/>
        <w:rPr>
          <w:rFonts w:ascii="Calibri" w:hAnsi="Calibri" w:cs="Calibri"/>
          <w:sz w:val="22"/>
        </w:rPr>
      </w:pPr>
      <w:r>
        <w:rPr>
          <w:rFonts w:ascii="Calibri" w:hAnsi="Calibri" w:cs="Calibri"/>
          <w:sz w:val="22"/>
        </w:rPr>
        <w:t xml:space="preserve">Response from UN Women: Supporting the GRG is not the role of the GenCap Support Unit or GenCap. As reiterated during the donors meeting, the role of GenCap is to provide standby capacity. </w:t>
      </w:r>
      <w:r w:rsidR="00470D51">
        <w:rPr>
          <w:rFonts w:ascii="Calibri" w:hAnsi="Calibri" w:cs="Calibri"/>
          <w:sz w:val="22"/>
        </w:rPr>
        <w:t xml:space="preserve">As this is not a role expected of, or played by the Support Unit, the problem of creating a parallel system does not arise. </w:t>
      </w:r>
    </w:p>
    <w:p w:rsidR="00470D51" w:rsidRDefault="00775E70" w:rsidP="00775E70">
      <w:pPr>
        <w:pStyle w:val="ListNumber2"/>
        <w:numPr>
          <w:ilvl w:val="0"/>
          <w:numId w:val="0"/>
        </w:numPr>
        <w:spacing w:line="240" w:lineRule="auto"/>
        <w:ind w:left="360"/>
        <w:jc w:val="both"/>
        <w:rPr>
          <w:rFonts w:ascii="Calibri" w:hAnsi="Calibri" w:cs="Calibri"/>
          <w:sz w:val="22"/>
        </w:rPr>
      </w:pPr>
      <w:r>
        <w:rPr>
          <w:rFonts w:ascii="Calibri" w:hAnsi="Calibri" w:cs="Calibri"/>
          <w:sz w:val="22"/>
        </w:rPr>
        <w:t xml:space="preserve">Agreement to the above from UNFPA: Role of the Support Unit has not been to support the </w:t>
      </w:r>
      <w:r w:rsidR="00470D51">
        <w:rPr>
          <w:rFonts w:ascii="Calibri" w:hAnsi="Calibri" w:cs="Calibri"/>
          <w:sz w:val="22"/>
        </w:rPr>
        <w:t xml:space="preserve">GRG. Furthermore, we are already trying to make the Support Unit more efficient. We will look at other existing structures to avoid creating new structures. </w:t>
      </w:r>
    </w:p>
    <w:p w:rsidR="00470D51" w:rsidRDefault="00470D51" w:rsidP="00775E70">
      <w:pPr>
        <w:pStyle w:val="ListNumber2"/>
        <w:numPr>
          <w:ilvl w:val="0"/>
          <w:numId w:val="0"/>
        </w:numPr>
        <w:spacing w:line="240" w:lineRule="auto"/>
        <w:ind w:left="360"/>
        <w:jc w:val="both"/>
        <w:rPr>
          <w:rFonts w:ascii="Calibri" w:hAnsi="Calibri" w:cs="Calibri"/>
          <w:sz w:val="22"/>
        </w:rPr>
      </w:pPr>
      <w:r>
        <w:rPr>
          <w:rFonts w:ascii="Calibri" w:hAnsi="Calibri" w:cs="Calibri"/>
          <w:sz w:val="22"/>
        </w:rPr>
        <w:t xml:space="preserve">Addition to above points from GAF Consultant: Entrusting a monitoring role to the GenCap Support Unit will also lead to a conflict of interest. </w:t>
      </w:r>
    </w:p>
    <w:p w:rsidR="00470D51" w:rsidRDefault="00470D51" w:rsidP="00775E70">
      <w:pPr>
        <w:pStyle w:val="ListNumber2"/>
        <w:numPr>
          <w:ilvl w:val="0"/>
          <w:numId w:val="0"/>
        </w:numPr>
        <w:spacing w:line="240" w:lineRule="auto"/>
        <w:ind w:left="360"/>
        <w:jc w:val="both"/>
        <w:rPr>
          <w:rFonts w:ascii="Calibri" w:hAnsi="Calibri" w:cs="Calibri"/>
          <w:sz w:val="22"/>
        </w:rPr>
      </w:pPr>
      <w:r>
        <w:rPr>
          <w:rFonts w:ascii="Calibri" w:hAnsi="Calibri" w:cs="Calibri"/>
          <w:sz w:val="22"/>
        </w:rPr>
        <w:t xml:space="preserve">It was therefore agreed that language on this matter will be left open in the Gender Policy. A decision will be made after dedicated discussions on this topic at a later stage.  </w:t>
      </w:r>
    </w:p>
    <w:p w:rsidR="00961AE8" w:rsidRDefault="009E69C7" w:rsidP="005C1908">
      <w:pPr>
        <w:pStyle w:val="ListNumber2"/>
        <w:numPr>
          <w:ilvl w:val="0"/>
          <w:numId w:val="43"/>
        </w:numPr>
        <w:spacing w:line="240" w:lineRule="auto"/>
        <w:ind w:left="360"/>
        <w:jc w:val="both"/>
        <w:rPr>
          <w:rFonts w:ascii="Calibri" w:hAnsi="Calibri" w:cs="Calibri"/>
          <w:sz w:val="22"/>
        </w:rPr>
      </w:pPr>
      <w:r>
        <w:rPr>
          <w:rFonts w:ascii="Calibri" w:hAnsi="Calibri" w:cs="Calibri"/>
          <w:sz w:val="22"/>
        </w:rPr>
        <w:t>Concern with references to peace-keeping departments</w:t>
      </w:r>
      <w:r w:rsidR="00961AE8">
        <w:rPr>
          <w:rFonts w:ascii="Calibri" w:hAnsi="Calibri" w:cs="Calibri"/>
          <w:sz w:val="22"/>
        </w:rPr>
        <w:t xml:space="preserve"> [OCHA]</w:t>
      </w:r>
      <w:r>
        <w:rPr>
          <w:rFonts w:ascii="Calibri" w:hAnsi="Calibri" w:cs="Calibri"/>
          <w:sz w:val="22"/>
        </w:rPr>
        <w:t xml:space="preserve"> </w:t>
      </w:r>
    </w:p>
    <w:p w:rsidR="00596F15" w:rsidRDefault="00961AE8" w:rsidP="00961AE8">
      <w:pPr>
        <w:pStyle w:val="ListNumber2"/>
        <w:numPr>
          <w:ilvl w:val="0"/>
          <w:numId w:val="0"/>
        </w:numPr>
        <w:spacing w:line="240" w:lineRule="auto"/>
        <w:ind w:left="360"/>
        <w:jc w:val="both"/>
        <w:rPr>
          <w:rFonts w:ascii="Calibri" w:hAnsi="Calibri" w:cs="Calibri"/>
          <w:sz w:val="22"/>
        </w:rPr>
      </w:pPr>
      <w:r>
        <w:rPr>
          <w:rFonts w:ascii="Calibri" w:hAnsi="Calibri" w:cs="Calibri"/>
          <w:sz w:val="22"/>
        </w:rPr>
        <w:t xml:space="preserve">Response from GP Consultant: </w:t>
      </w:r>
      <w:r w:rsidR="009E69C7">
        <w:rPr>
          <w:rFonts w:ascii="Calibri" w:hAnsi="Calibri" w:cs="Calibri"/>
          <w:sz w:val="22"/>
        </w:rPr>
        <w:t>References are</w:t>
      </w:r>
      <w:proofErr w:type="gramStart"/>
      <w:r w:rsidR="009E69C7">
        <w:rPr>
          <w:rFonts w:ascii="Calibri" w:hAnsi="Calibri" w:cs="Calibri"/>
          <w:sz w:val="22"/>
        </w:rPr>
        <w:t>, in particular, to</w:t>
      </w:r>
      <w:proofErr w:type="gramEnd"/>
      <w:r w:rsidR="009E69C7">
        <w:rPr>
          <w:rFonts w:ascii="Calibri" w:hAnsi="Calibri" w:cs="Calibri"/>
          <w:sz w:val="22"/>
        </w:rPr>
        <w:t xml:space="preserve"> the WPS agenda and bearing in mind the humanitarian-development-peace</w:t>
      </w:r>
      <w:r w:rsidR="00596F15">
        <w:rPr>
          <w:rFonts w:ascii="Calibri" w:hAnsi="Calibri" w:cs="Calibri"/>
          <w:sz w:val="22"/>
        </w:rPr>
        <w:t>&amp;security</w:t>
      </w:r>
      <w:r w:rsidR="009E69C7">
        <w:rPr>
          <w:rFonts w:ascii="Calibri" w:hAnsi="Calibri" w:cs="Calibri"/>
          <w:sz w:val="22"/>
        </w:rPr>
        <w:t xml:space="preserve"> nexus. </w:t>
      </w:r>
    </w:p>
    <w:p w:rsidR="00961AE8" w:rsidRDefault="00961AE8" w:rsidP="00961AE8">
      <w:pPr>
        <w:pStyle w:val="ListNumber2"/>
        <w:numPr>
          <w:ilvl w:val="0"/>
          <w:numId w:val="0"/>
        </w:numPr>
        <w:spacing w:line="240" w:lineRule="auto"/>
        <w:ind w:left="360"/>
        <w:jc w:val="both"/>
        <w:rPr>
          <w:rFonts w:ascii="Calibri" w:hAnsi="Calibri" w:cs="Calibri"/>
          <w:sz w:val="22"/>
        </w:rPr>
      </w:pPr>
      <w:r>
        <w:rPr>
          <w:rFonts w:ascii="Calibri" w:hAnsi="Calibri" w:cs="Calibri"/>
          <w:sz w:val="22"/>
        </w:rPr>
        <w:t xml:space="preserve">Agreement to retain references to the peace and security bridge.  </w:t>
      </w:r>
    </w:p>
    <w:tbl>
      <w:tblPr>
        <w:tblStyle w:val="TableGrid"/>
        <w:tblW w:w="0" w:type="auto"/>
        <w:tblInd w:w="360" w:type="dxa"/>
        <w:tblLook w:val="04A0" w:firstRow="1" w:lastRow="0" w:firstColumn="1" w:lastColumn="0" w:noHBand="0" w:noVBand="1"/>
      </w:tblPr>
      <w:tblGrid>
        <w:gridCol w:w="8990"/>
      </w:tblGrid>
      <w:tr w:rsidR="00C86897" w:rsidTr="00C86897">
        <w:tc>
          <w:tcPr>
            <w:tcW w:w="9350" w:type="dxa"/>
          </w:tcPr>
          <w:p w:rsidR="00C86897" w:rsidRPr="00122D30" w:rsidRDefault="00C86897" w:rsidP="00C86897">
            <w:pPr>
              <w:pStyle w:val="ListNumber2"/>
              <w:numPr>
                <w:ilvl w:val="0"/>
                <w:numId w:val="0"/>
              </w:numPr>
              <w:jc w:val="both"/>
              <w:rPr>
                <w:rFonts w:ascii="Calibri" w:hAnsi="Calibri" w:cs="Calibri"/>
              </w:rPr>
            </w:pPr>
            <w:r>
              <w:rPr>
                <w:rFonts w:ascii="Calibri" w:hAnsi="Calibri" w:cs="Calibri"/>
                <w:b/>
                <w:u w:val="single"/>
              </w:rPr>
              <w:t xml:space="preserve">AGENDA ITEM B - </w:t>
            </w:r>
            <w:r w:rsidRPr="00B71734">
              <w:rPr>
                <w:rFonts w:ascii="Calibri" w:hAnsi="Calibri" w:cs="Calibri"/>
                <w:b/>
                <w:u w:val="single"/>
              </w:rPr>
              <w:t>Action Point</w:t>
            </w:r>
            <w:r w:rsidRPr="00122D30">
              <w:rPr>
                <w:rFonts w:ascii="Calibri" w:hAnsi="Calibri" w:cs="Calibri"/>
                <w:b/>
              </w:rPr>
              <w:t>:</w:t>
            </w:r>
            <w:r>
              <w:rPr>
                <w:rFonts w:ascii="Calibri" w:hAnsi="Calibri" w:cs="Calibri"/>
              </w:rPr>
              <w:t xml:space="preserve"> </w:t>
            </w:r>
            <w:r w:rsidRPr="00122D30">
              <w:rPr>
                <w:rFonts w:ascii="Calibri" w:hAnsi="Calibri" w:cs="Calibri"/>
              </w:rPr>
              <w:t xml:space="preserve">Revised copy </w:t>
            </w:r>
            <w:r>
              <w:rPr>
                <w:rFonts w:ascii="Calibri" w:hAnsi="Calibri" w:cs="Calibri"/>
              </w:rPr>
              <w:t xml:space="preserve">with proposed new text as per the decisions noted above on the Gender Policy and the Gender Accountability Framework </w:t>
            </w:r>
            <w:r w:rsidRPr="00122D30">
              <w:rPr>
                <w:rFonts w:ascii="Calibri" w:hAnsi="Calibri" w:cs="Calibri"/>
              </w:rPr>
              <w:t xml:space="preserve">will be circulated and to be returned with comments in two days. </w:t>
            </w:r>
          </w:p>
          <w:p w:rsidR="00C86897" w:rsidRDefault="00C86897" w:rsidP="00961AE8">
            <w:pPr>
              <w:pStyle w:val="ListNumber2"/>
              <w:numPr>
                <w:ilvl w:val="0"/>
                <w:numId w:val="0"/>
              </w:numPr>
              <w:jc w:val="both"/>
              <w:rPr>
                <w:rFonts w:ascii="Calibri" w:hAnsi="Calibri" w:cs="Calibri"/>
              </w:rPr>
            </w:pPr>
          </w:p>
        </w:tc>
      </w:tr>
    </w:tbl>
    <w:p w:rsidR="00C86897" w:rsidRPr="00554B74" w:rsidRDefault="00C86897" w:rsidP="00961AE8">
      <w:pPr>
        <w:pStyle w:val="ListNumber2"/>
        <w:numPr>
          <w:ilvl w:val="0"/>
          <w:numId w:val="0"/>
        </w:numPr>
        <w:spacing w:line="240" w:lineRule="auto"/>
        <w:ind w:left="360"/>
        <w:jc w:val="both"/>
        <w:rPr>
          <w:rFonts w:ascii="Calibri" w:hAnsi="Calibri" w:cs="Calibri"/>
          <w:sz w:val="22"/>
        </w:rPr>
      </w:pPr>
    </w:p>
    <w:p w:rsidR="0026762B" w:rsidRPr="0029636A" w:rsidRDefault="0026762B" w:rsidP="00EC1B0D">
      <w:pPr>
        <w:pStyle w:val="ListNumber2"/>
        <w:spacing w:line="240" w:lineRule="auto"/>
        <w:ind w:left="0" w:hanging="228"/>
        <w:jc w:val="both"/>
        <w:rPr>
          <w:rFonts w:ascii="Calibri" w:hAnsi="Calibri" w:cs="Calibri"/>
          <w:i/>
          <w:sz w:val="22"/>
          <w:szCs w:val="22"/>
        </w:rPr>
      </w:pPr>
      <w:r w:rsidRPr="00B71734">
        <w:rPr>
          <w:rFonts w:ascii="Calibri" w:eastAsia="Batang" w:hAnsi="Calibri" w:cs="Calibri"/>
          <w:b/>
          <w:color w:val="4F81BD" w:themeColor="accent1"/>
          <w:sz w:val="22"/>
        </w:rPr>
        <w:t xml:space="preserve">Results from the GRG discussions in Geneva: </w:t>
      </w:r>
      <w:r w:rsidR="0029636A" w:rsidRPr="00B71734">
        <w:rPr>
          <w:rFonts w:ascii="Calibri" w:eastAsia="Batang" w:hAnsi="Calibri" w:cs="Calibri"/>
          <w:b/>
          <w:color w:val="4F81BD" w:themeColor="accent1"/>
          <w:sz w:val="22"/>
        </w:rPr>
        <w:t>Status of the gender focus</w:t>
      </w:r>
      <w:r w:rsidR="0029636A">
        <w:rPr>
          <w:rFonts w:ascii="Calibri" w:hAnsi="Calibri" w:cs="Calibri"/>
          <w:sz w:val="22"/>
        </w:rPr>
        <w:t xml:space="preserve"> </w:t>
      </w:r>
      <w:r w:rsidR="00307731">
        <w:rPr>
          <w:rFonts w:ascii="Calibri" w:hAnsi="Calibri" w:cs="Calibri"/>
          <w:sz w:val="22"/>
          <w:szCs w:val="22"/>
        </w:rPr>
        <w:t>–</w:t>
      </w:r>
      <w:r w:rsidRPr="0029636A">
        <w:rPr>
          <w:rFonts w:ascii="Calibri" w:hAnsi="Calibri" w:cs="Calibri"/>
          <w:i/>
          <w:sz w:val="22"/>
          <w:szCs w:val="22"/>
        </w:rPr>
        <w:t xml:space="preserve"> Skipped</w:t>
      </w:r>
      <w:r w:rsidR="00307731">
        <w:rPr>
          <w:rFonts w:ascii="Calibri" w:hAnsi="Calibri" w:cs="Calibri"/>
          <w:i/>
          <w:sz w:val="22"/>
          <w:szCs w:val="22"/>
        </w:rPr>
        <w:t xml:space="preserve"> due to time limitations</w:t>
      </w:r>
    </w:p>
    <w:p w:rsidR="0026762B" w:rsidRDefault="0026762B" w:rsidP="00EC1B0D">
      <w:pPr>
        <w:pStyle w:val="ListNumber2"/>
        <w:spacing w:line="240" w:lineRule="auto"/>
        <w:ind w:left="0" w:hanging="270"/>
        <w:jc w:val="both"/>
        <w:rPr>
          <w:rFonts w:ascii="Calibri" w:hAnsi="Calibri" w:cs="Calibri"/>
          <w:sz w:val="22"/>
          <w:szCs w:val="22"/>
        </w:rPr>
      </w:pPr>
      <w:r w:rsidRPr="00B71734">
        <w:rPr>
          <w:rFonts w:ascii="Calibri" w:eastAsia="Batang" w:hAnsi="Calibri" w:cs="Calibri"/>
          <w:b/>
          <w:color w:val="4F81BD" w:themeColor="accent1"/>
          <w:sz w:val="22"/>
        </w:rPr>
        <w:lastRenderedPageBreak/>
        <w:t>IASC Subsidiary body workshop: results and way forward for GRG</w:t>
      </w:r>
      <w:r w:rsidR="009F38B3">
        <w:rPr>
          <w:rFonts w:ascii="Calibri" w:hAnsi="Calibri" w:cs="Calibri"/>
          <w:sz w:val="22"/>
          <w:szCs w:val="22"/>
        </w:rPr>
        <w:t xml:space="preserve"> [UN Women &amp; IASC Secretariat] </w:t>
      </w:r>
    </w:p>
    <w:p w:rsidR="00961AE8" w:rsidRDefault="00961AE8" w:rsidP="00AE6994">
      <w:pPr>
        <w:pStyle w:val="ListNumber2"/>
        <w:numPr>
          <w:ilvl w:val="0"/>
          <w:numId w:val="0"/>
        </w:numPr>
        <w:spacing w:line="240" w:lineRule="auto"/>
        <w:ind w:left="90"/>
        <w:jc w:val="both"/>
        <w:rPr>
          <w:rFonts w:ascii="Calibri" w:hAnsi="Calibri" w:cs="Calibri"/>
          <w:sz w:val="22"/>
          <w:szCs w:val="22"/>
        </w:rPr>
      </w:pPr>
      <w:r>
        <w:rPr>
          <w:rFonts w:ascii="Calibri" w:hAnsi="Calibri" w:cs="Calibri"/>
          <w:sz w:val="22"/>
          <w:szCs w:val="22"/>
        </w:rPr>
        <w:t xml:space="preserve">UN Women raised </w:t>
      </w:r>
      <w:r>
        <w:rPr>
          <w:rStyle w:val="CommentReference"/>
          <w:sz w:val="22"/>
        </w:rPr>
        <w:t>c</w:t>
      </w:r>
      <w:r w:rsidR="00122D30">
        <w:rPr>
          <w:rFonts w:ascii="Calibri" w:hAnsi="Calibri" w:cs="Calibri"/>
          <w:sz w:val="22"/>
          <w:szCs w:val="22"/>
        </w:rPr>
        <w:t xml:space="preserve">oncerns </w:t>
      </w:r>
      <w:r>
        <w:rPr>
          <w:rFonts w:ascii="Calibri" w:hAnsi="Calibri" w:cs="Calibri"/>
          <w:sz w:val="22"/>
          <w:szCs w:val="22"/>
        </w:rPr>
        <w:t xml:space="preserve">with the unclear </w:t>
      </w:r>
      <w:r w:rsidR="00122D30">
        <w:rPr>
          <w:rFonts w:ascii="Calibri" w:hAnsi="Calibri" w:cs="Calibri"/>
          <w:sz w:val="22"/>
          <w:szCs w:val="22"/>
        </w:rPr>
        <w:t>message received from the IASC Secretariat regarding panel findings</w:t>
      </w:r>
      <w:r>
        <w:rPr>
          <w:rFonts w:ascii="Calibri" w:hAnsi="Calibri" w:cs="Calibri"/>
          <w:sz w:val="22"/>
          <w:szCs w:val="22"/>
        </w:rPr>
        <w:t xml:space="preserve">. </w:t>
      </w:r>
    </w:p>
    <w:p w:rsidR="00961AE8" w:rsidRPr="00961AE8" w:rsidRDefault="00961AE8" w:rsidP="00AE6994">
      <w:pPr>
        <w:pStyle w:val="ListNumber2"/>
        <w:numPr>
          <w:ilvl w:val="0"/>
          <w:numId w:val="0"/>
        </w:numPr>
        <w:spacing w:line="240" w:lineRule="auto"/>
        <w:ind w:left="90"/>
        <w:jc w:val="both"/>
        <w:rPr>
          <w:rFonts w:ascii="Calibri" w:hAnsi="Calibri" w:cs="Calibri"/>
          <w:sz w:val="22"/>
          <w:szCs w:val="22"/>
        </w:rPr>
      </w:pPr>
      <w:r w:rsidRPr="00961AE8">
        <w:rPr>
          <w:rFonts w:ascii="Calibri" w:hAnsi="Calibri" w:cs="Calibri"/>
          <w:sz w:val="22"/>
          <w:szCs w:val="22"/>
        </w:rPr>
        <w:t xml:space="preserve">The message referred to GRG funding and seemed to question what will happen after May 2018. This is misleading because the GRG does not receive any funding and therefore, there is no deadline for May 2018.  that will end in May 2018. It is </w:t>
      </w:r>
      <w:proofErr w:type="gramStart"/>
      <w:r w:rsidRPr="00961AE8">
        <w:rPr>
          <w:rFonts w:ascii="Calibri" w:hAnsi="Calibri" w:cs="Calibri"/>
          <w:sz w:val="22"/>
          <w:szCs w:val="22"/>
        </w:rPr>
        <w:t>absolutely important</w:t>
      </w:r>
      <w:proofErr w:type="gramEnd"/>
      <w:r w:rsidRPr="00961AE8">
        <w:rPr>
          <w:rFonts w:ascii="Calibri" w:hAnsi="Calibri" w:cs="Calibri"/>
          <w:sz w:val="22"/>
          <w:szCs w:val="22"/>
        </w:rPr>
        <w:t xml:space="preserve"> that the GRG is sustained, given its critical role in ensuring that gender issues are collectively addressed. In addition, there was an oral communication from the IASC Secretariat that the GRG may not be continued after May 2018. </w:t>
      </w:r>
    </w:p>
    <w:p w:rsidR="00122D30" w:rsidRDefault="00961AE8" w:rsidP="00AE6994">
      <w:pPr>
        <w:pStyle w:val="ListNumber2"/>
        <w:numPr>
          <w:ilvl w:val="0"/>
          <w:numId w:val="0"/>
        </w:numPr>
        <w:tabs>
          <w:tab w:val="left" w:pos="180"/>
        </w:tabs>
        <w:spacing w:line="240" w:lineRule="auto"/>
        <w:ind w:left="90"/>
        <w:jc w:val="both"/>
        <w:rPr>
          <w:rFonts w:ascii="Calibri" w:hAnsi="Calibri" w:cs="Calibri"/>
          <w:sz w:val="22"/>
          <w:szCs w:val="22"/>
        </w:rPr>
      </w:pPr>
      <w:r>
        <w:rPr>
          <w:rFonts w:ascii="Calibri" w:hAnsi="Calibri" w:cs="Calibri"/>
          <w:sz w:val="22"/>
          <w:szCs w:val="22"/>
        </w:rPr>
        <w:t xml:space="preserve">Response from the IASC Secretariat: </w:t>
      </w:r>
      <w:r w:rsidR="00122D30">
        <w:rPr>
          <w:rFonts w:ascii="Calibri" w:hAnsi="Calibri" w:cs="Calibri"/>
          <w:sz w:val="22"/>
          <w:szCs w:val="22"/>
        </w:rPr>
        <w:t>Views shared were of the panel that reviewed the subsidiary bodies</w:t>
      </w:r>
      <w:r w:rsidR="00AE6994">
        <w:rPr>
          <w:rFonts w:ascii="Calibri" w:hAnsi="Calibri" w:cs="Calibri"/>
          <w:sz w:val="22"/>
          <w:szCs w:val="22"/>
        </w:rPr>
        <w:t>, not of the IASC Secretariat</w:t>
      </w:r>
      <w:r w:rsidR="00122D30">
        <w:rPr>
          <w:rFonts w:ascii="Calibri" w:hAnsi="Calibri" w:cs="Calibri"/>
          <w:sz w:val="22"/>
          <w:szCs w:val="22"/>
        </w:rPr>
        <w:t>. The ASG is reviewing the views and will share next steps. This will be discussed at the Principal’s Meeting (Dec 4</w:t>
      </w:r>
      <w:r w:rsidR="00122D30" w:rsidRPr="00122D30">
        <w:rPr>
          <w:rFonts w:ascii="Calibri" w:hAnsi="Calibri" w:cs="Calibri"/>
          <w:sz w:val="22"/>
          <w:szCs w:val="22"/>
          <w:vertAlign w:val="superscript"/>
        </w:rPr>
        <w:t>th</w:t>
      </w:r>
      <w:r w:rsidR="00122D30">
        <w:rPr>
          <w:rFonts w:ascii="Calibri" w:hAnsi="Calibri" w:cs="Calibri"/>
          <w:sz w:val="22"/>
          <w:szCs w:val="22"/>
        </w:rPr>
        <w:t xml:space="preserve">). </w:t>
      </w:r>
    </w:p>
    <w:p w:rsidR="00AE6994" w:rsidRDefault="00AE6994" w:rsidP="00AE6994">
      <w:pPr>
        <w:pStyle w:val="ListNumber2"/>
        <w:numPr>
          <w:ilvl w:val="0"/>
          <w:numId w:val="0"/>
        </w:numPr>
        <w:tabs>
          <w:tab w:val="left" w:pos="180"/>
        </w:tabs>
        <w:spacing w:line="240" w:lineRule="auto"/>
        <w:ind w:left="90"/>
        <w:jc w:val="both"/>
        <w:rPr>
          <w:rFonts w:ascii="Calibri" w:hAnsi="Calibri" w:cs="Calibri"/>
          <w:sz w:val="22"/>
          <w:szCs w:val="22"/>
        </w:rPr>
      </w:pPr>
      <w:r>
        <w:rPr>
          <w:rFonts w:ascii="Calibri" w:hAnsi="Calibri" w:cs="Calibri"/>
          <w:sz w:val="22"/>
          <w:szCs w:val="22"/>
        </w:rPr>
        <w:t xml:space="preserve">UN Women also raised questions on the transparency of the panel review process, its findings and how it will be utilized. This information had not been clearly relayed. </w:t>
      </w:r>
    </w:p>
    <w:tbl>
      <w:tblPr>
        <w:tblStyle w:val="TableGrid"/>
        <w:tblW w:w="0" w:type="auto"/>
        <w:tblInd w:w="90" w:type="dxa"/>
        <w:tblLook w:val="04A0" w:firstRow="1" w:lastRow="0" w:firstColumn="1" w:lastColumn="0" w:noHBand="0" w:noVBand="1"/>
      </w:tblPr>
      <w:tblGrid>
        <w:gridCol w:w="9260"/>
      </w:tblGrid>
      <w:tr w:rsidR="00C86897" w:rsidTr="00C86897">
        <w:tc>
          <w:tcPr>
            <w:tcW w:w="9350" w:type="dxa"/>
          </w:tcPr>
          <w:p w:rsidR="00C86897" w:rsidRPr="00122D30" w:rsidRDefault="00C86897" w:rsidP="00C86897">
            <w:pPr>
              <w:pStyle w:val="ListNumber2"/>
              <w:numPr>
                <w:ilvl w:val="0"/>
                <w:numId w:val="0"/>
              </w:numPr>
              <w:ind w:left="720" w:hanging="588"/>
              <w:jc w:val="both"/>
              <w:rPr>
                <w:rFonts w:ascii="Calibri" w:hAnsi="Calibri" w:cs="Calibri"/>
                <w:b/>
              </w:rPr>
            </w:pPr>
            <w:bookmarkStart w:id="0" w:name="_Hlk499810014"/>
            <w:r>
              <w:rPr>
                <w:rFonts w:ascii="Calibri" w:hAnsi="Calibri" w:cs="Calibri"/>
                <w:b/>
                <w:u w:val="single"/>
              </w:rPr>
              <w:t xml:space="preserve">AGENDA ITEM D - </w:t>
            </w:r>
            <w:r w:rsidRPr="00B71734">
              <w:rPr>
                <w:rFonts w:ascii="Calibri" w:hAnsi="Calibri" w:cs="Calibri"/>
                <w:b/>
                <w:u w:val="single"/>
              </w:rPr>
              <w:t>Action Points</w:t>
            </w:r>
            <w:r w:rsidRPr="00122D30">
              <w:rPr>
                <w:rFonts w:ascii="Calibri" w:hAnsi="Calibri" w:cs="Calibri"/>
                <w:b/>
              </w:rPr>
              <w:t xml:space="preserve">: </w:t>
            </w:r>
          </w:p>
          <w:p w:rsidR="00C86897" w:rsidRDefault="00C86897" w:rsidP="00C86897">
            <w:pPr>
              <w:pStyle w:val="ListNumber2"/>
              <w:numPr>
                <w:ilvl w:val="0"/>
                <w:numId w:val="44"/>
              </w:numPr>
              <w:ind w:left="540"/>
              <w:jc w:val="both"/>
              <w:rPr>
                <w:rFonts w:ascii="Calibri" w:hAnsi="Calibri" w:cs="Calibri"/>
              </w:rPr>
            </w:pPr>
            <w:r>
              <w:rPr>
                <w:rFonts w:ascii="Calibri" w:hAnsi="Calibri" w:cs="Calibri"/>
              </w:rPr>
              <w:t>The GRG will draft an email in response with references to planned milestones</w:t>
            </w:r>
          </w:p>
          <w:p w:rsidR="00C86897" w:rsidRDefault="00C86897" w:rsidP="00C86897">
            <w:pPr>
              <w:pStyle w:val="ListNumber2"/>
              <w:numPr>
                <w:ilvl w:val="0"/>
                <w:numId w:val="44"/>
              </w:numPr>
              <w:ind w:left="540"/>
              <w:jc w:val="both"/>
              <w:rPr>
                <w:rFonts w:ascii="Calibri" w:hAnsi="Calibri" w:cs="Calibri"/>
              </w:rPr>
            </w:pPr>
            <w:r>
              <w:rPr>
                <w:rFonts w:ascii="Calibri" w:hAnsi="Calibri" w:cs="Calibri"/>
              </w:rPr>
              <w:t>Share GP and GAF with ASG Muller for presentation to the WG for Dec 4</w:t>
            </w:r>
            <w:r w:rsidRPr="00122D30">
              <w:rPr>
                <w:rFonts w:ascii="Calibri" w:hAnsi="Calibri" w:cs="Calibri"/>
                <w:vertAlign w:val="superscript"/>
              </w:rPr>
              <w:t>th</w:t>
            </w:r>
            <w:r>
              <w:rPr>
                <w:rFonts w:ascii="Calibri" w:hAnsi="Calibri" w:cs="Calibri"/>
              </w:rPr>
              <w:t xml:space="preserve"> Meeting </w:t>
            </w:r>
          </w:p>
          <w:p w:rsidR="00C86897" w:rsidRDefault="00C86897" w:rsidP="009034A4">
            <w:pPr>
              <w:pStyle w:val="ListNumber2"/>
              <w:numPr>
                <w:ilvl w:val="0"/>
                <w:numId w:val="44"/>
              </w:numPr>
              <w:tabs>
                <w:tab w:val="left" w:pos="180"/>
              </w:tabs>
              <w:ind w:left="516"/>
              <w:jc w:val="both"/>
              <w:rPr>
                <w:rFonts w:ascii="Calibri" w:hAnsi="Calibri" w:cs="Calibri"/>
              </w:rPr>
            </w:pPr>
            <w:r>
              <w:rPr>
                <w:rFonts w:ascii="Calibri" w:hAnsi="Calibri" w:cs="Calibri"/>
              </w:rPr>
              <w:t>GRG to send letter signed by co-chairs to ASG Muller requesting that it be taken to the WG. Would also be useful to hold a Roundtable for ASG Muller to inform other agencies and actors</w:t>
            </w:r>
          </w:p>
        </w:tc>
      </w:tr>
    </w:tbl>
    <w:bookmarkEnd w:id="0"/>
    <w:p w:rsidR="00122D30" w:rsidRDefault="00AE6994" w:rsidP="00C86897">
      <w:pPr>
        <w:pStyle w:val="ListNumber2"/>
        <w:numPr>
          <w:ilvl w:val="0"/>
          <w:numId w:val="0"/>
        </w:numPr>
        <w:spacing w:after="0" w:line="240" w:lineRule="auto"/>
        <w:ind w:left="540"/>
        <w:jc w:val="both"/>
        <w:rPr>
          <w:rFonts w:ascii="Calibri" w:hAnsi="Calibri" w:cs="Calibri"/>
          <w:sz w:val="22"/>
          <w:szCs w:val="22"/>
        </w:rPr>
      </w:pPr>
      <w:r>
        <w:rPr>
          <w:rFonts w:ascii="Calibri" w:hAnsi="Calibri" w:cs="Calibri"/>
          <w:sz w:val="22"/>
          <w:szCs w:val="22"/>
        </w:rPr>
        <w:t xml:space="preserve"> </w:t>
      </w:r>
      <w:r w:rsidR="00122D30">
        <w:rPr>
          <w:rFonts w:ascii="Calibri" w:hAnsi="Calibri" w:cs="Calibri"/>
          <w:sz w:val="22"/>
          <w:szCs w:val="22"/>
        </w:rPr>
        <w:t xml:space="preserve"> </w:t>
      </w:r>
    </w:p>
    <w:p w:rsidR="00B71734" w:rsidRPr="0026762B" w:rsidRDefault="00B71734" w:rsidP="00B71734">
      <w:pPr>
        <w:pStyle w:val="ListNumber2"/>
        <w:numPr>
          <w:ilvl w:val="0"/>
          <w:numId w:val="0"/>
        </w:numPr>
        <w:spacing w:after="0" w:line="240" w:lineRule="auto"/>
        <w:ind w:left="360"/>
        <w:jc w:val="both"/>
        <w:rPr>
          <w:rFonts w:ascii="Calibri" w:hAnsi="Calibri" w:cs="Calibri"/>
          <w:sz w:val="22"/>
          <w:szCs w:val="22"/>
        </w:rPr>
      </w:pPr>
    </w:p>
    <w:p w:rsidR="00D512BB" w:rsidRPr="0026762B" w:rsidRDefault="0026762B" w:rsidP="00EC1B0D">
      <w:pPr>
        <w:pStyle w:val="ListNumber2"/>
        <w:spacing w:line="240" w:lineRule="auto"/>
        <w:ind w:left="0" w:hanging="228"/>
        <w:jc w:val="both"/>
        <w:rPr>
          <w:rFonts w:ascii="Calibri" w:hAnsi="Calibri" w:cs="Calibri"/>
          <w:sz w:val="22"/>
          <w:szCs w:val="22"/>
        </w:rPr>
      </w:pPr>
      <w:r w:rsidRPr="00B71734">
        <w:rPr>
          <w:rFonts w:ascii="Calibri" w:eastAsia="Batang" w:hAnsi="Calibri" w:cs="Calibri"/>
          <w:b/>
          <w:color w:val="4F81BD" w:themeColor="accent1"/>
          <w:sz w:val="22"/>
        </w:rPr>
        <w:t>AWP 2017</w:t>
      </w:r>
      <w:r w:rsidR="0029636A" w:rsidRPr="00B71734">
        <w:rPr>
          <w:rFonts w:ascii="Calibri" w:eastAsia="Batang" w:hAnsi="Calibri" w:cs="Calibri"/>
          <w:b/>
          <w:color w:val="4F81BD" w:themeColor="accent1"/>
          <w:sz w:val="22"/>
        </w:rPr>
        <w:t>:</w:t>
      </w:r>
      <w:r w:rsidRPr="00B71734">
        <w:rPr>
          <w:rFonts w:ascii="Calibri" w:eastAsia="Batang" w:hAnsi="Calibri" w:cs="Calibri"/>
          <w:b/>
          <w:color w:val="4F81BD" w:themeColor="accent1"/>
          <w:sz w:val="22"/>
        </w:rPr>
        <w:t xml:space="preserve"> </w:t>
      </w:r>
      <w:r w:rsidR="0029636A" w:rsidRPr="00B71734">
        <w:rPr>
          <w:rFonts w:ascii="Calibri" w:eastAsia="Batang" w:hAnsi="Calibri" w:cs="Calibri"/>
          <w:b/>
          <w:color w:val="4F81BD" w:themeColor="accent1"/>
          <w:sz w:val="22"/>
        </w:rPr>
        <w:t>U</w:t>
      </w:r>
      <w:r w:rsidRPr="00B71734">
        <w:rPr>
          <w:rFonts w:ascii="Calibri" w:eastAsia="Batang" w:hAnsi="Calibri" w:cs="Calibri"/>
          <w:b/>
          <w:color w:val="4F81BD" w:themeColor="accent1"/>
          <w:sz w:val="22"/>
        </w:rPr>
        <w:t xml:space="preserve">pdate on </w:t>
      </w:r>
      <w:r w:rsidR="0029636A" w:rsidRPr="00B71734">
        <w:rPr>
          <w:rFonts w:ascii="Calibri" w:eastAsia="Batang" w:hAnsi="Calibri" w:cs="Calibri"/>
          <w:b/>
          <w:color w:val="4F81BD" w:themeColor="accent1"/>
          <w:sz w:val="22"/>
        </w:rPr>
        <w:t>S</w:t>
      </w:r>
      <w:r w:rsidRPr="00B71734">
        <w:rPr>
          <w:rFonts w:ascii="Calibri" w:eastAsia="Batang" w:hAnsi="Calibri" w:cs="Calibri"/>
          <w:b/>
          <w:color w:val="4F81BD" w:themeColor="accent1"/>
          <w:sz w:val="22"/>
        </w:rPr>
        <w:t>tatus</w:t>
      </w:r>
      <w:r w:rsidR="0029636A" w:rsidRPr="00B71734">
        <w:rPr>
          <w:rFonts w:ascii="Calibri" w:eastAsia="Batang" w:hAnsi="Calibri" w:cs="Calibri"/>
          <w:b/>
          <w:color w:val="4F81BD" w:themeColor="accent1"/>
          <w:sz w:val="22"/>
        </w:rPr>
        <w:t xml:space="preserve"> and</w:t>
      </w:r>
      <w:r w:rsidRPr="00B71734">
        <w:rPr>
          <w:rFonts w:ascii="Calibri" w:eastAsia="Batang" w:hAnsi="Calibri" w:cs="Calibri"/>
          <w:b/>
          <w:color w:val="4F81BD" w:themeColor="accent1"/>
          <w:sz w:val="22"/>
        </w:rPr>
        <w:t xml:space="preserve"> </w:t>
      </w:r>
      <w:r w:rsidR="0029636A" w:rsidRPr="00B71734">
        <w:rPr>
          <w:rFonts w:ascii="Calibri" w:eastAsia="Batang" w:hAnsi="Calibri" w:cs="Calibri"/>
          <w:b/>
          <w:color w:val="4F81BD" w:themeColor="accent1"/>
          <w:sz w:val="22"/>
        </w:rPr>
        <w:t xml:space="preserve">initiation of </w:t>
      </w:r>
      <w:r w:rsidRPr="00B71734">
        <w:rPr>
          <w:rFonts w:ascii="Calibri" w:eastAsia="Batang" w:hAnsi="Calibri" w:cs="Calibri"/>
          <w:b/>
          <w:color w:val="4F81BD" w:themeColor="accent1"/>
          <w:sz w:val="22"/>
        </w:rPr>
        <w:t>discussion on 2018 workplan</w:t>
      </w:r>
      <w:r w:rsidR="0029636A" w:rsidRPr="00B71734">
        <w:rPr>
          <w:rFonts w:ascii="Calibri" w:eastAsia="Batang" w:hAnsi="Calibri" w:cs="Calibri"/>
          <w:b/>
          <w:color w:val="4F81BD" w:themeColor="accent1"/>
          <w:sz w:val="22"/>
        </w:rPr>
        <w:t xml:space="preserve"> </w:t>
      </w:r>
      <w:r w:rsidRPr="0026762B">
        <w:rPr>
          <w:rFonts w:ascii="Calibri" w:hAnsi="Calibri" w:cs="Calibri"/>
          <w:sz w:val="22"/>
          <w:szCs w:val="22"/>
        </w:rPr>
        <w:t xml:space="preserve">– </w:t>
      </w:r>
      <w:r w:rsidRPr="0029636A">
        <w:rPr>
          <w:rFonts w:ascii="Calibri" w:hAnsi="Calibri" w:cs="Calibri"/>
          <w:i/>
          <w:sz w:val="22"/>
          <w:szCs w:val="22"/>
        </w:rPr>
        <w:t>Skipped</w:t>
      </w:r>
      <w:r w:rsidR="00BD372D">
        <w:rPr>
          <w:rFonts w:ascii="Calibri" w:hAnsi="Calibri" w:cs="Calibri"/>
          <w:i/>
          <w:sz w:val="22"/>
          <w:szCs w:val="22"/>
        </w:rPr>
        <w:t xml:space="preserve"> due to time limitations</w:t>
      </w:r>
    </w:p>
    <w:p w:rsidR="00C86897" w:rsidRDefault="0029636A" w:rsidP="00C86897">
      <w:pPr>
        <w:pStyle w:val="ListNumber2"/>
        <w:spacing w:line="240" w:lineRule="auto"/>
        <w:ind w:left="0" w:hanging="180"/>
        <w:jc w:val="both"/>
        <w:rPr>
          <w:rFonts w:ascii="Calibri" w:hAnsi="Calibri" w:cs="Calibri"/>
          <w:sz w:val="22"/>
          <w:szCs w:val="22"/>
        </w:rPr>
      </w:pPr>
      <w:r w:rsidRPr="00B71734">
        <w:rPr>
          <w:rFonts w:ascii="Calibri" w:eastAsia="Batang" w:hAnsi="Calibri" w:cs="Calibri"/>
          <w:b/>
          <w:color w:val="4F81BD" w:themeColor="accent1"/>
          <w:sz w:val="22"/>
        </w:rPr>
        <w:t>Date for 2018 Annual Retreat</w:t>
      </w:r>
      <w:r>
        <w:rPr>
          <w:rFonts w:ascii="Calibri" w:hAnsi="Calibri" w:cs="Calibri"/>
          <w:sz w:val="22"/>
          <w:szCs w:val="22"/>
        </w:rPr>
        <w:t xml:space="preserve">: </w:t>
      </w:r>
    </w:p>
    <w:tbl>
      <w:tblPr>
        <w:tblStyle w:val="TableGrid"/>
        <w:tblW w:w="0" w:type="auto"/>
        <w:tblLook w:val="04A0" w:firstRow="1" w:lastRow="0" w:firstColumn="1" w:lastColumn="0" w:noHBand="0" w:noVBand="1"/>
      </w:tblPr>
      <w:tblGrid>
        <w:gridCol w:w="9350"/>
      </w:tblGrid>
      <w:tr w:rsidR="00C86897" w:rsidTr="00C86897">
        <w:tc>
          <w:tcPr>
            <w:tcW w:w="9350" w:type="dxa"/>
          </w:tcPr>
          <w:p w:rsidR="00C86897" w:rsidRDefault="00C86897" w:rsidP="00C86897">
            <w:pPr>
              <w:pStyle w:val="ListNumber"/>
              <w:numPr>
                <w:ilvl w:val="0"/>
                <w:numId w:val="0"/>
              </w:numPr>
              <w:rPr>
                <w:rFonts w:ascii="Calibri" w:hAnsi="Calibri" w:cs="Calibri"/>
                <w:b w:val="0"/>
              </w:rPr>
            </w:pPr>
            <w:r w:rsidRPr="009034A4">
              <w:rPr>
                <w:rFonts w:ascii="Calibri" w:hAnsi="Calibri" w:cs="Calibri"/>
                <w:u w:val="single"/>
              </w:rPr>
              <w:t xml:space="preserve">AGENDA ITEM </w:t>
            </w:r>
            <w:r w:rsidR="00D03199" w:rsidRPr="009034A4">
              <w:rPr>
                <w:rFonts w:ascii="Calibri" w:hAnsi="Calibri" w:cs="Calibri"/>
                <w:u w:val="single"/>
              </w:rPr>
              <w:t>F</w:t>
            </w:r>
            <w:r w:rsidRPr="009034A4">
              <w:rPr>
                <w:rFonts w:ascii="Calibri" w:hAnsi="Calibri" w:cs="Calibri"/>
                <w:u w:val="single"/>
              </w:rPr>
              <w:t xml:space="preserve"> - Action Point:</w:t>
            </w:r>
            <w:r>
              <w:t xml:space="preserve"> </w:t>
            </w:r>
            <w:r w:rsidR="00201087">
              <w:br/>
            </w:r>
            <w:r w:rsidRPr="009034A4">
              <w:rPr>
                <w:rFonts w:ascii="Calibri" w:hAnsi="Calibri" w:cs="Calibri"/>
                <w:b w:val="0"/>
              </w:rPr>
              <w:t>Save the Date will be sent out for February 2, 2018.</w:t>
            </w:r>
          </w:p>
          <w:p w:rsidR="009034A4" w:rsidRDefault="009034A4" w:rsidP="00C86897">
            <w:pPr>
              <w:pStyle w:val="ListNumber"/>
              <w:numPr>
                <w:ilvl w:val="0"/>
                <w:numId w:val="0"/>
              </w:numPr>
            </w:pPr>
          </w:p>
        </w:tc>
      </w:tr>
    </w:tbl>
    <w:p w:rsidR="00C86897" w:rsidRDefault="00C86897" w:rsidP="00C86897">
      <w:pPr>
        <w:pStyle w:val="ListNumber"/>
        <w:numPr>
          <w:ilvl w:val="0"/>
          <w:numId w:val="0"/>
        </w:numPr>
        <w:spacing w:line="240" w:lineRule="auto"/>
        <w:jc w:val="both"/>
        <w:rPr>
          <w:rFonts w:ascii="Calibri" w:hAnsi="Calibri" w:cs="Calibri"/>
          <w:sz w:val="22"/>
        </w:rPr>
      </w:pPr>
    </w:p>
    <w:p w:rsidR="00D03199" w:rsidRDefault="00B71734" w:rsidP="00D03199">
      <w:pPr>
        <w:pStyle w:val="ListNumber"/>
        <w:spacing w:line="240" w:lineRule="auto"/>
        <w:ind w:left="0"/>
        <w:jc w:val="both"/>
        <w:rPr>
          <w:rFonts w:ascii="Calibri" w:hAnsi="Calibri" w:cs="Calibri"/>
          <w:sz w:val="22"/>
        </w:rPr>
      </w:pPr>
      <w:r>
        <w:rPr>
          <w:rFonts w:ascii="Calibri" w:hAnsi="Calibri" w:cs="Calibri"/>
          <w:sz w:val="22"/>
        </w:rPr>
        <w:t>AOB</w:t>
      </w:r>
    </w:p>
    <w:p w:rsidR="00142930" w:rsidRPr="00D03199" w:rsidRDefault="00122D30" w:rsidP="00D03199">
      <w:pPr>
        <w:pStyle w:val="ListNumber"/>
        <w:numPr>
          <w:ilvl w:val="0"/>
          <w:numId w:val="0"/>
        </w:numPr>
        <w:spacing w:line="240" w:lineRule="auto"/>
        <w:jc w:val="both"/>
        <w:rPr>
          <w:rFonts w:ascii="Calibri" w:hAnsi="Calibri" w:cs="Calibri"/>
          <w:sz w:val="22"/>
        </w:rPr>
      </w:pPr>
      <w:r w:rsidRPr="00D03199">
        <w:rPr>
          <w:rFonts w:ascii="Calibri" w:eastAsia="Batang" w:hAnsi="Calibri" w:cs="Calibri"/>
          <w:color w:val="4F81BD" w:themeColor="accent1"/>
          <w:sz w:val="22"/>
        </w:rPr>
        <w:t xml:space="preserve">IASC </w:t>
      </w:r>
      <w:r w:rsidR="00142930" w:rsidRPr="00D03199">
        <w:rPr>
          <w:rFonts w:ascii="Calibri" w:eastAsia="Batang" w:hAnsi="Calibri" w:cs="Calibri"/>
          <w:color w:val="4F81BD" w:themeColor="accent1"/>
          <w:sz w:val="22"/>
        </w:rPr>
        <w:t xml:space="preserve">Gender Handbook </w:t>
      </w:r>
      <w:r w:rsidR="0029636A" w:rsidRPr="00D03199">
        <w:rPr>
          <w:rFonts w:ascii="Calibri" w:eastAsia="Batang" w:hAnsi="Calibri" w:cs="Calibri"/>
          <w:color w:val="4F81BD" w:themeColor="accent1"/>
          <w:sz w:val="22"/>
        </w:rPr>
        <w:t>T</w:t>
      </w:r>
      <w:r w:rsidR="00142930" w:rsidRPr="00D03199">
        <w:rPr>
          <w:rFonts w:ascii="Calibri" w:eastAsia="Batang" w:hAnsi="Calibri" w:cs="Calibri"/>
          <w:color w:val="4F81BD" w:themeColor="accent1"/>
          <w:sz w:val="22"/>
        </w:rPr>
        <w:t>esting</w:t>
      </w:r>
      <w:r w:rsidRPr="00D03199">
        <w:rPr>
          <w:rFonts w:ascii="Calibri" w:eastAsia="Batang" w:hAnsi="Calibri" w:cs="Calibri"/>
          <w:color w:val="4F81BD" w:themeColor="accent1"/>
          <w:sz w:val="22"/>
        </w:rPr>
        <w:t xml:space="preserve"> Update</w:t>
      </w:r>
      <w:r w:rsidR="009F38B3" w:rsidRPr="00D03199">
        <w:rPr>
          <w:rFonts w:ascii="Calibri" w:eastAsia="Batang" w:hAnsi="Calibri" w:cs="Calibri"/>
          <w:color w:val="4F81BD" w:themeColor="accent1"/>
          <w:sz w:val="22"/>
        </w:rPr>
        <w:t xml:space="preserve"> </w:t>
      </w:r>
      <w:r w:rsidRPr="00D03199">
        <w:rPr>
          <w:rFonts w:ascii="Calibri" w:hAnsi="Calibri" w:cs="Calibri"/>
          <w:sz w:val="22"/>
          <w:szCs w:val="22"/>
        </w:rPr>
        <w:t>[</w:t>
      </w:r>
      <w:r w:rsidR="009F38B3" w:rsidRPr="00D03199">
        <w:rPr>
          <w:rFonts w:ascii="Calibri" w:hAnsi="Calibri" w:cs="Calibri"/>
          <w:sz w:val="22"/>
          <w:szCs w:val="22"/>
        </w:rPr>
        <w:t>UN Women</w:t>
      </w:r>
      <w:r w:rsidRPr="00D03199">
        <w:rPr>
          <w:rFonts w:ascii="Calibri" w:hAnsi="Calibri" w:cs="Calibri"/>
          <w:sz w:val="22"/>
          <w:szCs w:val="22"/>
        </w:rPr>
        <w:t>]</w:t>
      </w:r>
    </w:p>
    <w:p w:rsidR="00D03199" w:rsidRPr="009034A4" w:rsidRDefault="00122D30" w:rsidP="00D03199">
      <w:pPr>
        <w:pStyle w:val="ListNumber2"/>
        <w:numPr>
          <w:ilvl w:val="0"/>
          <w:numId w:val="0"/>
        </w:numPr>
        <w:rPr>
          <w:rFonts w:ascii="Calibri" w:hAnsi="Calibri" w:cs="Calibri"/>
          <w:sz w:val="22"/>
          <w:szCs w:val="22"/>
        </w:rPr>
      </w:pPr>
      <w:r w:rsidRPr="009034A4">
        <w:rPr>
          <w:rFonts w:ascii="Calibri" w:hAnsi="Calibri" w:cs="Calibri"/>
          <w:sz w:val="22"/>
          <w:szCs w:val="22"/>
        </w:rPr>
        <w:t xml:space="preserve">Plan to test the Handbook </w:t>
      </w:r>
      <w:r w:rsidR="00D03199" w:rsidRPr="009034A4">
        <w:rPr>
          <w:rFonts w:ascii="Calibri" w:hAnsi="Calibri" w:cs="Calibri"/>
          <w:sz w:val="22"/>
          <w:szCs w:val="22"/>
        </w:rPr>
        <w:t xml:space="preserve">roll-out training </w:t>
      </w:r>
      <w:r w:rsidRPr="009034A4">
        <w:rPr>
          <w:rFonts w:ascii="Calibri" w:hAnsi="Calibri" w:cs="Calibri"/>
          <w:sz w:val="22"/>
          <w:szCs w:val="22"/>
        </w:rPr>
        <w:t xml:space="preserve">in Bangladesh </w:t>
      </w:r>
      <w:r w:rsidR="00D03199" w:rsidRPr="009034A4">
        <w:rPr>
          <w:rFonts w:ascii="Calibri" w:hAnsi="Calibri" w:cs="Calibri"/>
          <w:sz w:val="22"/>
          <w:szCs w:val="22"/>
        </w:rPr>
        <w:t xml:space="preserve">for the Rohingya response. (Dec </w:t>
      </w:r>
      <w:r w:rsidRPr="009034A4">
        <w:rPr>
          <w:rFonts w:ascii="Calibri" w:hAnsi="Calibri" w:cs="Calibri"/>
          <w:sz w:val="22"/>
          <w:szCs w:val="22"/>
        </w:rPr>
        <w:t xml:space="preserve">13,14,15). </w:t>
      </w:r>
    </w:p>
    <w:p w:rsidR="00122D30" w:rsidRPr="009034A4" w:rsidRDefault="00554B74" w:rsidP="00D03199">
      <w:pPr>
        <w:pStyle w:val="ListNumber2"/>
        <w:numPr>
          <w:ilvl w:val="0"/>
          <w:numId w:val="0"/>
        </w:numPr>
        <w:rPr>
          <w:rFonts w:ascii="Calibri" w:hAnsi="Calibri" w:cs="Calibri"/>
          <w:sz w:val="22"/>
          <w:szCs w:val="22"/>
        </w:rPr>
      </w:pPr>
      <w:r w:rsidRPr="009034A4">
        <w:rPr>
          <w:rFonts w:ascii="Calibri" w:hAnsi="Calibri" w:cs="Calibri"/>
          <w:sz w:val="22"/>
          <w:szCs w:val="22"/>
        </w:rPr>
        <w:t xml:space="preserve">Endorsement of </w:t>
      </w:r>
      <w:r w:rsidR="00D03199" w:rsidRPr="009034A4">
        <w:rPr>
          <w:rFonts w:ascii="Calibri" w:hAnsi="Calibri" w:cs="Calibri"/>
          <w:sz w:val="22"/>
          <w:szCs w:val="22"/>
        </w:rPr>
        <w:t xml:space="preserve">the completed handbook by the </w:t>
      </w:r>
      <w:r w:rsidR="00122D30" w:rsidRPr="009034A4">
        <w:rPr>
          <w:rFonts w:ascii="Calibri" w:hAnsi="Calibri" w:cs="Calibri"/>
          <w:sz w:val="22"/>
          <w:szCs w:val="22"/>
        </w:rPr>
        <w:t xml:space="preserve">IASC </w:t>
      </w:r>
      <w:r w:rsidR="00C86897" w:rsidRPr="009034A4">
        <w:rPr>
          <w:rFonts w:ascii="Calibri" w:hAnsi="Calibri" w:cs="Calibri"/>
          <w:sz w:val="22"/>
          <w:szCs w:val="22"/>
        </w:rPr>
        <w:t>Working Group</w:t>
      </w:r>
      <w:r w:rsidR="00122D30" w:rsidRPr="009034A4">
        <w:rPr>
          <w:rFonts w:ascii="Calibri" w:hAnsi="Calibri" w:cs="Calibri"/>
          <w:sz w:val="22"/>
          <w:szCs w:val="22"/>
        </w:rPr>
        <w:t xml:space="preserve"> </w:t>
      </w:r>
      <w:r w:rsidRPr="009034A4">
        <w:rPr>
          <w:rFonts w:ascii="Calibri" w:hAnsi="Calibri" w:cs="Calibri"/>
          <w:sz w:val="22"/>
          <w:szCs w:val="22"/>
        </w:rPr>
        <w:t xml:space="preserve">required. </w:t>
      </w:r>
    </w:p>
    <w:tbl>
      <w:tblPr>
        <w:tblStyle w:val="TableGrid"/>
        <w:tblW w:w="0" w:type="auto"/>
        <w:tblInd w:w="90" w:type="dxa"/>
        <w:tblLook w:val="04A0" w:firstRow="1" w:lastRow="0" w:firstColumn="1" w:lastColumn="0" w:noHBand="0" w:noVBand="1"/>
      </w:tblPr>
      <w:tblGrid>
        <w:gridCol w:w="9260"/>
      </w:tblGrid>
      <w:tr w:rsidR="00D03199" w:rsidTr="001E2BC1">
        <w:tc>
          <w:tcPr>
            <w:tcW w:w="9350" w:type="dxa"/>
          </w:tcPr>
          <w:p w:rsidR="00D03199" w:rsidRPr="00122D30" w:rsidRDefault="00D03199" w:rsidP="001E2BC1">
            <w:pPr>
              <w:pStyle w:val="ListNumber2"/>
              <w:numPr>
                <w:ilvl w:val="0"/>
                <w:numId w:val="0"/>
              </w:numPr>
              <w:ind w:left="720" w:hanging="588"/>
              <w:jc w:val="both"/>
              <w:rPr>
                <w:rFonts w:ascii="Calibri" w:hAnsi="Calibri" w:cs="Calibri"/>
                <w:b/>
              </w:rPr>
            </w:pPr>
            <w:r>
              <w:rPr>
                <w:rFonts w:ascii="Calibri" w:hAnsi="Calibri" w:cs="Calibri"/>
                <w:b/>
                <w:u w:val="single"/>
              </w:rPr>
              <w:t>AGENDA ITEM AOB</w:t>
            </w:r>
            <w:r w:rsidRPr="00122D30">
              <w:rPr>
                <w:rFonts w:ascii="Calibri" w:hAnsi="Calibri" w:cs="Calibri"/>
                <w:b/>
              </w:rPr>
              <w:t xml:space="preserve">: </w:t>
            </w:r>
          </w:p>
          <w:p w:rsidR="00D03199" w:rsidRDefault="00D03199" w:rsidP="001E2BC1">
            <w:pPr>
              <w:pStyle w:val="ListNumber2"/>
              <w:numPr>
                <w:ilvl w:val="0"/>
                <w:numId w:val="0"/>
              </w:numPr>
              <w:tabs>
                <w:tab w:val="left" w:pos="180"/>
              </w:tabs>
              <w:jc w:val="both"/>
              <w:rPr>
                <w:rFonts w:ascii="Calibri" w:hAnsi="Calibri" w:cs="Calibri"/>
              </w:rPr>
            </w:pPr>
            <w:r>
              <w:rPr>
                <w:rFonts w:ascii="Calibri" w:hAnsi="Calibri" w:cs="Calibri"/>
              </w:rPr>
              <w:t>UN Women to follow up with IASC Secretariat for endorsement by IASC WG</w:t>
            </w:r>
          </w:p>
        </w:tc>
      </w:tr>
    </w:tbl>
    <w:p w:rsidR="00142930" w:rsidRPr="00142930" w:rsidRDefault="00142930" w:rsidP="00B71734">
      <w:pPr>
        <w:pStyle w:val="ListNumber2"/>
        <w:numPr>
          <w:ilvl w:val="0"/>
          <w:numId w:val="0"/>
        </w:numPr>
        <w:spacing w:line="240" w:lineRule="auto"/>
        <w:ind w:left="360"/>
        <w:jc w:val="both"/>
      </w:pPr>
    </w:p>
    <w:p w:rsidR="0026762B" w:rsidRPr="004414BB" w:rsidRDefault="0026762B" w:rsidP="00B71734">
      <w:pPr>
        <w:pStyle w:val="ListNumber2"/>
        <w:numPr>
          <w:ilvl w:val="0"/>
          <w:numId w:val="0"/>
        </w:numPr>
        <w:spacing w:line="240" w:lineRule="auto"/>
        <w:ind w:left="360"/>
        <w:jc w:val="both"/>
        <w:rPr>
          <w:rFonts w:ascii="Calibri" w:hAnsi="Calibri" w:cs="Calibri"/>
          <w:sz w:val="22"/>
        </w:rPr>
      </w:pPr>
      <w:bookmarkStart w:id="1" w:name="_GoBack"/>
      <w:bookmarkEnd w:id="1"/>
    </w:p>
    <w:sectPr w:rsidR="0026762B" w:rsidRPr="004414BB" w:rsidSect="0073507F">
      <w:headerReference w:type="default" r:id="rId9"/>
      <w:footerReference w:type="default" r:id="rId10"/>
      <w:pgSz w:w="12240" w:h="15840"/>
      <w:pgMar w:top="900" w:right="1440" w:bottom="90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36B" w:rsidRDefault="00C6736B" w:rsidP="001E7D29">
      <w:pPr>
        <w:spacing w:after="0" w:line="240" w:lineRule="auto"/>
      </w:pPr>
      <w:r>
        <w:separator/>
      </w:r>
    </w:p>
  </w:endnote>
  <w:endnote w:type="continuationSeparator" w:id="0">
    <w:p w:rsidR="00C6736B" w:rsidRDefault="00C6736B"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146848"/>
      <w:docPartObj>
        <w:docPartGallery w:val="Page Numbers (Bottom of Page)"/>
        <w:docPartUnique/>
      </w:docPartObj>
    </w:sdtPr>
    <w:sdtEndPr>
      <w:rPr>
        <w:noProof/>
      </w:rPr>
    </w:sdtEndPr>
    <w:sdtContent>
      <w:p w:rsidR="0073507F" w:rsidRDefault="0073507F">
        <w:pPr>
          <w:pStyle w:val="Footer"/>
          <w:jc w:val="right"/>
        </w:pPr>
        <w:r>
          <w:fldChar w:fldCharType="begin"/>
        </w:r>
        <w:r>
          <w:instrText xml:space="preserve"> PAGE   \* MERGEFORMAT </w:instrText>
        </w:r>
        <w:r>
          <w:fldChar w:fldCharType="separate"/>
        </w:r>
        <w:r w:rsidR="0003293F">
          <w:rPr>
            <w:noProof/>
          </w:rPr>
          <w:t>4</w:t>
        </w:r>
        <w:r>
          <w:rPr>
            <w:noProof/>
          </w:rPr>
          <w:fldChar w:fldCharType="end"/>
        </w:r>
      </w:p>
    </w:sdtContent>
  </w:sdt>
  <w:p w:rsidR="0073507F" w:rsidRDefault="00735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36B" w:rsidRDefault="00C6736B" w:rsidP="001E7D29">
      <w:pPr>
        <w:spacing w:after="0" w:line="240" w:lineRule="auto"/>
      </w:pPr>
      <w:r>
        <w:separator/>
      </w:r>
    </w:p>
  </w:footnote>
  <w:footnote w:type="continuationSeparator" w:id="0">
    <w:p w:rsidR="00C6736B" w:rsidRDefault="00C6736B"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07F" w:rsidRDefault="0073507F">
    <w:pPr>
      <w:pStyle w:val="Header"/>
    </w:pPr>
    <w:r w:rsidRPr="00CE4810">
      <w:rPr>
        <w:rFonts w:cstheme="minorHAnsi"/>
        <w:b/>
        <w:bCs/>
        <w:noProof/>
        <w:color w:val="365F91"/>
        <w:u w:val="single"/>
      </w:rPr>
      <w:drawing>
        <wp:anchor distT="0" distB="0" distL="114300" distR="114300" simplePos="0" relativeHeight="251659264" behindDoc="0" locked="0" layoutInCell="1" allowOverlap="1" wp14:anchorId="79DE207A" wp14:editId="5990E779">
          <wp:simplePos x="0" y="0"/>
          <wp:positionH relativeFrom="page">
            <wp:align>left</wp:align>
          </wp:positionH>
          <wp:positionV relativeFrom="paragraph">
            <wp:posOffset>-274320</wp:posOffset>
          </wp:positionV>
          <wp:extent cx="7829550" cy="1066165"/>
          <wp:effectExtent l="0" t="0" r="0" b="635"/>
          <wp:wrapSquare wrapText="bothSides"/>
          <wp:docPr id="3" name="Picture 3" descr="IASC-SWG-Gende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C-SWG-Gender-Bann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0065"/>
                  <a:stretch/>
                </pic:blipFill>
                <pic:spPr bwMode="auto">
                  <a:xfrm>
                    <a:off x="0" y="0"/>
                    <a:ext cx="7829550" cy="1066165"/>
                  </a:xfrm>
                  <a:prstGeom prst="rect">
                    <a:avLst/>
                  </a:prstGeom>
                  <a:noFill/>
                  <a:ln>
                    <a:noFill/>
                  </a:ln>
                  <a:extLst>
                    <a:ext uri="{53640926-AAD7-44D8-BBD7-CCE9431645EC}">
                      <a14:shadowObscured xmlns:a14="http://schemas.microsoft.com/office/drawing/2010/main"/>
                    </a:ext>
                  </a:extLst>
                </pic:spPr>
              </pic:pic>
            </a:graphicData>
          </a:graphic>
        </wp:anchor>
      </w:drawing>
    </w:r>
  </w:p>
  <w:p w:rsidR="0073507F" w:rsidRDefault="00735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76E4849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3B50BA"/>
    <w:multiLevelType w:val="hybridMultilevel"/>
    <w:tmpl w:val="0F50CF62"/>
    <w:lvl w:ilvl="0" w:tplc="7E1A1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53A8C7CA"/>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ascii="Calibri" w:hAnsi="Calibri" w:cs="Calibri" w:hint="default"/>
        <w:b w:val="0"/>
        <w:i w:val="0"/>
        <w:sz w:val="22"/>
        <w:szCs w:val="22"/>
      </w:rPr>
    </w:lvl>
    <w:lvl w:ilvl="2">
      <w:start w:val="1"/>
      <w:numFmt w:val="bullet"/>
      <w:lvlText w:val=""/>
      <w:lvlJc w:val="left"/>
      <w:pPr>
        <w:ind w:left="1080" w:hanging="588"/>
      </w:pPr>
      <w:rPr>
        <w:rFonts w:ascii="Symbol" w:hAnsi="Symbol" w:hint="default"/>
      </w:rPr>
    </w:lvl>
    <w:lvl w:ilvl="3">
      <w:start w:val="1"/>
      <w:numFmt w:val="bullet"/>
      <w:lvlText w:val=""/>
      <w:lvlJc w:val="left"/>
      <w:pPr>
        <w:ind w:left="1440" w:hanging="588"/>
      </w:pPr>
      <w:rPr>
        <w:rFonts w:ascii="Symbol" w:hAnsi="Symbol" w:hint="default"/>
      </w:rPr>
    </w:lvl>
    <w:lvl w:ilvl="4">
      <w:start w:val="1"/>
      <w:numFmt w:val="bullet"/>
      <w:lvlText w:val="o"/>
      <w:lvlJc w:val="left"/>
      <w:pPr>
        <w:ind w:left="1800" w:hanging="588"/>
      </w:pPr>
      <w:rPr>
        <w:rFonts w:ascii="Courier New" w:hAnsi="Courier New" w:cs="Courier New"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DC53D3"/>
    <w:multiLevelType w:val="hybridMultilevel"/>
    <w:tmpl w:val="8CDC4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DCF44EA"/>
    <w:multiLevelType w:val="hybridMultilevel"/>
    <w:tmpl w:val="FD0EA410"/>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2" w15:restartNumberingAfterBreak="0">
    <w:nsid w:val="50FC09BA"/>
    <w:multiLevelType w:val="hybridMultilevel"/>
    <w:tmpl w:val="CC8E135E"/>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3"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AA41159"/>
    <w:multiLevelType w:val="hybridMultilevel"/>
    <w:tmpl w:val="7DE8C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FE117A"/>
    <w:multiLevelType w:val="hybridMultilevel"/>
    <w:tmpl w:val="46301016"/>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8"/>
  </w:num>
  <w:num w:numId="2">
    <w:abstractNumId w:val="19"/>
  </w:num>
  <w:num w:numId="3">
    <w:abstractNumId w:val="20"/>
  </w:num>
  <w:num w:numId="4">
    <w:abstractNumId w:val="12"/>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2"/>
  </w:num>
  <w:num w:numId="28">
    <w:abstractNumId w:val="11"/>
  </w:num>
  <w:num w:numId="29">
    <w:abstractNumId w:val="33"/>
  </w:num>
  <w:num w:numId="30">
    <w:abstractNumId w:val="23"/>
  </w:num>
  <w:num w:numId="31">
    <w:abstractNumId w:val="41"/>
  </w:num>
  <w:num w:numId="32">
    <w:abstractNumId w:val="35"/>
  </w:num>
  <w:num w:numId="33">
    <w:abstractNumId w:val="17"/>
  </w:num>
  <w:num w:numId="34">
    <w:abstractNumId w:val="26"/>
  </w:num>
  <w:num w:numId="35">
    <w:abstractNumId w:val="10"/>
  </w:num>
  <w:num w:numId="36">
    <w:abstractNumId w:val="27"/>
  </w:num>
  <w:num w:numId="37">
    <w:abstractNumId w:val="30"/>
  </w:num>
  <w:num w:numId="38">
    <w:abstractNumId w:val="24"/>
  </w:num>
  <w:num w:numId="39">
    <w:abstractNumId w:val="40"/>
  </w:num>
  <w:num w:numId="40">
    <w:abstractNumId w:val="28"/>
  </w:num>
  <w:num w:numId="41">
    <w:abstractNumId w:val="29"/>
  </w:num>
  <w:num w:numId="42">
    <w:abstractNumId w:val="28"/>
  </w:num>
  <w:num w:numId="43">
    <w:abstractNumId w:val="25"/>
  </w:num>
  <w:num w:numId="44">
    <w:abstractNumId w:val="37"/>
  </w:num>
  <w:num w:numId="45">
    <w:abstractNumId w:val="36"/>
  </w:num>
  <w:num w:numId="46">
    <w:abstractNumId w:val="3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00"/>
    <w:rsid w:val="0003293F"/>
    <w:rsid w:val="000512DB"/>
    <w:rsid w:val="00057671"/>
    <w:rsid w:val="0009710D"/>
    <w:rsid w:val="000D445D"/>
    <w:rsid w:val="000F65EC"/>
    <w:rsid w:val="0011573E"/>
    <w:rsid w:val="00115E03"/>
    <w:rsid w:val="00122D30"/>
    <w:rsid w:val="001269DE"/>
    <w:rsid w:val="00140B6A"/>
    <w:rsid w:val="00140DAE"/>
    <w:rsid w:val="00142930"/>
    <w:rsid w:val="0015180F"/>
    <w:rsid w:val="00156AD8"/>
    <w:rsid w:val="001733B4"/>
    <w:rsid w:val="001746FC"/>
    <w:rsid w:val="00193653"/>
    <w:rsid w:val="001E7D29"/>
    <w:rsid w:val="00201087"/>
    <w:rsid w:val="0023687E"/>
    <w:rsid w:val="002404F5"/>
    <w:rsid w:val="0026762B"/>
    <w:rsid w:val="00275260"/>
    <w:rsid w:val="00276FA1"/>
    <w:rsid w:val="00285B87"/>
    <w:rsid w:val="00291B4A"/>
    <w:rsid w:val="0029636A"/>
    <w:rsid w:val="002C3C0F"/>
    <w:rsid w:val="002C3D7E"/>
    <w:rsid w:val="002D1700"/>
    <w:rsid w:val="00307731"/>
    <w:rsid w:val="0032131A"/>
    <w:rsid w:val="003310BF"/>
    <w:rsid w:val="00333DF8"/>
    <w:rsid w:val="00357641"/>
    <w:rsid w:val="00360B6E"/>
    <w:rsid w:val="00361DB9"/>
    <w:rsid w:val="00361DEE"/>
    <w:rsid w:val="00394EF4"/>
    <w:rsid w:val="00410612"/>
    <w:rsid w:val="00411F8B"/>
    <w:rsid w:val="004414BB"/>
    <w:rsid w:val="00450670"/>
    <w:rsid w:val="00470D51"/>
    <w:rsid w:val="004724BD"/>
    <w:rsid w:val="00477352"/>
    <w:rsid w:val="00491C23"/>
    <w:rsid w:val="004B5C09"/>
    <w:rsid w:val="004E227E"/>
    <w:rsid w:val="00500DD1"/>
    <w:rsid w:val="00521AE3"/>
    <w:rsid w:val="00535B54"/>
    <w:rsid w:val="00554276"/>
    <w:rsid w:val="00554B74"/>
    <w:rsid w:val="00596F15"/>
    <w:rsid w:val="005C1908"/>
    <w:rsid w:val="005E0ED9"/>
    <w:rsid w:val="00616B41"/>
    <w:rsid w:val="00620AE8"/>
    <w:rsid w:val="0064628C"/>
    <w:rsid w:val="0065214E"/>
    <w:rsid w:val="00655EE2"/>
    <w:rsid w:val="00680296"/>
    <w:rsid w:val="006853BC"/>
    <w:rsid w:val="00687389"/>
    <w:rsid w:val="006928C1"/>
    <w:rsid w:val="006F03D4"/>
    <w:rsid w:val="00700B1F"/>
    <w:rsid w:val="007257E9"/>
    <w:rsid w:val="0073507F"/>
    <w:rsid w:val="00744B1E"/>
    <w:rsid w:val="00745626"/>
    <w:rsid w:val="00756D9C"/>
    <w:rsid w:val="007619BD"/>
    <w:rsid w:val="00771C24"/>
    <w:rsid w:val="00775E70"/>
    <w:rsid w:val="00781863"/>
    <w:rsid w:val="007D5836"/>
    <w:rsid w:val="007F34A4"/>
    <w:rsid w:val="007F4846"/>
    <w:rsid w:val="00815563"/>
    <w:rsid w:val="008240DA"/>
    <w:rsid w:val="00842160"/>
    <w:rsid w:val="008429E5"/>
    <w:rsid w:val="00867EA4"/>
    <w:rsid w:val="00897D88"/>
    <w:rsid w:val="008A0319"/>
    <w:rsid w:val="008D43E9"/>
    <w:rsid w:val="008E3C0E"/>
    <w:rsid w:val="008E476B"/>
    <w:rsid w:val="009034A4"/>
    <w:rsid w:val="00927C63"/>
    <w:rsid w:val="00932F50"/>
    <w:rsid w:val="0094637B"/>
    <w:rsid w:val="00955A78"/>
    <w:rsid w:val="00961AE8"/>
    <w:rsid w:val="009921B8"/>
    <w:rsid w:val="009D4984"/>
    <w:rsid w:val="009D6901"/>
    <w:rsid w:val="009E69C7"/>
    <w:rsid w:val="009F38B3"/>
    <w:rsid w:val="009F4E19"/>
    <w:rsid w:val="00A07662"/>
    <w:rsid w:val="00A21B71"/>
    <w:rsid w:val="00A2222A"/>
    <w:rsid w:val="00A40085"/>
    <w:rsid w:val="00A47DF6"/>
    <w:rsid w:val="00A81B6F"/>
    <w:rsid w:val="00A9231C"/>
    <w:rsid w:val="00AA2532"/>
    <w:rsid w:val="00AE1F88"/>
    <w:rsid w:val="00AE361F"/>
    <w:rsid w:val="00AE6994"/>
    <w:rsid w:val="00B247A9"/>
    <w:rsid w:val="00B435B5"/>
    <w:rsid w:val="00B5779A"/>
    <w:rsid w:val="00B6093D"/>
    <w:rsid w:val="00B64D24"/>
    <w:rsid w:val="00B7147D"/>
    <w:rsid w:val="00B71734"/>
    <w:rsid w:val="00B75CFC"/>
    <w:rsid w:val="00B853F9"/>
    <w:rsid w:val="00BB018B"/>
    <w:rsid w:val="00BD1747"/>
    <w:rsid w:val="00BD372D"/>
    <w:rsid w:val="00C14973"/>
    <w:rsid w:val="00C1643D"/>
    <w:rsid w:val="00C261A9"/>
    <w:rsid w:val="00C42793"/>
    <w:rsid w:val="00C601ED"/>
    <w:rsid w:val="00C6736B"/>
    <w:rsid w:val="00C86897"/>
    <w:rsid w:val="00CE5A5C"/>
    <w:rsid w:val="00D03199"/>
    <w:rsid w:val="00D31AB7"/>
    <w:rsid w:val="00D40A61"/>
    <w:rsid w:val="00D46CA6"/>
    <w:rsid w:val="00D50D23"/>
    <w:rsid w:val="00D512BB"/>
    <w:rsid w:val="00D839FF"/>
    <w:rsid w:val="00DA3B1A"/>
    <w:rsid w:val="00DA7F02"/>
    <w:rsid w:val="00DC6078"/>
    <w:rsid w:val="00DC79AD"/>
    <w:rsid w:val="00DD2075"/>
    <w:rsid w:val="00DF2868"/>
    <w:rsid w:val="00E557A0"/>
    <w:rsid w:val="00EA721D"/>
    <w:rsid w:val="00EC1B0D"/>
    <w:rsid w:val="00EF6435"/>
    <w:rsid w:val="00F10F6B"/>
    <w:rsid w:val="00F23697"/>
    <w:rsid w:val="00F36BB7"/>
    <w:rsid w:val="00F52775"/>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5:docId w15:val="{71B24852-98A9-4298-971A-64E9C820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table" w:styleId="TableGrid">
    <w:name w:val="Table Grid"/>
    <w:basedOn w:val="TableNormal"/>
    <w:uiPriority w:val="39"/>
    <w:rsid w:val="00F52775"/>
    <w:pPr>
      <w:spacing w:after="0" w:line="240" w:lineRule="auto"/>
      <w:ind w:left="0"/>
    </w:pPr>
    <w:rPr>
      <w:rFonts w:eastAsiaTheme="minorEastAsia"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pita.varghese\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8474E1-B0E3-4C4D-B36D-9F0797CA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0</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Arpita Varghese</dc:creator>
  <dc:description/>
  <cp:lastModifiedBy>Jina Krause-Vilmar</cp:lastModifiedBy>
  <cp:revision>2</cp:revision>
  <cp:lastPrinted>2017-11-29T17:42:00Z</cp:lastPrinted>
  <dcterms:created xsi:type="dcterms:W3CDTF">2017-12-07T15:24:00Z</dcterms:created>
  <dcterms:modified xsi:type="dcterms:W3CDTF">2017-12-07T15:24:00Z</dcterms:modified>
</cp:coreProperties>
</file>