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FB27" w14:textId="77777777" w:rsidR="003F2B8C" w:rsidRPr="00CE4810" w:rsidRDefault="00383577" w:rsidP="00DB459E">
      <w:pPr>
        <w:tabs>
          <w:tab w:val="left" w:pos="3240"/>
        </w:tabs>
        <w:jc w:val="center"/>
        <w:rPr>
          <w:rFonts w:asciiTheme="minorHAnsi" w:hAnsiTheme="minorHAnsi" w:cstheme="minorHAnsi"/>
          <w:iCs/>
          <w:kern w:val="0"/>
          <w:u w:val="single"/>
        </w:rPr>
      </w:pPr>
      <w:r w:rsidRPr="00CE4810">
        <w:rPr>
          <w:rFonts w:asciiTheme="minorHAnsi" w:hAnsiTheme="minorHAnsi" w:cstheme="minorHAnsi"/>
          <w:b w:val="0"/>
          <w:bCs w:val="0"/>
          <w:noProof/>
          <w:color w:val="365F91"/>
          <w:u w:val="single"/>
        </w:rPr>
        <w:drawing>
          <wp:anchor distT="0" distB="0" distL="114300" distR="114300" simplePos="0" relativeHeight="251659264" behindDoc="0" locked="0" layoutInCell="1" allowOverlap="1" wp14:anchorId="0FD171E9" wp14:editId="710B9EE7">
            <wp:simplePos x="0" y="0"/>
            <wp:positionH relativeFrom="page">
              <wp:align>left</wp:align>
            </wp:positionH>
            <wp:positionV relativeFrom="paragraph">
              <wp:posOffset>10704</wp:posOffset>
            </wp:positionV>
            <wp:extent cx="7829550" cy="1066165"/>
            <wp:effectExtent l="0" t="0" r="0" b="635"/>
            <wp:wrapSquare wrapText="bothSides"/>
            <wp:docPr id="1" name="Picture 1" descr="IASC-SWG-Gend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SWG-Gender-Bann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0065"/>
                    <a:stretch/>
                  </pic:blipFill>
                  <pic:spPr bwMode="auto">
                    <a:xfrm>
                      <a:off x="0" y="0"/>
                      <a:ext cx="7829550" cy="1066165"/>
                    </a:xfrm>
                    <a:prstGeom prst="rect">
                      <a:avLst/>
                    </a:prstGeom>
                    <a:noFill/>
                    <a:ln>
                      <a:noFill/>
                    </a:ln>
                    <a:extLst>
                      <a:ext uri="{53640926-AAD7-44D8-BBD7-CCE9431645EC}">
                        <a14:shadowObscured xmlns:a14="http://schemas.microsoft.com/office/drawing/2010/main"/>
                      </a:ext>
                    </a:extLst>
                  </pic:spPr>
                </pic:pic>
              </a:graphicData>
            </a:graphic>
          </wp:anchor>
        </w:drawing>
      </w:r>
    </w:p>
    <w:p w14:paraId="7E4EE354" w14:textId="77777777" w:rsidR="003F2B8C" w:rsidRPr="00CE4810" w:rsidRDefault="003F2B8C" w:rsidP="003F2B8C">
      <w:pPr>
        <w:tabs>
          <w:tab w:val="left" w:pos="3240"/>
        </w:tabs>
        <w:jc w:val="center"/>
        <w:rPr>
          <w:rFonts w:asciiTheme="minorHAnsi" w:hAnsiTheme="minorHAnsi" w:cstheme="minorHAnsi"/>
          <w:iCs/>
          <w:kern w:val="0"/>
          <w:u w:val="single"/>
        </w:rPr>
      </w:pPr>
    </w:p>
    <w:p w14:paraId="3373F764" w14:textId="50903A71" w:rsidR="003F2B8C" w:rsidRPr="00CE4810" w:rsidRDefault="003F2B8C" w:rsidP="003F2B8C">
      <w:pPr>
        <w:tabs>
          <w:tab w:val="left" w:pos="3240"/>
        </w:tabs>
        <w:jc w:val="center"/>
        <w:rPr>
          <w:rFonts w:asciiTheme="minorHAnsi" w:hAnsiTheme="minorHAnsi" w:cstheme="minorHAnsi"/>
          <w:iCs/>
          <w:kern w:val="0"/>
          <w:u w:val="single"/>
        </w:rPr>
      </w:pPr>
      <w:r w:rsidRPr="00CE4810">
        <w:rPr>
          <w:rFonts w:asciiTheme="minorHAnsi" w:hAnsiTheme="minorHAnsi" w:cstheme="minorHAnsi"/>
          <w:iCs/>
          <w:kern w:val="0"/>
          <w:u w:val="single"/>
        </w:rPr>
        <w:t>IASC G</w:t>
      </w:r>
      <w:r w:rsidR="00A73BC9" w:rsidRPr="00CE4810">
        <w:rPr>
          <w:rFonts w:asciiTheme="minorHAnsi" w:hAnsiTheme="minorHAnsi" w:cstheme="minorHAnsi"/>
          <w:iCs/>
          <w:kern w:val="0"/>
          <w:u w:val="single"/>
        </w:rPr>
        <w:t xml:space="preserve">RG MEETING, </w:t>
      </w:r>
      <w:r w:rsidR="00DA785D">
        <w:rPr>
          <w:rFonts w:asciiTheme="minorHAnsi" w:hAnsiTheme="minorHAnsi" w:cstheme="minorHAnsi"/>
          <w:iCs/>
          <w:kern w:val="0"/>
          <w:u w:val="single"/>
        </w:rPr>
        <w:t>29 August</w:t>
      </w:r>
      <w:r w:rsidR="00A73BC9" w:rsidRPr="00CE4810">
        <w:rPr>
          <w:rFonts w:asciiTheme="minorHAnsi" w:hAnsiTheme="minorHAnsi" w:cstheme="minorHAnsi"/>
          <w:iCs/>
          <w:kern w:val="0"/>
          <w:u w:val="single"/>
        </w:rPr>
        <w:t xml:space="preserve"> 2017</w:t>
      </w:r>
    </w:p>
    <w:p w14:paraId="02E68422" w14:textId="77777777" w:rsidR="003F2B8C" w:rsidRPr="00CE4810" w:rsidRDefault="003F2B8C" w:rsidP="003F2B8C">
      <w:pPr>
        <w:tabs>
          <w:tab w:val="left" w:pos="3240"/>
        </w:tabs>
        <w:rPr>
          <w:rFonts w:asciiTheme="minorHAnsi" w:hAnsiTheme="minorHAnsi" w:cstheme="minorHAnsi"/>
          <w:iCs/>
          <w:kern w:val="0"/>
        </w:rPr>
      </w:pPr>
    </w:p>
    <w:p w14:paraId="6067C6CB" w14:textId="77777777" w:rsidR="003F2B8C" w:rsidRPr="00CE4810" w:rsidRDefault="003F2B8C" w:rsidP="003F2B8C">
      <w:pPr>
        <w:tabs>
          <w:tab w:val="left" w:pos="3240"/>
        </w:tabs>
        <w:rPr>
          <w:rFonts w:asciiTheme="minorHAnsi" w:hAnsiTheme="minorHAnsi" w:cstheme="minorHAnsi"/>
          <w:iCs/>
          <w:color w:val="5B9BD5" w:themeColor="accent1"/>
          <w:kern w:val="0"/>
        </w:rPr>
      </w:pPr>
      <w:r w:rsidRPr="00CE4810">
        <w:rPr>
          <w:rFonts w:asciiTheme="minorHAnsi" w:hAnsiTheme="minorHAnsi" w:cstheme="minorHAnsi"/>
          <w:iCs/>
          <w:color w:val="5B9BD5" w:themeColor="accent1"/>
          <w:kern w:val="0"/>
        </w:rPr>
        <w:t>Meeting Chair</w:t>
      </w:r>
    </w:p>
    <w:p w14:paraId="08424DAB" w14:textId="2D9F7B6D" w:rsidR="00D128D7" w:rsidRPr="00CE4810" w:rsidRDefault="00960C1E" w:rsidP="003F2B8C">
      <w:pPr>
        <w:rPr>
          <w:rStyle w:val="Strong"/>
          <w:rFonts w:asciiTheme="minorHAnsi" w:hAnsiTheme="minorHAnsi" w:cstheme="minorHAnsi"/>
          <w:bCs/>
        </w:rPr>
      </w:pPr>
      <w:r>
        <w:rPr>
          <w:rStyle w:val="Strong"/>
          <w:rFonts w:asciiTheme="minorHAnsi" w:hAnsiTheme="minorHAnsi" w:cstheme="minorHAnsi"/>
          <w:bCs/>
        </w:rPr>
        <w:t>Jina Krause-Vilmar</w:t>
      </w:r>
      <w:r w:rsidR="00D128D7" w:rsidRPr="00CE4810">
        <w:rPr>
          <w:rStyle w:val="Strong"/>
          <w:rFonts w:asciiTheme="minorHAnsi" w:hAnsiTheme="minorHAnsi" w:cstheme="minorHAnsi"/>
          <w:bCs/>
        </w:rPr>
        <w:t xml:space="preserve"> </w:t>
      </w:r>
      <w:r w:rsidR="00FF3FF8" w:rsidRPr="00CE4810">
        <w:rPr>
          <w:rStyle w:val="Strong"/>
          <w:rFonts w:asciiTheme="minorHAnsi" w:hAnsiTheme="minorHAnsi" w:cstheme="minorHAnsi"/>
          <w:bCs/>
        </w:rPr>
        <w:t>–</w:t>
      </w:r>
      <w:r w:rsidR="00D128D7" w:rsidRPr="00CE4810">
        <w:rPr>
          <w:rStyle w:val="Strong"/>
          <w:rFonts w:asciiTheme="minorHAnsi" w:hAnsiTheme="minorHAnsi" w:cstheme="minorHAnsi"/>
          <w:bCs/>
        </w:rPr>
        <w:t xml:space="preserve"> </w:t>
      </w:r>
      <w:r w:rsidR="00FF3FF8" w:rsidRPr="00CE4810">
        <w:rPr>
          <w:rStyle w:val="Strong"/>
          <w:rFonts w:asciiTheme="minorHAnsi" w:hAnsiTheme="minorHAnsi" w:cstheme="minorHAnsi"/>
          <w:bCs/>
        </w:rPr>
        <w:t xml:space="preserve">HIAS </w:t>
      </w:r>
    </w:p>
    <w:p w14:paraId="72AA3D29" w14:textId="77777777" w:rsidR="003F2B8C" w:rsidRPr="00CE4810" w:rsidRDefault="003F2B8C" w:rsidP="003F2B8C">
      <w:pPr>
        <w:rPr>
          <w:rFonts w:asciiTheme="minorHAnsi" w:hAnsiTheme="minorHAnsi" w:cstheme="minorHAnsi"/>
          <w:b w:val="0"/>
        </w:rPr>
      </w:pPr>
    </w:p>
    <w:tbl>
      <w:tblPr>
        <w:tblStyle w:val="TableGrid"/>
        <w:tblW w:w="0" w:type="auto"/>
        <w:tblLook w:val="04A0" w:firstRow="1" w:lastRow="0" w:firstColumn="1" w:lastColumn="0" w:noHBand="0" w:noVBand="1"/>
      </w:tblPr>
      <w:tblGrid>
        <w:gridCol w:w="4414"/>
        <w:gridCol w:w="4414"/>
      </w:tblGrid>
      <w:tr w:rsidR="003F2B8C" w:rsidRPr="00CE4810" w14:paraId="7E957086" w14:textId="77777777" w:rsidTr="008B0D5E">
        <w:tc>
          <w:tcPr>
            <w:tcW w:w="8828" w:type="dxa"/>
            <w:gridSpan w:val="2"/>
          </w:tcPr>
          <w:p w14:paraId="07F935E6" w14:textId="77777777" w:rsidR="003F2B8C" w:rsidRPr="00CE4810" w:rsidRDefault="003F2B8C" w:rsidP="008B0D5E">
            <w:pPr>
              <w:rPr>
                <w:rFonts w:asciiTheme="minorHAnsi" w:hAnsiTheme="minorHAnsi" w:cstheme="minorHAnsi"/>
                <w:b w:val="0"/>
              </w:rPr>
            </w:pPr>
            <w:r w:rsidRPr="00CE4810">
              <w:rPr>
                <w:rFonts w:asciiTheme="minorHAnsi" w:eastAsia="Batang" w:hAnsiTheme="minorHAnsi" w:cstheme="minorHAnsi"/>
                <w:bCs w:val="0"/>
                <w:color w:val="5B9BD5" w:themeColor="accent1"/>
                <w:kern w:val="0"/>
              </w:rPr>
              <w:t>Participants</w:t>
            </w:r>
          </w:p>
        </w:tc>
      </w:tr>
      <w:tr w:rsidR="00AD0FD2" w:rsidRPr="00CE4810" w14:paraId="3BFF23AA" w14:textId="77777777" w:rsidTr="008B0D5E">
        <w:tc>
          <w:tcPr>
            <w:tcW w:w="4414" w:type="dxa"/>
          </w:tcPr>
          <w:p w14:paraId="460AB8D2" w14:textId="111B3274" w:rsidR="00AD0FD2" w:rsidRPr="00CE4810" w:rsidRDefault="00AD0FD2" w:rsidP="00AD0FD2">
            <w:pPr>
              <w:rPr>
                <w:rFonts w:asciiTheme="minorHAnsi" w:hAnsiTheme="minorHAnsi" w:cstheme="minorHAnsi"/>
                <w:b w:val="0"/>
              </w:rPr>
            </w:pPr>
          </w:p>
        </w:tc>
        <w:tc>
          <w:tcPr>
            <w:tcW w:w="4414" w:type="dxa"/>
          </w:tcPr>
          <w:p w14:paraId="246118BF" w14:textId="50AF4593" w:rsidR="00AD0FD2" w:rsidRPr="00CE4810" w:rsidRDefault="006951D1" w:rsidP="00AD0FD2">
            <w:pPr>
              <w:rPr>
                <w:rFonts w:asciiTheme="minorHAnsi" w:hAnsiTheme="minorHAnsi" w:cstheme="minorHAnsi"/>
                <w:b w:val="0"/>
              </w:rPr>
            </w:pPr>
            <w:r>
              <w:rPr>
                <w:rFonts w:asciiTheme="minorHAnsi" w:hAnsiTheme="minorHAnsi" w:cstheme="minorHAnsi"/>
                <w:b w:val="0"/>
              </w:rPr>
              <w:t>Leslie</w:t>
            </w:r>
            <w:r w:rsidR="00595E9C">
              <w:rPr>
                <w:rFonts w:asciiTheme="minorHAnsi" w:hAnsiTheme="minorHAnsi" w:cstheme="minorHAnsi"/>
                <w:b w:val="0"/>
              </w:rPr>
              <w:t xml:space="preserve"> </w:t>
            </w:r>
            <w:r w:rsidR="00DA785D">
              <w:rPr>
                <w:rFonts w:asciiTheme="minorHAnsi" w:hAnsiTheme="minorHAnsi" w:cstheme="minorHAnsi"/>
                <w:b w:val="0"/>
              </w:rPr>
              <w:t>– Plan International</w:t>
            </w:r>
          </w:p>
        </w:tc>
      </w:tr>
      <w:tr w:rsidR="00DA785D" w:rsidRPr="00CE4810" w14:paraId="5677CD08" w14:textId="77777777" w:rsidTr="008B0D5E">
        <w:tc>
          <w:tcPr>
            <w:tcW w:w="4414" w:type="dxa"/>
          </w:tcPr>
          <w:p w14:paraId="46080726" w14:textId="15F52CE5" w:rsidR="00DA785D" w:rsidRPr="00CE4810" w:rsidRDefault="00DA785D" w:rsidP="00DA785D">
            <w:pPr>
              <w:rPr>
                <w:rFonts w:asciiTheme="minorHAnsi" w:hAnsiTheme="minorHAnsi" w:cstheme="minorHAnsi"/>
                <w:b w:val="0"/>
              </w:rPr>
            </w:pPr>
            <w:r>
              <w:rPr>
                <w:rFonts w:asciiTheme="minorHAnsi" w:hAnsiTheme="minorHAnsi" w:cstheme="minorHAnsi"/>
                <w:b w:val="0"/>
              </w:rPr>
              <w:t xml:space="preserve">Kate Hunt </w:t>
            </w:r>
            <w:r w:rsidRPr="00CE4810">
              <w:rPr>
                <w:rFonts w:asciiTheme="minorHAnsi" w:hAnsiTheme="minorHAnsi" w:cstheme="minorHAnsi"/>
                <w:b w:val="0"/>
              </w:rPr>
              <w:t>– CARE International</w:t>
            </w:r>
          </w:p>
        </w:tc>
        <w:tc>
          <w:tcPr>
            <w:tcW w:w="4414" w:type="dxa"/>
          </w:tcPr>
          <w:p w14:paraId="3D072734" w14:textId="07BBDD97" w:rsidR="00DA785D" w:rsidRPr="00CE4810" w:rsidRDefault="00DA785D" w:rsidP="00DA785D">
            <w:pPr>
              <w:rPr>
                <w:rFonts w:asciiTheme="minorHAnsi" w:hAnsiTheme="minorHAnsi" w:cstheme="minorHAnsi"/>
                <w:b w:val="0"/>
              </w:rPr>
            </w:pPr>
            <w:r>
              <w:rPr>
                <w:rFonts w:asciiTheme="minorHAnsi" w:hAnsiTheme="minorHAnsi" w:cstheme="minorHAnsi"/>
                <w:b w:val="0"/>
              </w:rPr>
              <w:t xml:space="preserve">Mendy Marsh </w:t>
            </w:r>
            <w:r w:rsidRPr="00CE4810">
              <w:rPr>
                <w:rFonts w:asciiTheme="minorHAnsi" w:hAnsiTheme="minorHAnsi" w:cstheme="minorHAnsi"/>
                <w:b w:val="0"/>
              </w:rPr>
              <w:t>– UN</w:t>
            </w:r>
            <w:r>
              <w:rPr>
                <w:rFonts w:asciiTheme="minorHAnsi" w:hAnsiTheme="minorHAnsi" w:cstheme="minorHAnsi"/>
                <w:b w:val="0"/>
              </w:rPr>
              <w:t>ICEF</w:t>
            </w:r>
          </w:p>
        </w:tc>
      </w:tr>
      <w:tr w:rsidR="00DA785D" w:rsidRPr="00CE4810" w14:paraId="25341AF4" w14:textId="77777777" w:rsidTr="008B0D5E">
        <w:tc>
          <w:tcPr>
            <w:tcW w:w="4414" w:type="dxa"/>
          </w:tcPr>
          <w:p w14:paraId="4D018F43" w14:textId="418BBF6E" w:rsidR="00DA785D" w:rsidRPr="00CE4810" w:rsidRDefault="00DA785D" w:rsidP="00DA785D">
            <w:pPr>
              <w:rPr>
                <w:rFonts w:asciiTheme="minorHAnsi" w:hAnsiTheme="minorHAnsi" w:cstheme="minorHAnsi"/>
                <w:b w:val="0"/>
              </w:rPr>
            </w:pPr>
            <w:r>
              <w:rPr>
                <w:rFonts w:asciiTheme="minorHAnsi" w:hAnsiTheme="minorHAnsi" w:cstheme="minorHAnsi"/>
                <w:b w:val="0"/>
              </w:rPr>
              <w:t>Benard Muinde – IASC Secretariat</w:t>
            </w:r>
          </w:p>
        </w:tc>
        <w:tc>
          <w:tcPr>
            <w:tcW w:w="4414" w:type="dxa"/>
          </w:tcPr>
          <w:p w14:paraId="4FE1D1A2" w14:textId="11B9B240" w:rsidR="00DA785D" w:rsidRPr="00CE4810" w:rsidRDefault="00DA785D" w:rsidP="00DA785D">
            <w:pPr>
              <w:rPr>
                <w:rFonts w:asciiTheme="minorHAnsi" w:hAnsiTheme="minorHAnsi" w:cstheme="minorHAnsi"/>
                <w:b w:val="0"/>
              </w:rPr>
            </w:pPr>
            <w:r w:rsidRPr="00CE4810">
              <w:rPr>
                <w:rFonts w:asciiTheme="minorHAnsi" w:hAnsiTheme="minorHAnsi" w:cstheme="minorHAnsi"/>
                <w:b w:val="0"/>
              </w:rPr>
              <w:t>Fabrizia Falcione -UNFPA</w:t>
            </w:r>
          </w:p>
        </w:tc>
      </w:tr>
      <w:tr w:rsidR="00DA785D" w:rsidRPr="00CE4810" w14:paraId="4A3905D5" w14:textId="77777777" w:rsidTr="008B0D5E">
        <w:tc>
          <w:tcPr>
            <w:tcW w:w="4414" w:type="dxa"/>
          </w:tcPr>
          <w:p w14:paraId="7A18DB25" w14:textId="7AAFFA5C" w:rsidR="00DA785D" w:rsidRDefault="00DA785D" w:rsidP="00DA785D">
            <w:pPr>
              <w:rPr>
                <w:rFonts w:asciiTheme="minorHAnsi" w:hAnsiTheme="minorHAnsi" w:cstheme="minorHAnsi"/>
                <w:b w:val="0"/>
              </w:rPr>
            </w:pPr>
            <w:r>
              <w:rPr>
                <w:rFonts w:asciiTheme="minorHAnsi" w:hAnsiTheme="minorHAnsi" w:cstheme="minorHAnsi"/>
                <w:b w:val="0"/>
              </w:rPr>
              <w:t>Angela Wiens -</w:t>
            </w:r>
            <w:r w:rsidRPr="00CE4810">
              <w:rPr>
                <w:rFonts w:asciiTheme="minorHAnsi" w:hAnsiTheme="minorHAnsi" w:cstheme="minorHAnsi"/>
                <w:b w:val="0"/>
              </w:rPr>
              <w:t xml:space="preserve"> International Medical Corps</w:t>
            </w:r>
          </w:p>
        </w:tc>
        <w:tc>
          <w:tcPr>
            <w:tcW w:w="4414" w:type="dxa"/>
          </w:tcPr>
          <w:p w14:paraId="269C0358" w14:textId="1B4E9052" w:rsidR="00DA785D" w:rsidRPr="00CE4810" w:rsidRDefault="00DA785D" w:rsidP="00DA785D">
            <w:pPr>
              <w:rPr>
                <w:rFonts w:asciiTheme="minorHAnsi" w:hAnsiTheme="minorHAnsi" w:cstheme="minorHAnsi"/>
                <w:b w:val="0"/>
              </w:rPr>
            </w:pPr>
            <w:r>
              <w:rPr>
                <w:rFonts w:asciiTheme="minorHAnsi" w:hAnsiTheme="minorHAnsi" w:cstheme="minorHAnsi"/>
                <w:b w:val="0"/>
              </w:rPr>
              <w:t xml:space="preserve">David Coffey </w:t>
            </w:r>
            <w:r w:rsidRPr="00CE4810">
              <w:rPr>
                <w:rFonts w:asciiTheme="minorHAnsi" w:hAnsiTheme="minorHAnsi" w:cstheme="minorHAnsi"/>
                <w:b w:val="0"/>
              </w:rPr>
              <w:t>– UN Women</w:t>
            </w:r>
          </w:p>
        </w:tc>
      </w:tr>
      <w:tr w:rsidR="00DA785D" w:rsidRPr="00CE4810" w14:paraId="178A3BF3" w14:textId="77777777" w:rsidTr="008B0D5E">
        <w:tc>
          <w:tcPr>
            <w:tcW w:w="4414" w:type="dxa"/>
          </w:tcPr>
          <w:p w14:paraId="5AFADA15" w14:textId="7046DA06" w:rsidR="00DA785D" w:rsidRPr="00CE4810" w:rsidRDefault="00DA785D" w:rsidP="00DA785D">
            <w:pPr>
              <w:rPr>
                <w:rFonts w:asciiTheme="minorHAnsi" w:hAnsiTheme="minorHAnsi" w:cstheme="minorHAnsi"/>
                <w:b w:val="0"/>
              </w:rPr>
            </w:pPr>
            <w:r>
              <w:rPr>
                <w:rFonts w:asciiTheme="minorHAnsi" w:hAnsiTheme="minorHAnsi" w:cstheme="minorHAnsi"/>
                <w:b w:val="0"/>
              </w:rPr>
              <w:t>Elizabeth Eilor - OCHA</w:t>
            </w:r>
          </w:p>
        </w:tc>
        <w:tc>
          <w:tcPr>
            <w:tcW w:w="4414" w:type="dxa"/>
          </w:tcPr>
          <w:p w14:paraId="648D307E" w14:textId="2ECDE246" w:rsidR="00DA785D" w:rsidRPr="00CE4810" w:rsidRDefault="006144A1" w:rsidP="00DA785D">
            <w:pPr>
              <w:rPr>
                <w:rFonts w:asciiTheme="minorHAnsi" w:hAnsiTheme="minorHAnsi" w:cstheme="minorHAnsi"/>
                <w:b w:val="0"/>
              </w:rPr>
            </w:pPr>
            <w:bookmarkStart w:id="0" w:name="_GoBack"/>
            <w:bookmarkEnd w:id="0"/>
            <w:r w:rsidRPr="006144A1">
              <w:rPr>
                <w:rFonts w:asciiTheme="minorHAnsi" w:hAnsiTheme="minorHAnsi" w:cstheme="minorHAnsi"/>
                <w:b w:val="0"/>
              </w:rPr>
              <w:t>Mary M</w:t>
            </w:r>
            <w:r>
              <w:rPr>
                <w:rFonts w:asciiTheme="minorHAnsi" w:hAnsiTheme="minorHAnsi" w:cstheme="minorHAnsi"/>
                <w:b w:val="0"/>
              </w:rPr>
              <w:t>anandhar</w:t>
            </w:r>
            <w:r w:rsidRPr="006144A1">
              <w:rPr>
                <w:rFonts w:asciiTheme="minorHAnsi" w:hAnsiTheme="minorHAnsi" w:cstheme="minorHAnsi"/>
                <w:b w:val="0"/>
              </w:rPr>
              <w:t xml:space="preserve"> </w:t>
            </w:r>
            <w:r w:rsidR="00DA785D" w:rsidRPr="00CE4810">
              <w:rPr>
                <w:rFonts w:asciiTheme="minorHAnsi" w:hAnsiTheme="minorHAnsi" w:cstheme="minorHAnsi"/>
                <w:b w:val="0"/>
              </w:rPr>
              <w:t xml:space="preserve">– WHO </w:t>
            </w:r>
          </w:p>
        </w:tc>
      </w:tr>
      <w:tr w:rsidR="00DA785D" w:rsidRPr="00CE4810" w14:paraId="5B5609DE" w14:textId="77777777" w:rsidTr="008B0D5E">
        <w:tc>
          <w:tcPr>
            <w:tcW w:w="4414" w:type="dxa"/>
          </w:tcPr>
          <w:p w14:paraId="2D2A9B84" w14:textId="2507121C" w:rsidR="00DA785D" w:rsidRPr="00CE4810" w:rsidRDefault="00DA785D" w:rsidP="00DA785D">
            <w:pPr>
              <w:rPr>
                <w:rFonts w:asciiTheme="minorHAnsi" w:hAnsiTheme="minorHAnsi" w:cstheme="minorHAnsi"/>
                <w:b w:val="0"/>
              </w:rPr>
            </w:pPr>
            <w:r w:rsidRPr="00DA785D">
              <w:rPr>
                <w:rFonts w:asciiTheme="minorHAnsi" w:hAnsiTheme="minorHAnsi" w:cstheme="minorHAnsi"/>
                <w:b w:val="0"/>
              </w:rPr>
              <w:t xml:space="preserve">Julie Lafrenière </w:t>
            </w:r>
            <w:r w:rsidRPr="00CE4810">
              <w:rPr>
                <w:rFonts w:asciiTheme="minorHAnsi" w:hAnsiTheme="minorHAnsi" w:cstheme="minorHAnsi"/>
                <w:b w:val="0"/>
              </w:rPr>
              <w:t>– Oxfam</w:t>
            </w:r>
          </w:p>
        </w:tc>
        <w:tc>
          <w:tcPr>
            <w:tcW w:w="4414" w:type="dxa"/>
          </w:tcPr>
          <w:p w14:paraId="569CE04F" w14:textId="77777777" w:rsidR="00DA785D" w:rsidRPr="00CE4810" w:rsidRDefault="00DA785D" w:rsidP="00DA785D">
            <w:pPr>
              <w:rPr>
                <w:rFonts w:asciiTheme="minorHAnsi" w:hAnsiTheme="minorHAnsi" w:cstheme="minorHAnsi"/>
                <w:b w:val="0"/>
              </w:rPr>
            </w:pPr>
            <w:r w:rsidRPr="00CE4810">
              <w:rPr>
                <w:rFonts w:asciiTheme="minorHAnsi" w:hAnsiTheme="minorHAnsi" w:cstheme="minorHAnsi"/>
                <w:b w:val="0"/>
              </w:rPr>
              <w:t>Marcy Hersh – WRC</w:t>
            </w:r>
          </w:p>
        </w:tc>
      </w:tr>
    </w:tbl>
    <w:p w14:paraId="0EC57B51" w14:textId="77777777" w:rsidR="008A2142" w:rsidRPr="00CE4810" w:rsidRDefault="008A2142">
      <w:pPr>
        <w:rPr>
          <w:rFonts w:asciiTheme="minorHAnsi" w:hAnsiTheme="minorHAnsi" w:cstheme="minorHAnsi"/>
        </w:rPr>
      </w:pPr>
    </w:p>
    <w:p w14:paraId="49189AF5" w14:textId="0120C3FE" w:rsidR="00FC2367" w:rsidRPr="00595E9C" w:rsidRDefault="00595E9C">
      <w:pPr>
        <w:rPr>
          <w:rFonts w:asciiTheme="minorHAnsi" w:hAnsiTheme="minorHAnsi" w:cstheme="minorHAnsi"/>
          <w:b w:val="0"/>
        </w:rPr>
      </w:pPr>
      <w:r w:rsidRPr="00595E9C">
        <w:rPr>
          <w:rFonts w:asciiTheme="minorHAnsi" w:hAnsiTheme="minorHAnsi" w:cstheme="minorHAnsi"/>
          <w:b w:val="0"/>
        </w:rPr>
        <w:t>Guest Speaker – Tanja Chopra</w:t>
      </w:r>
    </w:p>
    <w:p w14:paraId="4FFD7C40" w14:textId="77777777" w:rsidR="0039355B" w:rsidRPr="00CE4810" w:rsidRDefault="0039355B">
      <w:pPr>
        <w:rPr>
          <w:rFonts w:asciiTheme="minorHAnsi" w:hAnsiTheme="minorHAnsi" w:cstheme="minorHAnsi"/>
        </w:rPr>
      </w:pPr>
    </w:p>
    <w:p w14:paraId="4A947585" w14:textId="0DCFCE55" w:rsidR="0047120D" w:rsidRPr="00CE4810" w:rsidRDefault="006F3732" w:rsidP="0047120D">
      <w:pPr>
        <w:pStyle w:val="ListParagraph"/>
        <w:numPr>
          <w:ilvl w:val="0"/>
          <w:numId w:val="2"/>
        </w:numPr>
        <w:rPr>
          <w:rFonts w:asciiTheme="minorHAnsi" w:eastAsia="Batang" w:hAnsiTheme="minorHAnsi" w:cstheme="minorHAnsi"/>
          <w:bCs w:val="0"/>
          <w:color w:val="5B9BD5" w:themeColor="accent1"/>
          <w:kern w:val="0"/>
        </w:rPr>
      </w:pPr>
      <w:r w:rsidRPr="00CE4810">
        <w:rPr>
          <w:rFonts w:asciiTheme="minorHAnsi" w:eastAsia="Batang" w:hAnsiTheme="minorHAnsi" w:cstheme="minorHAnsi"/>
          <w:bCs w:val="0"/>
          <w:color w:val="5B9BD5" w:themeColor="accent1"/>
          <w:kern w:val="0"/>
        </w:rPr>
        <w:t xml:space="preserve">Update on IASC policy revision and </w:t>
      </w:r>
      <w:r w:rsidR="00595E9C">
        <w:rPr>
          <w:rFonts w:asciiTheme="minorHAnsi" w:eastAsia="Batang" w:hAnsiTheme="minorHAnsi" w:cstheme="minorHAnsi"/>
          <w:bCs w:val="0"/>
          <w:color w:val="5B9BD5" w:themeColor="accent1"/>
          <w:kern w:val="0"/>
        </w:rPr>
        <w:t>Accountability Framework</w:t>
      </w:r>
      <w:r w:rsidR="00960C1E">
        <w:rPr>
          <w:rFonts w:asciiTheme="minorHAnsi" w:eastAsia="Batang" w:hAnsiTheme="minorHAnsi" w:cstheme="minorHAnsi"/>
          <w:bCs w:val="0"/>
          <w:color w:val="5B9BD5" w:themeColor="accent1"/>
          <w:kern w:val="0"/>
        </w:rPr>
        <w:t xml:space="preserve"> </w:t>
      </w:r>
    </w:p>
    <w:p w14:paraId="3C6D5A17" w14:textId="77777777" w:rsidR="0047120D" w:rsidRPr="00CE4810" w:rsidRDefault="0047120D" w:rsidP="0047120D">
      <w:pPr>
        <w:rPr>
          <w:rFonts w:asciiTheme="minorHAnsi" w:eastAsia="Batang" w:hAnsiTheme="minorHAnsi" w:cstheme="minorHAnsi"/>
          <w:b w:val="0"/>
          <w:bCs w:val="0"/>
          <w:kern w:val="0"/>
        </w:rPr>
      </w:pPr>
    </w:p>
    <w:p w14:paraId="6226270C" w14:textId="77777777" w:rsidR="00595E9C" w:rsidRDefault="00595E9C" w:rsidP="00595E9C">
      <w:pPr>
        <w:rPr>
          <w:rFonts w:asciiTheme="minorHAnsi" w:hAnsiTheme="minorHAnsi" w:cstheme="minorHAnsi"/>
          <w:b w:val="0"/>
        </w:rPr>
      </w:pPr>
      <w:r w:rsidRPr="00595E9C">
        <w:rPr>
          <w:rFonts w:asciiTheme="minorHAnsi" w:hAnsiTheme="minorHAnsi" w:cstheme="minorHAnsi"/>
          <w:b w:val="0"/>
        </w:rPr>
        <w:t>I</w:t>
      </w:r>
      <w:r>
        <w:rPr>
          <w:rFonts w:asciiTheme="minorHAnsi" w:hAnsiTheme="minorHAnsi" w:cstheme="minorHAnsi"/>
          <w:b w:val="0"/>
        </w:rPr>
        <w:t>A</w:t>
      </w:r>
      <w:r w:rsidRPr="00595E9C">
        <w:rPr>
          <w:rFonts w:asciiTheme="minorHAnsi" w:hAnsiTheme="minorHAnsi" w:cstheme="minorHAnsi"/>
          <w:b w:val="0"/>
        </w:rPr>
        <w:t>SC</w:t>
      </w:r>
      <w:r>
        <w:rPr>
          <w:rFonts w:asciiTheme="minorHAnsi" w:hAnsiTheme="minorHAnsi" w:cstheme="minorHAnsi"/>
          <w:b w:val="0"/>
        </w:rPr>
        <w:t xml:space="preserve"> Gender Policy update is not in its last stages.  Following consultations with the IASC Working Group, clusters, subsidiary bodies and other stakeholders, the draft policy is receiving its last comments from the policy update advisory group, based on which the consultants will formulate a final version for submission to the IASC Working Group.</w:t>
      </w:r>
    </w:p>
    <w:p w14:paraId="7114F453" w14:textId="77777777" w:rsidR="00595E9C" w:rsidRDefault="00595E9C" w:rsidP="00595E9C">
      <w:pPr>
        <w:rPr>
          <w:rFonts w:asciiTheme="minorHAnsi" w:hAnsiTheme="minorHAnsi" w:cstheme="minorHAnsi"/>
          <w:b w:val="0"/>
        </w:rPr>
      </w:pPr>
    </w:p>
    <w:p w14:paraId="6AD5B0D2" w14:textId="679197F5" w:rsidR="005D4945" w:rsidRDefault="00595E9C" w:rsidP="00595E9C">
      <w:pPr>
        <w:rPr>
          <w:rFonts w:asciiTheme="minorHAnsi" w:hAnsiTheme="minorHAnsi" w:cstheme="minorHAnsi"/>
          <w:b w:val="0"/>
        </w:rPr>
      </w:pPr>
      <w:r>
        <w:rPr>
          <w:rFonts w:asciiTheme="minorHAnsi" w:hAnsiTheme="minorHAnsi" w:cstheme="minorHAnsi"/>
          <w:b w:val="0"/>
        </w:rPr>
        <w:t>Based on the roles and responsibilities formulated in the new version of the IASC Gender Policy, an accountability framework is being developed to monitor and measure progress towards delivering on the commitments contained within the new policy.  Tanja Chopra – the lead AF consultant - briefed the GRG on the progress to date and next steps:</w:t>
      </w:r>
    </w:p>
    <w:p w14:paraId="577F9355" w14:textId="1875DE05" w:rsidR="00595E9C" w:rsidRDefault="00595E9C" w:rsidP="00595E9C">
      <w:pPr>
        <w:rPr>
          <w:rFonts w:asciiTheme="minorHAnsi" w:hAnsiTheme="minorHAnsi" w:cstheme="minorHAnsi"/>
          <w:b w:val="0"/>
        </w:rPr>
      </w:pPr>
    </w:p>
    <w:p w14:paraId="119D959C" w14:textId="77777777" w:rsidR="00595E9C" w:rsidRDefault="00595E9C" w:rsidP="00595E9C">
      <w:pPr>
        <w:pStyle w:val="ListParagraph"/>
        <w:numPr>
          <w:ilvl w:val="0"/>
          <w:numId w:val="16"/>
        </w:numPr>
        <w:rPr>
          <w:rFonts w:asciiTheme="minorHAnsi" w:hAnsiTheme="minorHAnsi" w:cstheme="minorHAnsi"/>
          <w:b w:val="0"/>
        </w:rPr>
      </w:pPr>
      <w:r>
        <w:rPr>
          <w:rFonts w:asciiTheme="minorHAnsi" w:hAnsiTheme="minorHAnsi" w:cstheme="minorHAnsi"/>
          <w:b w:val="0"/>
        </w:rPr>
        <w:t>Since joining in April, Tanja has been researching comparable AFs and other relevant monitoring mechanisms.  Also was involved in the consultations for the update of the policy.</w:t>
      </w:r>
    </w:p>
    <w:p w14:paraId="7CD31804" w14:textId="2393DECB" w:rsidR="00595E9C" w:rsidRDefault="00595E9C" w:rsidP="00595E9C">
      <w:pPr>
        <w:pStyle w:val="ListParagraph"/>
        <w:numPr>
          <w:ilvl w:val="0"/>
          <w:numId w:val="16"/>
        </w:numPr>
        <w:rPr>
          <w:rFonts w:asciiTheme="minorHAnsi" w:hAnsiTheme="minorHAnsi" w:cstheme="minorHAnsi"/>
          <w:b w:val="0"/>
        </w:rPr>
      </w:pPr>
      <w:r>
        <w:rPr>
          <w:rFonts w:asciiTheme="minorHAnsi" w:hAnsiTheme="minorHAnsi" w:cstheme="minorHAnsi"/>
          <w:b w:val="0"/>
        </w:rPr>
        <w:t>Feedback urged not to create a huge amount of additional reporting and to harness work and tools that are already in place – incl. Gender Marker, UN SWAP, Gender Scorecards etc.</w:t>
      </w:r>
    </w:p>
    <w:p w14:paraId="5DA72BDB" w14:textId="69DD5C1E" w:rsidR="00595E9C" w:rsidRDefault="008E1F1C" w:rsidP="00595E9C">
      <w:pPr>
        <w:pStyle w:val="ListParagraph"/>
        <w:numPr>
          <w:ilvl w:val="0"/>
          <w:numId w:val="16"/>
        </w:numPr>
        <w:rPr>
          <w:rFonts w:asciiTheme="minorHAnsi" w:hAnsiTheme="minorHAnsi" w:cstheme="minorHAnsi"/>
          <w:b w:val="0"/>
        </w:rPr>
      </w:pPr>
      <w:r>
        <w:rPr>
          <w:rFonts w:asciiTheme="minorHAnsi" w:hAnsiTheme="minorHAnsi" w:cstheme="minorHAnsi"/>
          <w:b w:val="0"/>
        </w:rPr>
        <w:t>Need to balance by capturing what is not already being measured so that the AF is comprehensive and adds something new.</w:t>
      </w:r>
    </w:p>
    <w:p w14:paraId="6C23C9D5" w14:textId="0C42EC86" w:rsidR="008E1F1C" w:rsidRDefault="008E1F1C" w:rsidP="00595E9C">
      <w:pPr>
        <w:pStyle w:val="ListParagraph"/>
        <w:numPr>
          <w:ilvl w:val="0"/>
          <w:numId w:val="16"/>
        </w:numPr>
        <w:rPr>
          <w:rFonts w:asciiTheme="minorHAnsi" w:hAnsiTheme="minorHAnsi" w:cstheme="minorHAnsi"/>
          <w:b w:val="0"/>
        </w:rPr>
      </w:pPr>
      <w:r>
        <w:rPr>
          <w:rFonts w:asciiTheme="minorHAnsi" w:hAnsiTheme="minorHAnsi" w:cstheme="minorHAnsi"/>
          <w:b w:val="0"/>
        </w:rPr>
        <w:t>Focus will be on the higher levels of the IASC – Principals, WG, subsidiary bodies, clusters – and the HCs at the field level.  This is to avoid over-burdening frontline workers and to avoid over-complication of the AF.</w:t>
      </w:r>
    </w:p>
    <w:p w14:paraId="7E7883DA" w14:textId="6297167E" w:rsidR="008E1F1C" w:rsidRDefault="008E1F1C" w:rsidP="00595E9C">
      <w:pPr>
        <w:pStyle w:val="ListParagraph"/>
        <w:numPr>
          <w:ilvl w:val="0"/>
          <w:numId w:val="16"/>
        </w:numPr>
        <w:rPr>
          <w:rFonts w:asciiTheme="minorHAnsi" w:hAnsiTheme="minorHAnsi" w:cstheme="minorHAnsi"/>
          <w:b w:val="0"/>
        </w:rPr>
      </w:pPr>
      <w:r>
        <w:rPr>
          <w:rFonts w:asciiTheme="minorHAnsi" w:hAnsiTheme="minorHAnsi" w:cstheme="minorHAnsi"/>
          <w:b w:val="0"/>
        </w:rPr>
        <w:t>AF looks at the lines of authority and is based on a logic-model as a means of measuring progress.</w:t>
      </w:r>
    </w:p>
    <w:p w14:paraId="35CAB3EF" w14:textId="0EB49F39" w:rsidR="008E1F1C" w:rsidRDefault="008E1F1C" w:rsidP="00595E9C">
      <w:pPr>
        <w:pStyle w:val="ListParagraph"/>
        <w:numPr>
          <w:ilvl w:val="0"/>
          <w:numId w:val="16"/>
        </w:numPr>
        <w:rPr>
          <w:rFonts w:asciiTheme="minorHAnsi" w:hAnsiTheme="minorHAnsi" w:cstheme="minorHAnsi"/>
          <w:b w:val="0"/>
        </w:rPr>
      </w:pPr>
      <w:r>
        <w:rPr>
          <w:rFonts w:asciiTheme="minorHAnsi" w:hAnsiTheme="minorHAnsi" w:cstheme="minorHAnsi"/>
          <w:b w:val="0"/>
        </w:rPr>
        <w:lastRenderedPageBreak/>
        <w:t xml:space="preserve">As IASC is a voluntary body, AF will utilize transparency and </w:t>
      </w:r>
      <w:r w:rsidR="00464CED">
        <w:rPr>
          <w:rFonts w:asciiTheme="minorHAnsi" w:hAnsiTheme="minorHAnsi" w:cstheme="minorHAnsi"/>
          <w:b w:val="0"/>
        </w:rPr>
        <w:t>‘</w:t>
      </w:r>
      <w:r>
        <w:rPr>
          <w:rFonts w:asciiTheme="minorHAnsi" w:hAnsiTheme="minorHAnsi" w:cstheme="minorHAnsi"/>
          <w:b w:val="0"/>
        </w:rPr>
        <w:t xml:space="preserve">peer </w:t>
      </w:r>
      <w:r w:rsidR="00464CED">
        <w:rPr>
          <w:rFonts w:asciiTheme="minorHAnsi" w:hAnsiTheme="minorHAnsi" w:cstheme="minorHAnsi"/>
          <w:b w:val="0"/>
        </w:rPr>
        <w:t>pressure’ to ensure progress.</w:t>
      </w:r>
    </w:p>
    <w:p w14:paraId="424D0DEC" w14:textId="3766312E" w:rsidR="00464CED" w:rsidRDefault="00464CED" w:rsidP="00595E9C">
      <w:pPr>
        <w:pStyle w:val="ListParagraph"/>
        <w:numPr>
          <w:ilvl w:val="0"/>
          <w:numId w:val="16"/>
        </w:numPr>
        <w:rPr>
          <w:rFonts w:asciiTheme="minorHAnsi" w:hAnsiTheme="minorHAnsi" w:cstheme="minorHAnsi"/>
          <w:b w:val="0"/>
        </w:rPr>
      </w:pPr>
      <w:r>
        <w:rPr>
          <w:rFonts w:asciiTheme="minorHAnsi" w:hAnsiTheme="minorHAnsi" w:cstheme="minorHAnsi"/>
          <w:b w:val="0"/>
        </w:rPr>
        <w:t>The work of the AF will be led by UN Women on behalf of the GRG.  The GRG will publish the annual report with recommendations for submission to the WG.</w:t>
      </w:r>
    </w:p>
    <w:p w14:paraId="667992BE" w14:textId="23581A8B" w:rsidR="00464CED" w:rsidRDefault="00464CED" w:rsidP="00595E9C">
      <w:pPr>
        <w:pStyle w:val="ListParagraph"/>
        <w:numPr>
          <w:ilvl w:val="0"/>
          <w:numId w:val="16"/>
        </w:numPr>
        <w:rPr>
          <w:rFonts w:asciiTheme="minorHAnsi" w:hAnsiTheme="minorHAnsi" w:cstheme="minorHAnsi"/>
          <w:b w:val="0"/>
        </w:rPr>
      </w:pPr>
      <w:r>
        <w:rPr>
          <w:rFonts w:asciiTheme="minorHAnsi" w:hAnsiTheme="minorHAnsi" w:cstheme="minorHAnsi"/>
          <w:b w:val="0"/>
        </w:rPr>
        <w:t>An evaluation after 5 years will look at how the AF has worked, what needs adjusting etc.</w:t>
      </w:r>
    </w:p>
    <w:p w14:paraId="7EAE1CDA" w14:textId="77777777" w:rsidR="0042477A" w:rsidRDefault="0042477A" w:rsidP="0042477A">
      <w:pPr>
        <w:rPr>
          <w:rFonts w:asciiTheme="minorHAnsi" w:hAnsiTheme="minorHAnsi" w:cstheme="minorHAnsi"/>
        </w:rPr>
      </w:pPr>
    </w:p>
    <w:p w14:paraId="273BF5A3" w14:textId="77777777" w:rsidR="0042477A" w:rsidRDefault="00464CED" w:rsidP="0042477A">
      <w:pPr>
        <w:rPr>
          <w:rFonts w:asciiTheme="minorHAnsi" w:hAnsiTheme="minorHAnsi" w:cstheme="minorHAnsi"/>
          <w:b w:val="0"/>
        </w:rPr>
      </w:pPr>
      <w:r w:rsidRPr="0042477A">
        <w:rPr>
          <w:rFonts w:asciiTheme="minorHAnsi" w:hAnsiTheme="minorHAnsi" w:cstheme="minorHAnsi"/>
        </w:rPr>
        <w:t>Next Steps</w:t>
      </w:r>
      <w:r w:rsidR="0042477A">
        <w:rPr>
          <w:rFonts w:asciiTheme="minorHAnsi" w:hAnsiTheme="minorHAnsi" w:cstheme="minorHAnsi"/>
        </w:rPr>
        <w:t>:</w:t>
      </w:r>
      <w:r w:rsidRPr="0042477A">
        <w:rPr>
          <w:rFonts w:asciiTheme="minorHAnsi" w:hAnsiTheme="minorHAnsi" w:cstheme="minorHAnsi"/>
          <w:b w:val="0"/>
        </w:rPr>
        <w:t xml:space="preserve"> </w:t>
      </w:r>
    </w:p>
    <w:p w14:paraId="05FF0A16" w14:textId="179CE28B" w:rsidR="00464CED" w:rsidRDefault="00464CED" w:rsidP="0042477A">
      <w:pPr>
        <w:pStyle w:val="ListParagraph"/>
        <w:numPr>
          <w:ilvl w:val="0"/>
          <w:numId w:val="17"/>
        </w:numPr>
        <w:rPr>
          <w:rFonts w:asciiTheme="minorHAnsi" w:hAnsiTheme="minorHAnsi" w:cstheme="minorHAnsi"/>
          <w:b w:val="0"/>
        </w:rPr>
      </w:pPr>
      <w:r w:rsidRPr="0042477A">
        <w:rPr>
          <w:rFonts w:asciiTheme="minorHAnsi" w:hAnsiTheme="minorHAnsi" w:cstheme="minorHAnsi"/>
          <w:b w:val="0"/>
        </w:rPr>
        <w:t xml:space="preserve">A series of consultations will be held in NY and GVA </w:t>
      </w:r>
      <w:r w:rsidR="00E93F91" w:rsidRPr="0042477A">
        <w:rPr>
          <w:rFonts w:asciiTheme="minorHAnsi" w:hAnsiTheme="minorHAnsi" w:cstheme="minorHAnsi"/>
          <w:b w:val="0"/>
        </w:rPr>
        <w:t xml:space="preserve">with the </w:t>
      </w:r>
      <w:r w:rsidR="0042477A" w:rsidRPr="0042477A">
        <w:rPr>
          <w:rFonts w:asciiTheme="minorHAnsi" w:hAnsiTheme="minorHAnsi" w:cstheme="minorHAnsi"/>
          <w:b w:val="0"/>
        </w:rPr>
        <w:t>IASC WG member organizations and other stakeholders to discuss the AF, its implications to the agencies and the IASC and to get their feedback.</w:t>
      </w:r>
      <w:r w:rsidRPr="0042477A">
        <w:rPr>
          <w:rFonts w:asciiTheme="minorHAnsi" w:hAnsiTheme="minorHAnsi" w:cstheme="minorHAnsi"/>
          <w:b w:val="0"/>
        </w:rPr>
        <w:t xml:space="preserve"> </w:t>
      </w:r>
    </w:p>
    <w:p w14:paraId="78ABA424" w14:textId="4D629B5F" w:rsidR="0042477A" w:rsidRDefault="0042477A" w:rsidP="0042477A">
      <w:pPr>
        <w:pStyle w:val="ListParagraph"/>
        <w:numPr>
          <w:ilvl w:val="0"/>
          <w:numId w:val="17"/>
        </w:numPr>
        <w:rPr>
          <w:rFonts w:asciiTheme="minorHAnsi" w:hAnsiTheme="minorHAnsi" w:cstheme="minorHAnsi"/>
          <w:b w:val="0"/>
        </w:rPr>
      </w:pPr>
      <w:r>
        <w:rPr>
          <w:rFonts w:asciiTheme="minorHAnsi" w:hAnsiTheme="minorHAnsi" w:cstheme="minorHAnsi"/>
          <w:b w:val="0"/>
        </w:rPr>
        <w:t xml:space="preserve">Logframe to be further fleshed out with timelines and targets for </w:t>
      </w:r>
      <w:r w:rsidR="00501311">
        <w:rPr>
          <w:rFonts w:asciiTheme="minorHAnsi" w:hAnsiTheme="minorHAnsi" w:cstheme="minorHAnsi"/>
          <w:b w:val="0"/>
        </w:rPr>
        <w:t xml:space="preserve">indicators based on 5 year span, with indicator targets provided in 2 year intervals to demonstrate increase over time. </w:t>
      </w:r>
    </w:p>
    <w:p w14:paraId="3CBFD401" w14:textId="711F70D1" w:rsidR="0042477A" w:rsidRPr="0042477A" w:rsidRDefault="00501311" w:rsidP="0042477A">
      <w:pPr>
        <w:pStyle w:val="ListParagraph"/>
        <w:numPr>
          <w:ilvl w:val="0"/>
          <w:numId w:val="17"/>
        </w:numPr>
        <w:rPr>
          <w:rFonts w:asciiTheme="minorHAnsi" w:hAnsiTheme="minorHAnsi" w:cstheme="minorHAnsi"/>
          <w:b w:val="0"/>
        </w:rPr>
      </w:pPr>
      <w:r>
        <w:rPr>
          <w:rFonts w:asciiTheme="minorHAnsi" w:hAnsiTheme="minorHAnsi" w:cstheme="minorHAnsi"/>
          <w:b w:val="0"/>
        </w:rPr>
        <w:t xml:space="preserve">Development of </w:t>
      </w:r>
      <w:r w:rsidR="0042477A">
        <w:rPr>
          <w:rFonts w:asciiTheme="minorHAnsi" w:hAnsiTheme="minorHAnsi" w:cstheme="minorHAnsi"/>
          <w:b w:val="0"/>
        </w:rPr>
        <w:t xml:space="preserve">indicator reference sheet </w:t>
      </w:r>
      <w:r>
        <w:rPr>
          <w:rFonts w:asciiTheme="minorHAnsi" w:hAnsiTheme="minorHAnsi" w:cstheme="minorHAnsi"/>
          <w:b w:val="0"/>
        </w:rPr>
        <w:t xml:space="preserve">per indicator to ensure clarity on means, verification and definitions of each indicator </w:t>
      </w:r>
      <w:r w:rsidR="0042477A">
        <w:rPr>
          <w:rFonts w:asciiTheme="minorHAnsi" w:hAnsiTheme="minorHAnsi" w:cstheme="minorHAnsi"/>
          <w:b w:val="0"/>
        </w:rPr>
        <w:t xml:space="preserve">and </w:t>
      </w:r>
      <w:r>
        <w:rPr>
          <w:rFonts w:asciiTheme="minorHAnsi" w:hAnsiTheme="minorHAnsi" w:cstheme="minorHAnsi"/>
          <w:b w:val="0"/>
        </w:rPr>
        <w:t xml:space="preserve">outline </w:t>
      </w:r>
      <w:r w:rsidR="0042477A">
        <w:rPr>
          <w:rFonts w:asciiTheme="minorHAnsi" w:hAnsiTheme="minorHAnsi" w:cstheme="minorHAnsi"/>
          <w:b w:val="0"/>
        </w:rPr>
        <w:t>help-desk function</w:t>
      </w:r>
      <w:r>
        <w:rPr>
          <w:rFonts w:asciiTheme="minorHAnsi" w:hAnsiTheme="minorHAnsi" w:cstheme="minorHAnsi"/>
          <w:b w:val="0"/>
        </w:rPr>
        <w:t xml:space="preserve">s. </w:t>
      </w:r>
    </w:p>
    <w:p w14:paraId="22ED4C52" w14:textId="77777777" w:rsidR="00AD0FD2" w:rsidRPr="00CE4810" w:rsidRDefault="00AD0FD2" w:rsidP="00AD0FD2">
      <w:pPr>
        <w:pStyle w:val="ListParagraph"/>
        <w:rPr>
          <w:rFonts w:asciiTheme="minorHAnsi" w:hAnsiTheme="minorHAnsi" w:cstheme="minorHAnsi"/>
          <w:b w:val="0"/>
        </w:rPr>
      </w:pPr>
    </w:p>
    <w:tbl>
      <w:tblPr>
        <w:tblStyle w:val="TableGrid"/>
        <w:tblW w:w="0" w:type="auto"/>
        <w:tblInd w:w="-5" w:type="dxa"/>
        <w:tblLook w:val="04A0" w:firstRow="1" w:lastRow="0" w:firstColumn="1" w:lastColumn="0" w:noHBand="0" w:noVBand="1"/>
      </w:tblPr>
      <w:tblGrid>
        <w:gridCol w:w="9355"/>
      </w:tblGrid>
      <w:tr w:rsidR="00AD0FD2" w14:paraId="1B910F46" w14:textId="77777777" w:rsidTr="00AD0FD2">
        <w:tc>
          <w:tcPr>
            <w:tcW w:w="9355" w:type="dxa"/>
          </w:tcPr>
          <w:p w14:paraId="0495AC27" w14:textId="77777777" w:rsidR="00AD0FD2" w:rsidRPr="00CE4810" w:rsidRDefault="00AD0FD2" w:rsidP="00AD0FD2">
            <w:pPr>
              <w:rPr>
                <w:rFonts w:asciiTheme="minorHAnsi" w:hAnsiTheme="minorHAnsi" w:cstheme="minorHAnsi"/>
              </w:rPr>
            </w:pPr>
            <w:r w:rsidRPr="00CE4810">
              <w:rPr>
                <w:rFonts w:asciiTheme="minorHAnsi" w:hAnsiTheme="minorHAnsi" w:cstheme="minorHAnsi"/>
              </w:rPr>
              <w:t>Action point</w:t>
            </w:r>
            <w:r>
              <w:rPr>
                <w:rFonts w:asciiTheme="minorHAnsi" w:hAnsiTheme="minorHAnsi" w:cstheme="minorHAnsi"/>
              </w:rPr>
              <w:t>s</w:t>
            </w:r>
            <w:r w:rsidRPr="00CE4810">
              <w:rPr>
                <w:rFonts w:asciiTheme="minorHAnsi" w:hAnsiTheme="minorHAnsi" w:cstheme="minorHAnsi"/>
              </w:rPr>
              <w:t xml:space="preserve">: </w:t>
            </w:r>
          </w:p>
          <w:p w14:paraId="0F014D1B" w14:textId="2CBD2913" w:rsidR="00AD0FD2" w:rsidRPr="006951D1" w:rsidRDefault="0042477A" w:rsidP="00AD0FD2">
            <w:pPr>
              <w:pStyle w:val="ListParagraph"/>
              <w:numPr>
                <w:ilvl w:val="0"/>
                <w:numId w:val="12"/>
              </w:numPr>
              <w:rPr>
                <w:rFonts w:asciiTheme="minorHAnsi" w:hAnsiTheme="minorHAnsi" w:cstheme="minorHAnsi"/>
                <w:b w:val="0"/>
                <w:color w:val="000000"/>
                <w:highlight w:val="yellow"/>
              </w:rPr>
            </w:pPr>
            <w:r w:rsidRPr="006951D1">
              <w:rPr>
                <w:rFonts w:asciiTheme="minorHAnsi" w:hAnsiTheme="minorHAnsi" w:cstheme="minorHAnsi"/>
                <w:b w:val="0"/>
                <w:highlight w:val="yellow"/>
              </w:rPr>
              <w:t>GRG to provide comments and inputs to draft AF by 8</w:t>
            </w:r>
            <w:r w:rsidRPr="006951D1">
              <w:rPr>
                <w:rFonts w:asciiTheme="minorHAnsi" w:hAnsiTheme="minorHAnsi" w:cstheme="minorHAnsi"/>
                <w:b w:val="0"/>
                <w:highlight w:val="yellow"/>
                <w:vertAlign w:val="superscript"/>
              </w:rPr>
              <w:t>th</w:t>
            </w:r>
            <w:r w:rsidRPr="006951D1">
              <w:rPr>
                <w:rFonts w:asciiTheme="minorHAnsi" w:hAnsiTheme="minorHAnsi" w:cstheme="minorHAnsi"/>
                <w:b w:val="0"/>
                <w:highlight w:val="yellow"/>
              </w:rPr>
              <w:t xml:space="preserve"> Sept in advance of the NY/GVA stakeholder consultations.</w:t>
            </w:r>
          </w:p>
          <w:p w14:paraId="3FF7AC12" w14:textId="77777777" w:rsidR="00AD0FD2" w:rsidRDefault="00AD0FD2" w:rsidP="00E97EC2">
            <w:pPr>
              <w:rPr>
                <w:rFonts w:asciiTheme="minorHAnsi" w:hAnsiTheme="minorHAnsi" w:cstheme="minorHAnsi"/>
                <w:b w:val="0"/>
              </w:rPr>
            </w:pPr>
          </w:p>
        </w:tc>
      </w:tr>
    </w:tbl>
    <w:p w14:paraId="2703B704" w14:textId="77777777" w:rsidR="00B42E2D" w:rsidRPr="00E97EC2" w:rsidRDefault="00B42E2D" w:rsidP="00E97EC2">
      <w:pPr>
        <w:ind w:left="360"/>
        <w:rPr>
          <w:rFonts w:asciiTheme="minorHAnsi" w:hAnsiTheme="minorHAnsi" w:cstheme="minorHAnsi"/>
          <w:b w:val="0"/>
        </w:rPr>
      </w:pPr>
    </w:p>
    <w:p w14:paraId="5490CBF9" w14:textId="3104E5CD" w:rsidR="004153E0" w:rsidRPr="00206C96" w:rsidRDefault="00206C96" w:rsidP="000A5E75">
      <w:pPr>
        <w:pStyle w:val="ListParagraph"/>
        <w:numPr>
          <w:ilvl w:val="0"/>
          <w:numId w:val="2"/>
        </w:numPr>
        <w:rPr>
          <w:rFonts w:asciiTheme="minorHAnsi" w:eastAsia="Batang" w:hAnsiTheme="minorHAnsi" w:cstheme="minorHAnsi"/>
          <w:b w:val="0"/>
          <w:bCs w:val="0"/>
          <w:color w:val="5B9BD5" w:themeColor="accent1"/>
          <w:kern w:val="0"/>
        </w:rPr>
      </w:pPr>
      <w:r w:rsidRPr="00206C96">
        <w:rPr>
          <w:rFonts w:asciiTheme="minorHAnsi" w:eastAsia="Batang" w:hAnsiTheme="minorHAnsi" w:cstheme="minorHAnsi"/>
          <w:bCs w:val="0"/>
          <w:color w:val="5B9BD5" w:themeColor="accent1"/>
          <w:kern w:val="0"/>
        </w:rPr>
        <w:t xml:space="preserve">Update on IASC Subsidiary Body Review </w:t>
      </w:r>
    </w:p>
    <w:p w14:paraId="56468D06" w14:textId="26745CA3" w:rsidR="00206C96" w:rsidRDefault="00206C96" w:rsidP="00206C96">
      <w:pPr>
        <w:rPr>
          <w:rFonts w:asciiTheme="minorHAnsi" w:eastAsia="Batang" w:hAnsiTheme="minorHAnsi" w:cstheme="minorHAnsi"/>
          <w:b w:val="0"/>
          <w:bCs w:val="0"/>
          <w:color w:val="5B9BD5" w:themeColor="accent1"/>
          <w:kern w:val="0"/>
        </w:rPr>
      </w:pPr>
    </w:p>
    <w:p w14:paraId="22AD56B8" w14:textId="6BEE1C15" w:rsidR="00206C96" w:rsidRDefault="00206C96" w:rsidP="00206C96">
      <w:pPr>
        <w:outlineLvl w:val="0"/>
        <w:rPr>
          <w:rFonts w:asciiTheme="minorHAnsi" w:hAnsiTheme="minorHAnsi"/>
          <w:b w:val="0"/>
        </w:rPr>
      </w:pPr>
      <w:r>
        <w:rPr>
          <w:rFonts w:asciiTheme="minorHAnsi" w:hAnsiTheme="minorHAnsi"/>
          <w:b w:val="0"/>
        </w:rPr>
        <w:t>The IASC in coordination with ICVA is hosting a w</w:t>
      </w:r>
      <w:r w:rsidRPr="00206C96">
        <w:rPr>
          <w:rFonts w:asciiTheme="minorHAnsi" w:hAnsiTheme="minorHAnsi"/>
          <w:b w:val="0"/>
        </w:rPr>
        <w:t>orkshop for Co-Chairs of IASC Working Group Subsidiary Bodies and IA</w:t>
      </w:r>
      <w:r>
        <w:rPr>
          <w:rFonts w:asciiTheme="minorHAnsi" w:hAnsiTheme="minorHAnsi"/>
          <w:b w:val="0"/>
        </w:rPr>
        <w:t>SC Workplan 'Priority' Sponsors on</w:t>
      </w:r>
      <w:r w:rsidRPr="00206C96">
        <w:rPr>
          <w:rFonts w:asciiTheme="minorHAnsi" w:hAnsiTheme="minorHAnsi"/>
          <w:b w:val="0"/>
        </w:rPr>
        <w:t xml:space="preserve"> 6 Septemb</w:t>
      </w:r>
      <w:r>
        <w:rPr>
          <w:rFonts w:asciiTheme="minorHAnsi" w:hAnsiTheme="minorHAnsi"/>
          <w:b w:val="0"/>
        </w:rPr>
        <w:t>er 2017 in</w:t>
      </w:r>
      <w:r w:rsidRPr="00206C96">
        <w:rPr>
          <w:rFonts w:asciiTheme="minorHAnsi" w:hAnsiTheme="minorHAnsi"/>
          <w:b w:val="0"/>
        </w:rPr>
        <w:t xml:space="preserve"> Geneva</w:t>
      </w:r>
      <w:r>
        <w:rPr>
          <w:rFonts w:asciiTheme="minorHAnsi" w:hAnsiTheme="minorHAnsi"/>
          <w:b w:val="0"/>
        </w:rPr>
        <w:t xml:space="preserve"> to focus on:</w:t>
      </w:r>
    </w:p>
    <w:p w14:paraId="53B7414A" w14:textId="77777777" w:rsidR="00206C96" w:rsidRDefault="00206C96" w:rsidP="00206C96">
      <w:pPr>
        <w:outlineLvl w:val="0"/>
        <w:rPr>
          <w:rFonts w:asciiTheme="minorHAnsi" w:hAnsiTheme="minorHAnsi"/>
          <w:b w:val="0"/>
        </w:rPr>
      </w:pPr>
    </w:p>
    <w:p w14:paraId="25B42DFF" w14:textId="77777777" w:rsidR="00206C96" w:rsidRDefault="00206C96" w:rsidP="00206C96">
      <w:pPr>
        <w:pStyle w:val="ListParagraph"/>
        <w:numPr>
          <w:ilvl w:val="0"/>
          <w:numId w:val="20"/>
        </w:numPr>
        <w:outlineLvl w:val="0"/>
        <w:rPr>
          <w:rFonts w:asciiTheme="minorHAnsi" w:hAnsiTheme="minorHAnsi"/>
          <w:b w:val="0"/>
        </w:rPr>
      </w:pPr>
      <w:r w:rsidRPr="00206C96">
        <w:rPr>
          <w:rFonts w:asciiTheme="minorHAnsi" w:hAnsiTheme="minorHAnsi"/>
          <w:b w:val="0"/>
        </w:rPr>
        <w:t xml:space="preserve">opportunities for synergies, </w:t>
      </w:r>
    </w:p>
    <w:p w14:paraId="405B05EB" w14:textId="77777777" w:rsidR="00206C96" w:rsidRDefault="00206C96" w:rsidP="00206C96">
      <w:pPr>
        <w:pStyle w:val="ListParagraph"/>
        <w:numPr>
          <w:ilvl w:val="0"/>
          <w:numId w:val="20"/>
        </w:numPr>
        <w:outlineLvl w:val="0"/>
        <w:rPr>
          <w:rFonts w:asciiTheme="minorHAnsi" w:hAnsiTheme="minorHAnsi"/>
          <w:b w:val="0"/>
        </w:rPr>
      </w:pPr>
      <w:r w:rsidRPr="00206C96">
        <w:rPr>
          <w:rFonts w:asciiTheme="minorHAnsi" w:hAnsiTheme="minorHAnsi"/>
          <w:b w:val="0"/>
        </w:rPr>
        <w:t xml:space="preserve">coherence and alignment between IASC WG subsidiary bodies (including in the field support provided); </w:t>
      </w:r>
    </w:p>
    <w:p w14:paraId="15134DF4" w14:textId="77777777" w:rsidR="00206C96" w:rsidRDefault="00206C96" w:rsidP="00206C96">
      <w:pPr>
        <w:pStyle w:val="ListParagraph"/>
        <w:numPr>
          <w:ilvl w:val="0"/>
          <w:numId w:val="20"/>
        </w:numPr>
        <w:outlineLvl w:val="0"/>
        <w:rPr>
          <w:rFonts w:asciiTheme="minorHAnsi" w:hAnsiTheme="minorHAnsi"/>
          <w:b w:val="0"/>
        </w:rPr>
      </w:pPr>
      <w:r w:rsidRPr="00206C96">
        <w:rPr>
          <w:rFonts w:asciiTheme="minorHAnsi" w:hAnsiTheme="minorHAnsi"/>
          <w:b w:val="0"/>
        </w:rPr>
        <w:t xml:space="preserve">the opportunities and challenges of existing and potential engagement with </w:t>
      </w:r>
      <w:r w:rsidRPr="00206C96">
        <w:rPr>
          <w:rFonts w:asciiTheme="minorHAnsi" w:hAnsiTheme="minorHAnsi"/>
          <w:b w:val="0"/>
          <w:u w:val="single"/>
        </w:rPr>
        <w:t>other</w:t>
      </w:r>
      <w:r w:rsidRPr="00206C96">
        <w:rPr>
          <w:rFonts w:asciiTheme="minorHAnsi" w:hAnsiTheme="minorHAnsi"/>
          <w:b w:val="0"/>
        </w:rPr>
        <w:t xml:space="preserve"> groups, processes and workstreams; and</w:t>
      </w:r>
    </w:p>
    <w:p w14:paraId="759D0D77" w14:textId="77777777" w:rsidR="00206C96" w:rsidRDefault="00206C96" w:rsidP="00206C96">
      <w:pPr>
        <w:pStyle w:val="ListParagraph"/>
        <w:numPr>
          <w:ilvl w:val="0"/>
          <w:numId w:val="20"/>
        </w:numPr>
        <w:outlineLvl w:val="0"/>
        <w:rPr>
          <w:rFonts w:asciiTheme="minorHAnsi" w:hAnsiTheme="minorHAnsi"/>
          <w:b w:val="0"/>
        </w:rPr>
      </w:pPr>
      <w:r w:rsidRPr="00206C96">
        <w:rPr>
          <w:rFonts w:asciiTheme="minorHAnsi" w:hAnsiTheme="minorHAnsi"/>
          <w:b w:val="0"/>
        </w:rPr>
        <w:t>on what support need</w:t>
      </w:r>
      <w:r>
        <w:rPr>
          <w:rFonts w:asciiTheme="minorHAnsi" w:hAnsiTheme="minorHAnsi"/>
          <w:b w:val="0"/>
        </w:rPr>
        <w:t>ed</w:t>
      </w:r>
      <w:r w:rsidRPr="00206C96">
        <w:rPr>
          <w:rFonts w:asciiTheme="minorHAnsi" w:hAnsiTheme="minorHAnsi"/>
          <w:b w:val="0"/>
        </w:rPr>
        <w:t xml:space="preserve"> from within and outside the curren</w:t>
      </w:r>
      <w:r>
        <w:rPr>
          <w:rFonts w:asciiTheme="minorHAnsi" w:hAnsiTheme="minorHAnsi"/>
          <w:b w:val="0"/>
        </w:rPr>
        <w:t>t IASC structure and governance</w:t>
      </w:r>
      <w:r w:rsidRPr="00206C96">
        <w:rPr>
          <w:rFonts w:asciiTheme="minorHAnsi" w:hAnsiTheme="minorHAnsi"/>
          <w:b w:val="0"/>
        </w:rPr>
        <w:t xml:space="preserve">. </w:t>
      </w:r>
    </w:p>
    <w:p w14:paraId="16417050" w14:textId="77777777" w:rsidR="00206C96" w:rsidRDefault="00206C96" w:rsidP="00206C96">
      <w:pPr>
        <w:outlineLvl w:val="0"/>
        <w:rPr>
          <w:rFonts w:asciiTheme="minorHAnsi" w:hAnsiTheme="minorHAnsi"/>
          <w:b w:val="0"/>
        </w:rPr>
      </w:pPr>
    </w:p>
    <w:p w14:paraId="3DD649A1" w14:textId="08D8AF4A" w:rsidR="009C4A1F" w:rsidRDefault="00206C96" w:rsidP="00206C96">
      <w:pPr>
        <w:outlineLvl w:val="0"/>
        <w:rPr>
          <w:rFonts w:asciiTheme="minorHAnsi" w:hAnsiTheme="minorHAnsi"/>
          <w:b w:val="0"/>
        </w:rPr>
      </w:pPr>
      <w:r>
        <w:rPr>
          <w:rFonts w:asciiTheme="minorHAnsi" w:hAnsiTheme="minorHAnsi"/>
          <w:b w:val="0"/>
        </w:rPr>
        <w:t xml:space="preserve">This directly aligns with the subsidiary body review questions.  A UN Women colleague based in Geneva will represent the GRG at this event.  </w:t>
      </w:r>
      <w:r w:rsidR="009C4A1F">
        <w:rPr>
          <w:rFonts w:asciiTheme="minorHAnsi" w:hAnsiTheme="minorHAnsi"/>
          <w:b w:val="0"/>
        </w:rPr>
        <w:t xml:space="preserve">The group discussed key outcomes and strategies to achieve from this meeting, namely: </w:t>
      </w:r>
    </w:p>
    <w:p w14:paraId="7BC953FD" w14:textId="75A81442" w:rsidR="009C4A1F" w:rsidRDefault="009C4A1F" w:rsidP="00206C96">
      <w:pPr>
        <w:outlineLvl w:val="0"/>
        <w:rPr>
          <w:rFonts w:asciiTheme="minorHAnsi" w:hAnsiTheme="minorHAnsi"/>
          <w:b w:val="0"/>
        </w:rPr>
      </w:pPr>
    </w:p>
    <w:p w14:paraId="42053C36" w14:textId="025E6068" w:rsidR="009C4A1F" w:rsidRDefault="009C4A1F" w:rsidP="00206C96">
      <w:pPr>
        <w:outlineLvl w:val="0"/>
        <w:rPr>
          <w:rFonts w:asciiTheme="minorHAnsi" w:hAnsiTheme="minorHAnsi"/>
          <w:b w:val="0"/>
        </w:rPr>
      </w:pPr>
      <w:r>
        <w:rPr>
          <w:rFonts w:asciiTheme="minorHAnsi" w:hAnsiTheme="minorHAnsi"/>
          <w:b w:val="0"/>
        </w:rPr>
        <w:t xml:space="preserve">Approach each co-chair to: </w:t>
      </w:r>
    </w:p>
    <w:p w14:paraId="41512FE8" w14:textId="33767A3E" w:rsidR="009C4A1F" w:rsidRDefault="00206C96" w:rsidP="009C4A1F">
      <w:pPr>
        <w:outlineLvl w:val="0"/>
        <w:rPr>
          <w:rFonts w:asciiTheme="minorHAnsi" w:hAnsiTheme="minorHAnsi"/>
          <w:b w:val="0"/>
        </w:rPr>
      </w:pPr>
      <w:r w:rsidRPr="00206C96">
        <w:rPr>
          <w:rFonts w:asciiTheme="minorHAnsi" w:hAnsiTheme="minorHAnsi"/>
          <w:b w:val="0"/>
        </w:rPr>
        <w:br/>
      </w:r>
      <w:r w:rsidR="009C4A1F">
        <w:rPr>
          <w:rFonts w:asciiTheme="minorHAnsi" w:hAnsiTheme="minorHAnsi"/>
          <w:b w:val="0"/>
        </w:rPr>
        <w:t xml:space="preserve">(1) introduce the GRG, it’s importance, our work to-date  </w:t>
      </w:r>
    </w:p>
    <w:p w14:paraId="3AB6AC0E" w14:textId="083FC2F5" w:rsidR="009C4A1F" w:rsidRDefault="009C4A1F" w:rsidP="009C4A1F">
      <w:pPr>
        <w:outlineLvl w:val="0"/>
        <w:rPr>
          <w:rFonts w:asciiTheme="minorHAnsi" w:hAnsiTheme="minorHAnsi"/>
          <w:b w:val="0"/>
        </w:rPr>
      </w:pPr>
      <w:r>
        <w:rPr>
          <w:rFonts w:asciiTheme="minorHAnsi" w:hAnsiTheme="minorHAnsi"/>
          <w:b w:val="0"/>
        </w:rPr>
        <w:t xml:space="preserve">(2) Set-up follow-up meeting to meet with the AF consultant and GRG co-chair. </w:t>
      </w:r>
    </w:p>
    <w:p w14:paraId="67E9A12A" w14:textId="77777777" w:rsidR="009C4A1F" w:rsidRDefault="009C4A1F" w:rsidP="009C4A1F">
      <w:pPr>
        <w:outlineLvl w:val="0"/>
        <w:rPr>
          <w:rFonts w:asciiTheme="minorHAnsi" w:hAnsiTheme="minorHAnsi"/>
          <w:b w:val="0"/>
        </w:rPr>
      </w:pPr>
      <w:r>
        <w:rPr>
          <w:rFonts w:asciiTheme="minorHAnsi" w:hAnsiTheme="minorHAnsi"/>
          <w:b w:val="0"/>
        </w:rPr>
        <w:t xml:space="preserve">(3) Ask co-chairs if we can present about the GRG at there next working group meetings. </w:t>
      </w:r>
    </w:p>
    <w:p w14:paraId="1AF001AE" w14:textId="11AB236E" w:rsidR="009C4A1F" w:rsidRDefault="009C4A1F" w:rsidP="009C4A1F">
      <w:pPr>
        <w:outlineLvl w:val="0"/>
        <w:rPr>
          <w:rFonts w:asciiTheme="minorHAnsi" w:hAnsiTheme="minorHAnsi"/>
          <w:b w:val="0"/>
        </w:rPr>
      </w:pPr>
    </w:p>
    <w:p w14:paraId="6D7AECF4" w14:textId="7A4B8F9B" w:rsidR="009C4A1F" w:rsidRDefault="009C4A1F" w:rsidP="009C4A1F">
      <w:pPr>
        <w:outlineLvl w:val="0"/>
        <w:rPr>
          <w:rFonts w:asciiTheme="minorHAnsi" w:hAnsiTheme="minorHAnsi"/>
          <w:b w:val="0"/>
        </w:rPr>
      </w:pPr>
      <w:r>
        <w:rPr>
          <w:rFonts w:asciiTheme="minorHAnsi" w:hAnsiTheme="minorHAnsi"/>
          <w:b w:val="0"/>
        </w:rPr>
        <w:t>Throughout the workshop discuss the need working groups/subsidiary bodies to:</w:t>
      </w:r>
    </w:p>
    <w:p w14:paraId="365B88B9" w14:textId="5F7B3BBA" w:rsidR="009C4A1F" w:rsidRDefault="009C4A1F" w:rsidP="009C4A1F">
      <w:pPr>
        <w:pStyle w:val="ListParagraph"/>
        <w:numPr>
          <w:ilvl w:val="0"/>
          <w:numId w:val="21"/>
        </w:numPr>
        <w:outlineLvl w:val="0"/>
        <w:rPr>
          <w:rFonts w:asciiTheme="minorHAnsi" w:hAnsiTheme="minorHAnsi"/>
          <w:b w:val="0"/>
        </w:rPr>
      </w:pPr>
      <w:r>
        <w:rPr>
          <w:rFonts w:asciiTheme="minorHAnsi" w:hAnsiTheme="minorHAnsi"/>
          <w:b w:val="0"/>
        </w:rPr>
        <w:t>endorse the gender policy</w:t>
      </w:r>
    </w:p>
    <w:p w14:paraId="1D43DFB1" w14:textId="2ED8A366" w:rsidR="009C4A1F" w:rsidRDefault="009C4A1F" w:rsidP="009C4A1F">
      <w:pPr>
        <w:pStyle w:val="ListParagraph"/>
        <w:numPr>
          <w:ilvl w:val="0"/>
          <w:numId w:val="21"/>
        </w:numPr>
        <w:outlineLvl w:val="0"/>
        <w:rPr>
          <w:rFonts w:asciiTheme="minorHAnsi" w:hAnsiTheme="minorHAnsi"/>
          <w:b w:val="0"/>
        </w:rPr>
      </w:pPr>
      <w:r>
        <w:rPr>
          <w:rFonts w:asciiTheme="minorHAnsi" w:hAnsiTheme="minorHAnsi"/>
          <w:b w:val="0"/>
        </w:rPr>
        <w:t xml:space="preserve">select a gender focal point/champion </w:t>
      </w:r>
    </w:p>
    <w:p w14:paraId="5AA3F53F" w14:textId="3FD116BC" w:rsidR="009C4A1F" w:rsidRDefault="009C4A1F" w:rsidP="009C4A1F">
      <w:pPr>
        <w:pStyle w:val="ListParagraph"/>
        <w:numPr>
          <w:ilvl w:val="0"/>
          <w:numId w:val="21"/>
        </w:numPr>
        <w:outlineLvl w:val="0"/>
        <w:rPr>
          <w:rFonts w:asciiTheme="minorHAnsi" w:hAnsiTheme="minorHAnsi"/>
          <w:b w:val="0"/>
        </w:rPr>
      </w:pPr>
      <w:r>
        <w:rPr>
          <w:rFonts w:asciiTheme="minorHAnsi" w:hAnsiTheme="minorHAnsi"/>
          <w:b w:val="0"/>
        </w:rPr>
        <w:t>integrate gender throughout their work plans inline with the gender policy</w:t>
      </w:r>
    </w:p>
    <w:p w14:paraId="5361F3A7" w14:textId="118F16B2" w:rsidR="009C4A1F" w:rsidRDefault="009C4A1F" w:rsidP="009C4A1F">
      <w:pPr>
        <w:pStyle w:val="ListParagraph"/>
        <w:numPr>
          <w:ilvl w:val="0"/>
          <w:numId w:val="21"/>
        </w:numPr>
        <w:outlineLvl w:val="0"/>
        <w:rPr>
          <w:rFonts w:asciiTheme="minorHAnsi" w:hAnsiTheme="minorHAnsi"/>
          <w:b w:val="0"/>
        </w:rPr>
      </w:pPr>
      <w:r>
        <w:rPr>
          <w:rFonts w:asciiTheme="minorHAnsi" w:hAnsiTheme="minorHAnsi"/>
          <w:b w:val="0"/>
        </w:rPr>
        <w:lastRenderedPageBreak/>
        <w:t>ask for feedback on how best to build synergies with each body</w:t>
      </w:r>
    </w:p>
    <w:p w14:paraId="42049E70" w14:textId="0CD7C2E6" w:rsidR="00481C1F" w:rsidRDefault="006951D1" w:rsidP="00481C1F">
      <w:pPr>
        <w:outlineLvl w:val="0"/>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660288" behindDoc="0" locked="0" layoutInCell="1" allowOverlap="1" wp14:anchorId="193F4223" wp14:editId="62360F42">
                <wp:simplePos x="0" y="0"/>
                <wp:positionH relativeFrom="margin">
                  <wp:align>left</wp:align>
                </wp:positionH>
                <wp:positionV relativeFrom="paragraph">
                  <wp:posOffset>71120</wp:posOffset>
                </wp:positionV>
                <wp:extent cx="5429250" cy="733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429250" cy="733425"/>
                        </a:xfrm>
                        <a:prstGeom prst="rect">
                          <a:avLst/>
                        </a:prstGeom>
                        <a:solidFill>
                          <a:schemeClr val="lt1"/>
                        </a:solidFill>
                        <a:ln w="6350">
                          <a:solidFill>
                            <a:prstClr val="black"/>
                          </a:solidFill>
                        </a:ln>
                      </wps:spPr>
                      <wps:txbx>
                        <w:txbxContent>
                          <w:p w14:paraId="1A6787BE" w14:textId="77777777" w:rsidR="006951D1" w:rsidRPr="006951D1" w:rsidRDefault="006951D1" w:rsidP="006951D1">
                            <w:pPr>
                              <w:rPr>
                                <w:rFonts w:asciiTheme="minorHAnsi" w:hAnsiTheme="minorHAnsi" w:cstheme="minorHAnsi"/>
                                <w:highlight w:val="yellow"/>
                              </w:rPr>
                            </w:pPr>
                            <w:r w:rsidRPr="006951D1">
                              <w:rPr>
                                <w:rFonts w:asciiTheme="minorHAnsi" w:hAnsiTheme="minorHAnsi" w:cstheme="minorHAnsi"/>
                                <w:highlight w:val="yellow"/>
                              </w:rPr>
                              <w:t xml:space="preserve">Action points: </w:t>
                            </w:r>
                          </w:p>
                          <w:p w14:paraId="10CF4A76" w14:textId="77777777" w:rsidR="006951D1" w:rsidRPr="006951D1" w:rsidRDefault="006951D1" w:rsidP="006951D1">
                            <w:pPr>
                              <w:pStyle w:val="ListParagraph"/>
                              <w:numPr>
                                <w:ilvl w:val="0"/>
                                <w:numId w:val="12"/>
                              </w:numPr>
                              <w:rPr>
                                <w:rFonts w:asciiTheme="minorHAnsi" w:hAnsiTheme="minorHAnsi" w:cstheme="minorHAnsi"/>
                                <w:b w:val="0"/>
                                <w:color w:val="000000"/>
                                <w:highlight w:val="yellow"/>
                              </w:rPr>
                            </w:pPr>
                            <w:r w:rsidRPr="006951D1">
                              <w:rPr>
                                <w:rFonts w:asciiTheme="minorHAnsi" w:hAnsiTheme="minorHAnsi" w:cstheme="minorHAnsi"/>
                                <w:b w:val="0"/>
                                <w:highlight w:val="yellow"/>
                              </w:rPr>
                              <w:t xml:space="preserve">GRG to follow-up with Jakob – UNW rep at the meeting to confirm next steps. </w:t>
                            </w:r>
                          </w:p>
                          <w:p w14:paraId="157A1057" w14:textId="77777777" w:rsidR="006951D1" w:rsidRDefault="00695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F4223" id="_x0000_t202" coordsize="21600,21600" o:spt="202" path="m,l,21600r21600,l21600,xe">
                <v:stroke joinstyle="miter"/>
                <v:path gradientshapeok="t" o:connecttype="rect"/>
              </v:shapetype>
              <v:shape id="Text Box 2" o:spid="_x0000_s1026" type="#_x0000_t202" style="position:absolute;margin-left:0;margin-top:5.6pt;width:427.5pt;height:5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" fillcolor="white [3201]" strokeweight=".5pt">
                <v:textbox>
                  <w:txbxContent>
                    <w:p w14:paraId="1A6787BE" w14:textId="77777777" w:rsidR="006951D1" w:rsidRPr="006951D1" w:rsidRDefault="006951D1" w:rsidP="006951D1">
                      <w:pPr>
                        <w:rPr>
                          <w:rFonts w:asciiTheme="minorHAnsi" w:hAnsiTheme="minorHAnsi" w:cstheme="minorHAnsi"/>
                          <w:highlight w:val="yellow"/>
                        </w:rPr>
                      </w:pPr>
                      <w:r w:rsidRPr="006951D1">
                        <w:rPr>
                          <w:rFonts w:asciiTheme="minorHAnsi" w:hAnsiTheme="minorHAnsi" w:cstheme="minorHAnsi"/>
                          <w:highlight w:val="yellow"/>
                        </w:rPr>
                        <w:t xml:space="preserve">Action points: </w:t>
                      </w:r>
                    </w:p>
                    <w:p w14:paraId="10CF4A76" w14:textId="77777777" w:rsidR="006951D1" w:rsidRPr="006951D1" w:rsidRDefault="006951D1" w:rsidP="006951D1">
                      <w:pPr>
                        <w:pStyle w:val="ListParagraph"/>
                        <w:numPr>
                          <w:ilvl w:val="0"/>
                          <w:numId w:val="12"/>
                        </w:numPr>
                        <w:rPr>
                          <w:rFonts w:asciiTheme="minorHAnsi" w:hAnsiTheme="minorHAnsi" w:cstheme="minorHAnsi"/>
                          <w:b w:val="0"/>
                          <w:color w:val="000000"/>
                          <w:highlight w:val="yellow"/>
                        </w:rPr>
                      </w:pPr>
                      <w:r w:rsidRPr="006951D1">
                        <w:rPr>
                          <w:rFonts w:asciiTheme="minorHAnsi" w:hAnsiTheme="minorHAnsi" w:cstheme="minorHAnsi"/>
                          <w:b w:val="0"/>
                          <w:highlight w:val="yellow"/>
                        </w:rPr>
                        <w:t xml:space="preserve">GRG to follow-up with Jakob – UNW rep at the meeting to confirm next steps. </w:t>
                      </w:r>
                    </w:p>
                    <w:p w14:paraId="157A1057" w14:textId="77777777" w:rsidR="006951D1" w:rsidRDefault="006951D1"/>
                  </w:txbxContent>
                </v:textbox>
                <w10:wrap anchorx="margin"/>
              </v:shape>
            </w:pict>
          </mc:Fallback>
        </mc:AlternateContent>
      </w:r>
    </w:p>
    <w:p w14:paraId="3C5C2312" w14:textId="2B2D06ED" w:rsidR="00481C1F" w:rsidRPr="00481C1F" w:rsidRDefault="00481C1F" w:rsidP="00481C1F">
      <w:pPr>
        <w:outlineLvl w:val="0"/>
        <w:rPr>
          <w:rFonts w:asciiTheme="minorHAnsi" w:hAnsiTheme="minorHAnsi"/>
          <w:b w:val="0"/>
        </w:rPr>
      </w:pPr>
    </w:p>
    <w:p w14:paraId="61770304" w14:textId="77777777" w:rsidR="006951D1" w:rsidRDefault="00206C96" w:rsidP="009C4A1F">
      <w:pPr>
        <w:ind w:left="360"/>
        <w:rPr>
          <w:rFonts w:asciiTheme="minorHAnsi" w:eastAsia="Batang" w:hAnsiTheme="minorHAnsi" w:cstheme="minorHAnsi"/>
          <w:bCs w:val="0"/>
          <w:color w:val="5B9BD5" w:themeColor="accent1"/>
          <w:kern w:val="0"/>
        </w:rPr>
      </w:pPr>
      <w:r w:rsidRPr="009C4A1F">
        <w:rPr>
          <w:rFonts w:asciiTheme="minorHAnsi" w:hAnsiTheme="minorHAnsi"/>
          <w:b w:val="0"/>
        </w:rPr>
        <w:br/>
      </w:r>
    </w:p>
    <w:p w14:paraId="127B0578" w14:textId="77777777" w:rsidR="006951D1" w:rsidRDefault="006951D1" w:rsidP="009C4A1F">
      <w:pPr>
        <w:ind w:left="360"/>
        <w:rPr>
          <w:rFonts w:asciiTheme="minorHAnsi" w:eastAsia="Batang" w:hAnsiTheme="minorHAnsi" w:cstheme="minorHAnsi"/>
          <w:bCs w:val="0"/>
          <w:color w:val="5B9BD5" w:themeColor="accent1"/>
          <w:kern w:val="0"/>
        </w:rPr>
      </w:pPr>
    </w:p>
    <w:p w14:paraId="07B16962" w14:textId="2DBBA378" w:rsidR="009C4A1F" w:rsidRDefault="009C4A1F" w:rsidP="009C4A1F">
      <w:pPr>
        <w:ind w:left="360"/>
        <w:rPr>
          <w:rFonts w:asciiTheme="minorHAnsi" w:eastAsia="Batang" w:hAnsiTheme="minorHAnsi" w:cstheme="minorHAnsi"/>
          <w:bCs w:val="0"/>
          <w:color w:val="5B9BD5" w:themeColor="accent1"/>
          <w:kern w:val="0"/>
        </w:rPr>
      </w:pPr>
      <w:r>
        <w:rPr>
          <w:rFonts w:asciiTheme="minorHAnsi" w:eastAsia="Batang" w:hAnsiTheme="minorHAnsi" w:cstheme="minorHAnsi"/>
          <w:bCs w:val="0"/>
          <w:color w:val="5B9BD5" w:themeColor="accent1"/>
          <w:kern w:val="0"/>
        </w:rPr>
        <w:t>3.  Gender entry-points on the New Way of Working Framework</w:t>
      </w:r>
    </w:p>
    <w:p w14:paraId="763318FA" w14:textId="77777777" w:rsidR="00DC079D" w:rsidRDefault="00DC079D" w:rsidP="00DC079D">
      <w:pPr>
        <w:rPr>
          <w:rFonts w:asciiTheme="minorHAnsi" w:eastAsia="Batang" w:hAnsiTheme="minorHAnsi" w:cstheme="minorHAnsi"/>
          <w:bCs w:val="0"/>
          <w:color w:val="5B9BD5" w:themeColor="accent1"/>
          <w:kern w:val="0"/>
        </w:rPr>
      </w:pPr>
    </w:p>
    <w:p w14:paraId="1A2A57A2" w14:textId="77777777" w:rsidR="00481C1F" w:rsidRDefault="00481C1F" w:rsidP="00481C1F">
      <w:pPr>
        <w:rPr>
          <w:rFonts w:asciiTheme="minorHAnsi" w:eastAsia="Batang" w:hAnsiTheme="minorHAnsi" w:cstheme="minorHAnsi"/>
          <w:b w:val="0"/>
          <w:bCs w:val="0"/>
          <w:kern w:val="0"/>
        </w:rPr>
      </w:pPr>
      <w:r w:rsidRPr="00481C1F">
        <w:rPr>
          <w:rFonts w:asciiTheme="minorHAnsi" w:eastAsia="Batang" w:hAnsiTheme="minorHAnsi" w:cstheme="minorHAnsi"/>
          <w:b w:val="0"/>
          <w:bCs w:val="0"/>
          <w:kern w:val="0"/>
        </w:rPr>
        <w:t xml:space="preserve">Two possible entry points: </w:t>
      </w:r>
    </w:p>
    <w:p w14:paraId="2A47FB69" w14:textId="5621399D" w:rsidR="00DC079D" w:rsidRPr="00481C1F" w:rsidRDefault="00481C1F" w:rsidP="00481C1F">
      <w:pPr>
        <w:pStyle w:val="ListParagraph"/>
        <w:numPr>
          <w:ilvl w:val="0"/>
          <w:numId w:val="22"/>
        </w:numPr>
        <w:rPr>
          <w:rFonts w:asciiTheme="minorHAnsi" w:eastAsia="Batang" w:hAnsiTheme="minorHAnsi" w:cstheme="minorHAnsi"/>
          <w:b w:val="0"/>
          <w:bCs w:val="0"/>
          <w:kern w:val="0"/>
        </w:rPr>
      </w:pPr>
      <w:r w:rsidRPr="00481C1F">
        <w:rPr>
          <w:rFonts w:asciiTheme="minorHAnsi" w:hAnsiTheme="minorHAnsi"/>
          <w:b w:val="0"/>
        </w:rPr>
        <w:t xml:space="preserve">On </w:t>
      </w:r>
      <w:r w:rsidR="00DC079D" w:rsidRPr="00481C1F">
        <w:rPr>
          <w:rFonts w:asciiTheme="minorHAnsi" w:hAnsiTheme="minorHAnsi"/>
          <w:b w:val="0"/>
        </w:rPr>
        <w:t xml:space="preserve"> 5</w:t>
      </w:r>
      <w:r w:rsidR="00DC079D" w:rsidRPr="00481C1F">
        <w:rPr>
          <w:rFonts w:asciiTheme="minorHAnsi" w:hAnsiTheme="minorHAnsi"/>
          <w:b w:val="0"/>
          <w:vertAlign w:val="superscript"/>
        </w:rPr>
        <w:t>th</w:t>
      </w:r>
      <w:r w:rsidR="00DC079D" w:rsidRPr="00481C1F">
        <w:rPr>
          <w:rFonts w:asciiTheme="minorHAnsi" w:hAnsiTheme="minorHAnsi"/>
          <w:b w:val="0"/>
        </w:rPr>
        <w:t xml:space="preserve"> </w:t>
      </w:r>
      <w:r w:rsidRPr="00481C1F">
        <w:rPr>
          <w:rFonts w:asciiTheme="minorHAnsi" w:hAnsiTheme="minorHAnsi"/>
          <w:b w:val="0"/>
        </w:rPr>
        <w:t xml:space="preserve">of </w:t>
      </w:r>
      <w:r w:rsidR="00DC079D" w:rsidRPr="00481C1F">
        <w:rPr>
          <w:rFonts w:asciiTheme="minorHAnsi" w:hAnsiTheme="minorHAnsi"/>
          <w:b w:val="0"/>
        </w:rPr>
        <w:t xml:space="preserve">September </w:t>
      </w:r>
      <w:r w:rsidRPr="00481C1F">
        <w:rPr>
          <w:rFonts w:asciiTheme="minorHAnsi" w:hAnsiTheme="minorHAnsi"/>
          <w:b w:val="0"/>
        </w:rPr>
        <w:t xml:space="preserve">a </w:t>
      </w:r>
      <w:r w:rsidR="00DC079D" w:rsidRPr="00481C1F">
        <w:rPr>
          <w:rFonts w:asciiTheme="minorHAnsi" w:hAnsiTheme="minorHAnsi"/>
          <w:b w:val="0"/>
        </w:rPr>
        <w:t xml:space="preserve">meeting of the </w:t>
      </w:r>
      <w:r w:rsidRPr="00481C1F">
        <w:rPr>
          <w:rFonts w:asciiTheme="minorHAnsi" w:hAnsiTheme="minorHAnsi"/>
          <w:b w:val="0"/>
        </w:rPr>
        <w:t xml:space="preserve">IASC </w:t>
      </w:r>
      <w:r w:rsidR="00DC079D" w:rsidRPr="00481C1F">
        <w:rPr>
          <w:rFonts w:asciiTheme="minorHAnsi" w:hAnsiTheme="minorHAnsi"/>
          <w:b w:val="0"/>
        </w:rPr>
        <w:t>task team</w:t>
      </w:r>
      <w:r w:rsidRPr="00481C1F">
        <w:rPr>
          <w:rFonts w:asciiTheme="minorHAnsi" w:hAnsiTheme="minorHAnsi"/>
          <w:b w:val="0"/>
        </w:rPr>
        <w:t xml:space="preserve"> of the </w:t>
      </w:r>
      <w:r w:rsidR="00DC079D" w:rsidRPr="00481C1F">
        <w:rPr>
          <w:rFonts w:asciiTheme="minorHAnsi" w:hAnsiTheme="minorHAnsi"/>
          <w:b w:val="0"/>
        </w:rPr>
        <w:t>humanitarian</w:t>
      </w:r>
      <w:r w:rsidRPr="00481C1F">
        <w:rPr>
          <w:rFonts w:asciiTheme="minorHAnsi" w:hAnsiTheme="minorHAnsi"/>
          <w:b w:val="0"/>
        </w:rPr>
        <w:t xml:space="preserve">/development nexus will decide how best to organize themselves to push forward the NWOW agenda. Bernard will forward notes from the meetings, so that we can then best engage with the assigned co-chairs. </w:t>
      </w:r>
    </w:p>
    <w:p w14:paraId="4D7B0A5E" w14:textId="341B439A" w:rsidR="00481C1F" w:rsidRDefault="00481C1F" w:rsidP="00481C1F">
      <w:pPr>
        <w:pStyle w:val="ListParagraph"/>
        <w:numPr>
          <w:ilvl w:val="0"/>
          <w:numId w:val="22"/>
        </w:numPr>
        <w:spacing w:after="160" w:line="259" w:lineRule="auto"/>
        <w:rPr>
          <w:rFonts w:asciiTheme="minorHAnsi" w:hAnsiTheme="minorHAnsi"/>
          <w:b w:val="0"/>
        </w:rPr>
      </w:pPr>
      <w:r>
        <w:rPr>
          <w:rFonts w:asciiTheme="minorHAnsi" w:hAnsiTheme="minorHAnsi"/>
          <w:b w:val="0"/>
        </w:rPr>
        <w:t>There is a p</w:t>
      </w:r>
      <w:r w:rsidR="00DC079D" w:rsidRPr="00481C1F">
        <w:rPr>
          <w:rFonts w:asciiTheme="minorHAnsi" w:hAnsiTheme="minorHAnsi"/>
          <w:b w:val="0"/>
        </w:rPr>
        <w:t>roposal to establish a steering committee of principals chaired by deputy secretary</w:t>
      </w:r>
      <w:r>
        <w:rPr>
          <w:rFonts w:asciiTheme="minorHAnsi" w:hAnsiTheme="minorHAnsi"/>
          <w:b w:val="0"/>
        </w:rPr>
        <w:t xml:space="preserve"> general which will support the UNDG and IASC in moving forward on the NWOW. We could follow-up with this process. </w:t>
      </w:r>
    </w:p>
    <w:p w14:paraId="26715541" w14:textId="270ADCE5" w:rsidR="00501311" w:rsidRPr="00481C1F" w:rsidRDefault="006951D1" w:rsidP="006951D1">
      <w:pPr>
        <w:pStyle w:val="ListParagraph"/>
        <w:spacing w:after="160" w:line="259" w:lineRule="auto"/>
        <w:outlineLvl w:val="0"/>
        <w:rPr>
          <w:rFonts w:asciiTheme="minorHAnsi" w:hAnsiTheme="minorHAnsi"/>
          <w:b w:val="0"/>
        </w:rPr>
      </w:pPr>
      <w:r>
        <w:rPr>
          <w:noProof/>
        </w:rPr>
        <mc:AlternateContent>
          <mc:Choice Requires="wps">
            <w:drawing>
              <wp:anchor distT="0" distB="0" distL="114300" distR="114300" simplePos="0" relativeHeight="251662336" behindDoc="0" locked="0" layoutInCell="1" allowOverlap="1" wp14:anchorId="66C913A8" wp14:editId="4B040566">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106F386" w14:textId="77777777" w:rsidR="006951D1" w:rsidRPr="006951D1" w:rsidRDefault="006951D1" w:rsidP="00481C1F">
                            <w:pPr>
                              <w:rPr>
                                <w:rFonts w:asciiTheme="minorHAnsi" w:hAnsiTheme="minorHAnsi" w:cstheme="minorHAnsi"/>
                                <w:highlight w:val="yellow"/>
                              </w:rPr>
                            </w:pPr>
                            <w:r w:rsidRPr="006951D1">
                              <w:rPr>
                                <w:rFonts w:asciiTheme="minorHAnsi" w:hAnsiTheme="minorHAnsi" w:cstheme="minorHAnsi"/>
                                <w:highlight w:val="yellow"/>
                              </w:rPr>
                              <w:t xml:space="preserve">Action points: </w:t>
                            </w:r>
                          </w:p>
                          <w:p w14:paraId="72B9372A" w14:textId="77777777" w:rsidR="006951D1" w:rsidRPr="006951D1" w:rsidRDefault="006951D1" w:rsidP="00DC134C">
                            <w:pPr>
                              <w:pStyle w:val="ListParagraph"/>
                              <w:numPr>
                                <w:ilvl w:val="0"/>
                                <w:numId w:val="12"/>
                              </w:numPr>
                              <w:outlineLvl w:val="0"/>
                              <w:rPr>
                                <w:highlight w:val="yellow"/>
                              </w:rPr>
                            </w:pPr>
                            <w:r w:rsidRPr="006951D1">
                              <w:rPr>
                                <w:rFonts w:asciiTheme="minorHAnsi" w:hAnsiTheme="minorHAnsi"/>
                                <w:b w:val="0"/>
                                <w:highlight w:val="yellow"/>
                              </w:rPr>
                              <w:t>GRG form a smaller committee to engage on this. Let the GRG co-chairs know by Sept 8</w:t>
                            </w:r>
                            <w:r w:rsidRPr="006951D1">
                              <w:rPr>
                                <w:rFonts w:asciiTheme="minorHAnsi" w:hAnsiTheme="minorHAnsi"/>
                                <w:b w:val="0"/>
                                <w:highlight w:val="yellow"/>
                                <w:vertAlign w:val="superscript"/>
                              </w:rPr>
                              <w:t>th</w:t>
                            </w:r>
                            <w:r w:rsidRPr="006951D1">
                              <w:rPr>
                                <w:rFonts w:asciiTheme="minorHAnsi" w:hAnsiTheme="minorHAnsi"/>
                                <w:b w:val="0"/>
                                <w:highlight w:val="yellow"/>
                              </w:rPr>
                              <w:t xml:space="preserve"> if you would like to be involved.  So far, Oxfam, HIAS and UNW are interested.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C913A8" id="Text Box 3" o:spid="_x0000_s1027"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fill o:detectmouseclick="t"/>
                <v:textbox style="mso-fit-shape-to-text:t">
                  <w:txbxContent>
                    <w:p w14:paraId="3106F386" w14:textId="77777777" w:rsidR="006951D1" w:rsidRPr="006951D1" w:rsidRDefault="006951D1" w:rsidP="00481C1F">
                      <w:pPr>
                        <w:rPr>
                          <w:rFonts w:asciiTheme="minorHAnsi" w:hAnsiTheme="minorHAnsi" w:cstheme="minorHAnsi"/>
                          <w:highlight w:val="yellow"/>
                        </w:rPr>
                      </w:pPr>
                      <w:r w:rsidRPr="006951D1">
                        <w:rPr>
                          <w:rFonts w:asciiTheme="minorHAnsi" w:hAnsiTheme="minorHAnsi" w:cstheme="minorHAnsi"/>
                          <w:highlight w:val="yellow"/>
                        </w:rPr>
                        <w:t xml:space="preserve">Action points: </w:t>
                      </w:r>
                    </w:p>
                    <w:p w14:paraId="72B9372A" w14:textId="77777777" w:rsidR="006951D1" w:rsidRPr="006951D1" w:rsidRDefault="006951D1" w:rsidP="00DC134C">
                      <w:pPr>
                        <w:pStyle w:val="ListParagraph"/>
                        <w:numPr>
                          <w:ilvl w:val="0"/>
                          <w:numId w:val="12"/>
                        </w:numPr>
                        <w:outlineLvl w:val="0"/>
                        <w:rPr>
                          <w:highlight w:val="yellow"/>
                        </w:rPr>
                      </w:pPr>
                      <w:r w:rsidRPr="006951D1">
                        <w:rPr>
                          <w:rFonts w:asciiTheme="minorHAnsi" w:hAnsiTheme="minorHAnsi"/>
                          <w:b w:val="0"/>
                          <w:highlight w:val="yellow"/>
                        </w:rPr>
                        <w:t>GRG form a smaller committee to engage on this. Let the GRG co-chairs know by Sept 8</w:t>
                      </w:r>
                      <w:r w:rsidRPr="006951D1">
                        <w:rPr>
                          <w:rFonts w:asciiTheme="minorHAnsi" w:hAnsiTheme="minorHAnsi"/>
                          <w:b w:val="0"/>
                          <w:highlight w:val="yellow"/>
                          <w:vertAlign w:val="superscript"/>
                        </w:rPr>
                        <w:t>th</w:t>
                      </w:r>
                      <w:r w:rsidRPr="006951D1">
                        <w:rPr>
                          <w:rFonts w:asciiTheme="minorHAnsi" w:hAnsiTheme="minorHAnsi"/>
                          <w:b w:val="0"/>
                          <w:highlight w:val="yellow"/>
                        </w:rPr>
                        <w:t xml:space="preserve"> if you would like to be involved.  So far, Oxfam, HIAS and UNW are interested. </w:t>
                      </w:r>
                    </w:p>
                  </w:txbxContent>
                </v:textbox>
                <w10:wrap type="square"/>
              </v:shape>
            </w:pict>
          </mc:Fallback>
        </mc:AlternateContent>
      </w:r>
    </w:p>
    <w:sectPr w:rsidR="00501311" w:rsidRPr="00481C1F" w:rsidSect="00AD0FD2">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ADA"/>
    <w:multiLevelType w:val="hybridMultilevel"/>
    <w:tmpl w:val="0EECB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95C69"/>
    <w:multiLevelType w:val="hybridMultilevel"/>
    <w:tmpl w:val="C06C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F2E"/>
    <w:multiLevelType w:val="hybridMultilevel"/>
    <w:tmpl w:val="54EA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421EB"/>
    <w:multiLevelType w:val="hybridMultilevel"/>
    <w:tmpl w:val="CCD0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D3E66"/>
    <w:multiLevelType w:val="hybridMultilevel"/>
    <w:tmpl w:val="221873BC"/>
    <w:lvl w:ilvl="0" w:tplc="616A8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D2939"/>
    <w:multiLevelType w:val="hybridMultilevel"/>
    <w:tmpl w:val="A7561ADA"/>
    <w:lvl w:ilvl="0" w:tplc="9BA6985A">
      <w:start w:val="1"/>
      <w:numFmt w:val="decimal"/>
      <w:lvlText w:val="(%1)"/>
      <w:lvlJc w:val="left"/>
      <w:pPr>
        <w:ind w:left="720" w:hanging="360"/>
      </w:pPr>
      <w:rPr>
        <w:rFonts w:asciiTheme="minorHAnsi" w:eastAsia="Batang"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86876"/>
    <w:multiLevelType w:val="hybridMultilevel"/>
    <w:tmpl w:val="A646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A4920"/>
    <w:multiLevelType w:val="hybridMultilevel"/>
    <w:tmpl w:val="464C1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EB3E73"/>
    <w:multiLevelType w:val="hybridMultilevel"/>
    <w:tmpl w:val="EAB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B45D3"/>
    <w:multiLevelType w:val="hybridMultilevel"/>
    <w:tmpl w:val="D0E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65E89"/>
    <w:multiLevelType w:val="hybridMultilevel"/>
    <w:tmpl w:val="A0BCFD3A"/>
    <w:lvl w:ilvl="0" w:tplc="19043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A59A7"/>
    <w:multiLevelType w:val="hybridMultilevel"/>
    <w:tmpl w:val="5ED21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D60548"/>
    <w:multiLevelType w:val="hybridMultilevel"/>
    <w:tmpl w:val="981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D4820"/>
    <w:multiLevelType w:val="hybridMultilevel"/>
    <w:tmpl w:val="4FB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D2C6F"/>
    <w:multiLevelType w:val="hybridMultilevel"/>
    <w:tmpl w:val="6B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34EC8"/>
    <w:multiLevelType w:val="hybridMultilevel"/>
    <w:tmpl w:val="228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73956"/>
    <w:multiLevelType w:val="multilevel"/>
    <w:tmpl w:val="98602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24B5B"/>
    <w:multiLevelType w:val="singleLevel"/>
    <w:tmpl w:val="566A9F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6DC975C5"/>
    <w:multiLevelType w:val="hybridMultilevel"/>
    <w:tmpl w:val="CBF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31274"/>
    <w:multiLevelType w:val="hybridMultilevel"/>
    <w:tmpl w:val="D7EE6FF2"/>
    <w:lvl w:ilvl="0" w:tplc="BFA6E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52CE3"/>
    <w:multiLevelType w:val="singleLevel"/>
    <w:tmpl w:val="55089822"/>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num>
  <w:num w:numId="2">
    <w:abstractNumId w:val="4"/>
  </w:num>
  <w:num w:numId="3">
    <w:abstractNumId w:val="1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2"/>
  </w:num>
  <w:num w:numId="5">
    <w:abstractNumId w:val="18"/>
  </w:num>
  <w:num w:numId="6">
    <w:abstractNumId w:val="20"/>
    <w:lvlOverride w:ilvl="0">
      <w:startOverride w:val="1"/>
    </w:lvlOverride>
  </w:num>
  <w:num w:numId="7">
    <w:abstractNumId w:val="8"/>
  </w:num>
  <w:num w:numId="8">
    <w:abstractNumId w:val="15"/>
  </w:num>
  <w:num w:numId="9">
    <w:abstractNumId w:val="2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13"/>
  </w:num>
  <w:num w:numId="11">
    <w:abstractNumId w:val="3"/>
  </w:num>
  <w:num w:numId="12">
    <w:abstractNumId w:val="12"/>
  </w:num>
  <w:num w:numId="13">
    <w:abstractNumId w:val="1"/>
  </w:num>
  <w:num w:numId="14">
    <w:abstractNumId w:val="6"/>
  </w:num>
  <w:num w:numId="15">
    <w:abstractNumId w:val="9"/>
  </w:num>
  <w:num w:numId="16">
    <w:abstractNumId w:val="7"/>
  </w:num>
  <w:num w:numId="17">
    <w:abstractNumId w:val="11"/>
  </w:num>
  <w:num w:numId="18">
    <w:abstractNumId w:val="14"/>
  </w:num>
  <w:num w:numId="19">
    <w:abstractNumId w:val="16"/>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F"/>
    <w:rsid w:val="00052F36"/>
    <w:rsid w:val="00095925"/>
    <w:rsid w:val="000C7637"/>
    <w:rsid w:val="000C7D66"/>
    <w:rsid w:val="00102DF1"/>
    <w:rsid w:val="001272DC"/>
    <w:rsid w:val="00157484"/>
    <w:rsid w:val="0019775E"/>
    <w:rsid w:val="001A17F6"/>
    <w:rsid w:val="001A6EB0"/>
    <w:rsid w:val="001C0687"/>
    <w:rsid w:val="00201AB8"/>
    <w:rsid w:val="00206C96"/>
    <w:rsid w:val="002071FF"/>
    <w:rsid w:val="0021107A"/>
    <w:rsid w:val="00231430"/>
    <w:rsid w:val="0024151B"/>
    <w:rsid w:val="00250A08"/>
    <w:rsid w:val="00262A72"/>
    <w:rsid w:val="00275869"/>
    <w:rsid w:val="00281854"/>
    <w:rsid w:val="002A082F"/>
    <w:rsid w:val="003037FE"/>
    <w:rsid w:val="00315DB0"/>
    <w:rsid w:val="00317BD8"/>
    <w:rsid w:val="003300FF"/>
    <w:rsid w:val="00342608"/>
    <w:rsid w:val="00355D38"/>
    <w:rsid w:val="00357EB7"/>
    <w:rsid w:val="00383577"/>
    <w:rsid w:val="00387602"/>
    <w:rsid w:val="0039355B"/>
    <w:rsid w:val="003A6083"/>
    <w:rsid w:val="003B4C83"/>
    <w:rsid w:val="003B7CA9"/>
    <w:rsid w:val="003F1222"/>
    <w:rsid w:val="003F2B8C"/>
    <w:rsid w:val="004153E0"/>
    <w:rsid w:val="0042477A"/>
    <w:rsid w:val="00464CED"/>
    <w:rsid w:val="0047120D"/>
    <w:rsid w:val="00481C1F"/>
    <w:rsid w:val="00501311"/>
    <w:rsid w:val="00510633"/>
    <w:rsid w:val="00541321"/>
    <w:rsid w:val="00542BFE"/>
    <w:rsid w:val="00551033"/>
    <w:rsid w:val="0056025A"/>
    <w:rsid w:val="00576B06"/>
    <w:rsid w:val="00577994"/>
    <w:rsid w:val="00595E9C"/>
    <w:rsid w:val="005A79B3"/>
    <w:rsid w:val="005D4945"/>
    <w:rsid w:val="005D7F11"/>
    <w:rsid w:val="005E2F35"/>
    <w:rsid w:val="00603D03"/>
    <w:rsid w:val="006144A1"/>
    <w:rsid w:val="00630E69"/>
    <w:rsid w:val="00645DC4"/>
    <w:rsid w:val="006477D6"/>
    <w:rsid w:val="00651F39"/>
    <w:rsid w:val="006611FE"/>
    <w:rsid w:val="00663114"/>
    <w:rsid w:val="006656F5"/>
    <w:rsid w:val="00667619"/>
    <w:rsid w:val="00673D46"/>
    <w:rsid w:val="0068282A"/>
    <w:rsid w:val="006951D1"/>
    <w:rsid w:val="00696CD0"/>
    <w:rsid w:val="006C057F"/>
    <w:rsid w:val="006E13D5"/>
    <w:rsid w:val="006E33A9"/>
    <w:rsid w:val="006F28FE"/>
    <w:rsid w:val="006F3732"/>
    <w:rsid w:val="007533FF"/>
    <w:rsid w:val="007621EA"/>
    <w:rsid w:val="007941FF"/>
    <w:rsid w:val="007942A1"/>
    <w:rsid w:val="007B41FB"/>
    <w:rsid w:val="007C12EC"/>
    <w:rsid w:val="007F7625"/>
    <w:rsid w:val="008112FB"/>
    <w:rsid w:val="00823C7D"/>
    <w:rsid w:val="0084722E"/>
    <w:rsid w:val="00850A67"/>
    <w:rsid w:val="00851280"/>
    <w:rsid w:val="00864DA2"/>
    <w:rsid w:val="008820EF"/>
    <w:rsid w:val="008A2142"/>
    <w:rsid w:val="008B41EC"/>
    <w:rsid w:val="008C59E0"/>
    <w:rsid w:val="008E1F1C"/>
    <w:rsid w:val="008F7EB4"/>
    <w:rsid w:val="00904330"/>
    <w:rsid w:val="0092511A"/>
    <w:rsid w:val="00927D68"/>
    <w:rsid w:val="009328C4"/>
    <w:rsid w:val="00944F54"/>
    <w:rsid w:val="009453E3"/>
    <w:rsid w:val="00960C1E"/>
    <w:rsid w:val="00972F0D"/>
    <w:rsid w:val="00977931"/>
    <w:rsid w:val="009A5426"/>
    <w:rsid w:val="009C4A1F"/>
    <w:rsid w:val="009E1578"/>
    <w:rsid w:val="009E4B60"/>
    <w:rsid w:val="009E7C6F"/>
    <w:rsid w:val="009F1B05"/>
    <w:rsid w:val="00A1359A"/>
    <w:rsid w:val="00A20733"/>
    <w:rsid w:val="00A47729"/>
    <w:rsid w:val="00A73BC9"/>
    <w:rsid w:val="00A91749"/>
    <w:rsid w:val="00AA3D92"/>
    <w:rsid w:val="00AB4635"/>
    <w:rsid w:val="00AB67A7"/>
    <w:rsid w:val="00AB67AB"/>
    <w:rsid w:val="00AC3C91"/>
    <w:rsid w:val="00AD0FD2"/>
    <w:rsid w:val="00AF584A"/>
    <w:rsid w:val="00B02CDB"/>
    <w:rsid w:val="00B24B38"/>
    <w:rsid w:val="00B30B53"/>
    <w:rsid w:val="00B31CAD"/>
    <w:rsid w:val="00B42E2D"/>
    <w:rsid w:val="00B73444"/>
    <w:rsid w:val="00B87405"/>
    <w:rsid w:val="00B96B07"/>
    <w:rsid w:val="00BA2176"/>
    <w:rsid w:val="00BB4E07"/>
    <w:rsid w:val="00BC4BCA"/>
    <w:rsid w:val="00BF64A1"/>
    <w:rsid w:val="00C27C9B"/>
    <w:rsid w:val="00C63B9C"/>
    <w:rsid w:val="00C91766"/>
    <w:rsid w:val="00CE4810"/>
    <w:rsid w:val="00D012DE"/>
    <w:rsid w:val="00D128D7"/>
    <w:rsid w:val="00D13C9E"/>
    <w:rsid w:val="00D42153"/>
    <w:rsid w:val="00D45E62"/>
    <w:rsid w:val="00D71539"/>
    <w:rsid w:val="00D87DCD"/>
    <w:rsid w:val="00DA785D"/>
    <w:rsid w:val="00DB459E"/>
    <w:rsid w:val="00DC079D"/>
    <w:rsid w:val="00DD4B8A"/>
    <w:rsid w:val="00E446CF"/>
    <w:rsid w:val="00E627C2"/>
    <w:rsid w:val="00E84C2B"/>
    <w:rsid w:val="00E93F91"/>
    <w:rsid w:val="00E97EC2"/>
    <w:rsid w:val="00EE401D"/>
    <w:rsid w:val="00F11044"/>
    <w:rsid w:val="00F34A73"/>
    <w:rsid w:val="00F53595"/>
    <w:rsid w:val="00FC2367"/>
    <w:rsid w:val="00FE3A50"/>
    <w:rsid w:val="00FF0D3F"/>
    <w:rsid w:val="00FF3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B933"/>
  <w15:chartTrackingRefBased/>
  <w15:docId w15:val="{E7BC82C7-C3F0-4C06-B9E8-C8BE3010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B8C"/>
    <w:pPr>
      <w:spacing w:after="0" w:line="240" w:lineRule="auto"/>
    </w:pPr>
    <w:rPr>
      <w:rFonts w:ascii="Arial" w:eastAsia="MS Mincho" w:hAnsi="Arial" w:cs="Arial"/>
      <w:b/>
      <w:bCs/>
      <w:kern w:val="3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F2B8C"/>
    <w:rPr>
      <w:b/>
      <w:bCs/>
    </w:rPr>
  </w:style>
  <w:style w:type="table" w:styleId="TableGrid">
    <w:name w:val="Table Grid"/>
    <w:basedOn w:val="TableNormal"/>
    <w:uiPriority w:val="39"/>
    <w:rsid w:val="003F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References,List Paragraph1"/>
    <w:basedOn w:val="Normal"/>
    <w:link w:val="ListParagraphChar"/>
    <w:uiPriority w:val="34"/>
    <w:qFormat/>
    <w:rsid w:val="0047120D"/>
    <w:pPr>
      <w:ind w:left="720"/>
      <w:contextualSpacing/>
    </w:pPr>
  </w:style>
  <w:style w:type="character" w:customStyle="1" w:styleId="ListParagraphChar">
    <w:name w:val="List Paragraph Char"/>
    <w:aliases w:val="Ha Char,References Char,List Paragraph1 Char"/>
    <w:basedOn w:val="DefaultParagraphFont"/>
    <w:link w:val="ListParagraph"/>
    <w:uiPriority w:val="34"/>
    <w:locked/>
    <w:rsid w:val="006656F5"/>
    <w:rPr>
      <w:rFonts w:ascii="Arial" w:eastAsia="MS Mincho" w:hAnsi="Arial" w:cs="Arial"/>
      <w:b/>
      <w:bCs/>
      <w:kern w:val="36"/>
      <w:sz w:val="24"/>
      <w:szCs w:val="24"/>
      <w:lang w:eastAsia="en-US"/>
    </w:rPr>
  </w:style>
  <w:style w:type="character" w:customStyle="1" w:styleId="apple-converted-space">
    <w:name w:val="apple-converted-space"/>
    <w:basedOn w:val="DefaultParagraphFont"/>
    <w:rsid w:val="006656F5"/>
  </w:style>
  <w:style w:type="character" w:styleId="Hyperlink">
    <w:name w:val="Hyperlink"/>
    <w:basedOn w:val="DefaultParagraphFont"/>
    <w:uiPriority w:val="99"/>
    <w:unhideWhenUsed/>
    <w:rsid w:val="006656F5"/>
    <w:rPr>
      <w:color w:val="0563C1" w:themeColor="hyperlink"/>
      <w:u w:val="single"/>
    </w:rPr>
  </w:style>
  <w:style w:type="paragraph" w:customStyle="1" w:styleId="xmsonormal">
    <w:name w:val="x_msonormal"/>
    <w:basedOn w:val="Normal"/>
    <w:rsid w:val="006656F5"/>
    <w:pPr>
      <w:spacing w:before="100" w:beforeAutospacing="1" w:after="100" w:afterAutospacing="1"/>
    </w:pPr>
    <w:rPr>
      <w:rFonts w:ascii="Times" w:eastAsiaTheme="minorHAnsi" w:hAnsi="Times" w:cstheme="minorHAnsi"/>
      <w:b w:val="0"/>
      <w:bCs w:val="0"/>
      <w:kern w:val="0"/>
      <w:sz w:val="20"/>
      <w:szCs w:val="20"/>
      <w:lang w:val="en-AU"/>
    </w:rPr>
  </w:style>
  <w:style w:type="paragraph" w:styleId="NormalWeb">
    <w:name w:val="Normal (Web)"/>
    <w:basedOn w:val="Normal"/>
    <w:uiPriority w:val="99"/>
    <w:semiHidden/>
    <w:unhideWhenUsed/>
    <w:rsid w:val="00FC2367"/>
    <w:rPr>
      <w:rFonts w:ascii="Times New Roman" w:eastAsiaTheme="minorEastAsia" w:hAnsi="Times New Roman" w:cs="Times New Roman"/>
      <w:b w:val="0"/>
      <w:bCs w:val="0"/>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7132">
      <w:bodyDiv w:val="1"/>
      <w:marLeft w:val="0"/>
      <w:marRight w:val="0"/>
      <w:marTop w:val="0"/>
      <w:marBottom w:val="0"/>
      <w:divBdr>
        <w:top w:val="none" w:sz="0" w:space="0" w:color="auto"/>
        <w:left w:val="none" w:sz="0" w:space="0" w:color="auto"/>
        <w:bottom w:val="none" w:sz="0" w:space="0" w:color="auto"/>
        <w:right w:val="none" w:sz="0" w:space="0" w:color="auto"/>
      </w:divBdr>
    </w:div>
    <w:div w:id="176847194">
      <w:bodyDiv w:val="1"/>
      <w:marLeft w:val="0"/>
      <w:marRight w:val="0"/>
      <w:marTop w:val="0"/>
      <w:marBottom w:val="0"/>
      <w:divBdr>
        <w:top w:val="none" w:sz="0" w:space="0" w:color="auto"/>
        <w:left w:val="none" w:sz="0" w:space="0" w:color="auto"/>
        <w:bottom w:val="none" w:sz="0" w:space="0" w:color="auto"/>
        <w:right w:val="none" w:sz="0" w:space="0" w:color="auto"/>
      </w:divBdr>
    </w:div>
    <w:div w:id="222524923">
      <w:bodyDiv w:val="1"/>
      <w:marLeft w:val="0"/>
      <w:marRight w:val="0"/>
      <w:marTop w:val="0"/>
      <w:marBottom w:val="0"/>
      <w:divBdr>
        <w:top w:val="none" w:sz="0" w:space="0" w:color="auto"/>
        <w:left w:val="none" w:sz="0" w:space="0" w:color="auto"/>
        <w:bottom w:val="none" w:sz="0" w:space="0" w:color="auto"/>
        <w:right w:val="none" w:sz="0" w:space="0" w:color="auto"/>
      </w:divBdr>
    </w:div>
    <w:div w:id="298344976">
      <w:bodyDiv w:val="1"/>
      <w:marLeft w:val="0"/>
      <w:marRight w:val="0"/>
      <w:marTop w:val="0"/>
      <w:marBottom w:val="0"/>
      <w:divBdr>
        <w:top w:val="none" w:sz="0" w:space="0" w:color="auto"/>
        <w:left w:val="none" w:sz="0" w:space="0" w:color="auto"/>
        <w:bottom w:val="none" w:sz="0" w:space="0" w:color="auto"/>
        <w:right w:val="none" w:sz="0" w:space="0" w:color="auto"/>
      </w:divBdr>
    </w:div>
    <w:div w:id="309405594">
      <w:bodyDiv w:val="1"/>
      <w:marLeft w:val="0"/>
      <w:marRight w:val="0"/>
      <w:marTop w:val="0"/>
      <w:marBottom w:val="0"/>
      <w:divBdr>
        <w:top w:val="none" w:sz="0" w:space="0" w:color="auto"/>
        <w:left w:val="none" w:sz="0" w:space="0" w:color="auto"/>
        <w:bottom w:val="none" w:sz="0" w:space="0" w:color="auto"/>
        <w:right w:val="none" w:sz="0" w:space="0" w:color="auto"/>
      </w:divBdr>
    </w:div>
    <w:div w:id="779640479">
      <w:bodyDiv w:val="1"/>
      <w:marLeft w:val="0"/>
      <w:marRight w:val="0"/>
      <w:marTop w:val="0"/>
      <w:marBottom w:val="0"/>
      <w:divBdr>
        <w:top w:val="none" w:sz="0" w:space="0" w:color="auto"/>
        <w:left w:val="none" w:sz="0" w:space="0" w:color="auto"/>
        <w:bottom w:val="none" w:sz="0" w:space="0" w:color="auto"/>
        <w:right w:val="none" w:sz="0" w:space="0" w:color="auto"/>
      </w:divBdr>
    </w:div>
    <w:div w:id="810637363">
      <w:bodyDiv w:val="1"/>
      <w:marLeft w:val="0"/>
      <w:marRight w:val="0"/>
      <w:marTop w:val="0"/>
      <w:marBottom w:val="0"/>
      <w:divBdr>
        <w:top w:val="none" w:sz="0" w:space="0" w:color="auto"/>
        <w:left w:val="none" w:sz="0" w:space="0" w:color="auto"/>
        <w:bottom w:val="none" w:sz="0" w:space="0" w:color="auto"/>
        <w:right w:val="none" w:sz="0" w:space="0" w:color="auto"/>
      </w:divBdr>
    </w:div>
    <w:div w:id="9318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DC54-7826-491F-816E-3FFCC09E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Song</dc:creator>
  <cp:keywords/>
  <dc:description/>
  <cp:lastModifiedBy>Sevati Bondanza</cp:lastModifiedBy>
  <cp:revision>4</cp:revision>
  <dcterms:created xsi:type="dcterms:W3CDTF">2017-09-06T16:08:00Z</dcterms:created>
  <dcterms:modified xsi:type="dcterms:W3CDTF">2017-09-06T16:09:00Z</dcterms:modified>
</cp:coreProperties>
</file>