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31C2" w14:textId="5E6DC24D" w:rsidR="00D644E2" w:rsidRPr="00A26534" w:rsidRDefault="00D644E2" w:rsidP="00EF5E6D">
      <w:pPr>
        <w:spacing w:line="240" w:lineRule="auto"/>
        <w:rPr>
          <w:rFonts w:ascii="Cambria" w:hAnsi="Cambria" w:cs="Times New Roman"/>
          <w:sz w:val="24"/>
          <w:szCs w:val="24"/>
          <w:lang w:val="en-GB"/>
        </w:rPr>
      </w:pPr>
    </w:p>
    <w:tbl>
      <w:tblPr>
        <w:tblStyle w:val="TableGrid"/>
        <w:tblW w:w="14318" w:type="dxa"/>
        <w:tblInd w:w="-289" w:type="dxa"/>
        <w:tblLayout w:type="fixed"/>
        <w:tblLook w:val="04A0" w:firstRow="1" w:lastRow="0" w:firstColumn="1" w:lastColumn="0" w:noHBand="0" w:noVBand="1"/>
      </w:tblPr>
      <w:tblGrid>
        <w:gridCol w:w="11199"/>
        <w:gridCol w:w="3119"/>
      </w:tblGrid>
      <w:tr w:rsidR="008367E6" w:rsidRPr="00A26534" w14:paraId="5996FACF" w14:textId="77777777" w:rsidTr="008367E6">
        <w:trPr>
          <w:trHeight w:val="425"/>
        </w:trPr>
        <w:tc>
          <w:tcPr>
            <w:tcW w:w="11199" w:type="dxa"/>
          </w:tcPr>
          <w:p w14:paraId="752098F8" w14:textId="77777777" w:rsidR="008367E6" w:rsidRPr="00A26534" w:rsidRDefault="008367E6" w:rsidP="00ED458E">
            <w:pPr>
              <w:spacing w:after="60"/>
              <w:jc w:val="center"/>
              <w:rPr>
                <w:rFonts w:ascii="Cambria" w:hAnsi="Cambria"/>
                <w:b/>
                <w:sz w:val="24"/>
                <w:szCs w:val="24"/>
              </w:rPr>
            </w:pPr>
            <w:bookmarkStart w:id="0" w:name="_Hlk5979872"/>
            <w:r w:rsidRPr="00A26534">
              <w:rPr>
                <w:rFonts w:ascii="Cambria" w:hAnsi="Cambria"/>
                <w:b/>
                <w:sz w:val="24"/>
                <w:szCs w:val="24"/>
              </w:rPr>
              <w:t>Summary of Discussion</w:t>
            </w:r>
          </w:p>
        </w:tc>
        <w:tc>
          <w:tcPr>
            <w:tcW w:w="3119" w:type="dxa"/>
          </w:tcPr>
          <w:p w14:paraId="7E99491E" w14:textId="77777777" w:rsidR="008367E6" w:rsidRPr="00A26534" w:rsidRDefault="008367E6" w:rsidP="00ED458E">
            <w:pPr>
              <w:jc w:val="center"/>
              <w:rPr>
                <w:rFonts w:ascii="Cambria" w:hAnsi="Cambria"/>
                <w:b/>
                <w:sz w:val="24"/>
                <w:szCs w:val="24"/>
              </w:rPr>
            </w:pPr>
            <w:r w:rsidRPr="00A26534">
              <w:rPr>
                <w:rFonts w:ascii="Cambria" w:hAnsi="Cambria"/>
                <w:b/>
                <w:sz w:val="24"/>
                <w:szCs w:val="24"/>
              </w:rPr>
              <w:t>Action Points</w:t>
            </w:r>
          </w:p>
        </w:tc>
      </w:tr>
      <w:tr w:rsidR="008367E6" w:rsidRPr="00A26534" w14:paraId="41460B45" w14:textId="77777777" w:rsidTr="008367E6">
        <w:trPr>
          <w:trHeight w:val="841"/>
        </w:trPr>
        <w:tc>
          <w:tcPr>
            <w:tcW w:w="11199" w:type="dxa"/>
          </w:tcPr>
          <w:p w14:paraId="69436AA8" w14:textId="28DBEA7B" w:rsidR="001E3073" w:rsidRPr="00A26534" w:rsidRDefault="00260183" w:rsidP="001E3073">
            <w:pPr>
              <w:rPr>
                <w:rFonts w:ascii="Cambria" w:eastAsia="Times New Roman" w:hAnsi="Cambria"/>
                <w:b/>
                <w:bCs/>
                <w:sz w:val="24"/>
                <w:szCs w:val="24"/>
              </w:rPr>
            </w:pPr>
            <w:r w:rsidRPr="00A26534">
              <w:rPr>
                <w:rFonts w:ascii="Cambria" w:eastAsia="Times New Roman" w:hAnsi="Cambria"/>
                <w:b/>
                <w:bCs/>
                <w:sz w:val="24"/>
                <w:szCs w:val="24"/>
              </w:rPr>
              <w:t>Agenda, follow</w:t>
            </w:r>
            <w:r w:rsidR="001E3073" w:rsidRPr="00A26534">
              <w:rPr>
                <w:rFonts w:ascii="Cambria" w:eastAsia="Times New Roman" w:hAnsi="Cambria"/>
                <w:b/>
                <w:bCs/>
                <w:sz w:val="24"/>
                <w:szCs w:val="24"/>
              </w:rPr>
              <w:t xml:space="preserve">-up on </w:t>
            </w:r>
            <w:r w:rsidRPr="00A26534">
              <w:rPr>
                <w:rFonts w:ascii="Cambria" w:eastAsia="Times New Roman" w:hAnsi="Cambria"/>
                <w:b/>
                <w:bCs/>
                <w:sz w:val="24"/>
                <w:szCs w:val="24"/>
              </w:rPr>
              <w:t>past</w:t>
            </w:r>
            <w:r w:rsidR="001E3073" w:rsidRPr="00A26534">
              <w:rPr>
                <w:rFonts w:ascii="Cambria" w:eastAsia="Times New Roman" w:hAnsi="Cambria"/>
                <w:b/>
                <w:bCs/>
                <w:sz w:val="24"/>
                <w:szCs w:val="24"/>
              </w:rPr>
              <w:t xml:space="preserve"> action points:</w:t>
            </w:r>
          </w:p>
          <w:p w14:paraId="46185FF1" w14:textId="041BF20A" w:rsidR="003A5652" w:rsidRPr="00A26534" w:rsidRDefault="003A5652" w:rsidP="001E3073">
            <w:pPr>
              <w:rPr>
                <w:rFonts w:ascii="Cambria" w:hAnsi="Cambria"/>
                <w:b/>
                <w:bCs/>
                <w:sz w:val="12"/>
                <w:szCs w:val="12"/>
              </w:rPr>
            </w:pPr>
          </w:p>
          <w:p w14:paraId="521A318B" w14:textId="77777777" w:rsidR="00E14A0D" w:rsidRPr="00A26534" w:rsidRDefault="00CF61EF" w:rsidP="00E14A0D">
            <w:pPr>
              <w:rPr>
                <w:rFonts w:ascii="Cambria" w:hAnsi="Cambria"/>
                <w:sz w:val="24"/>
                <w:szCs w:val="24"/>
              </w:rPr>
            </w:pPr>
            <w:r w:rsidRPr="00A26534">
              <w:rPr>
                <w:rFonts w:ascii="Cambria" w:hAnsi="Cambria"/>
                <w:sz w:val="24"/>
                <w:szCs w:val="24"/>
              </w:rPr>
              <w:t xml:space="preserve">The GCCG Chair thanks the GCCG member for their feedback on the query from Afghanistan regarding guidance on preventive COVID-19 measures for households, and informed that the information was shared with the field. Ms. Skuric-Prodanovic also </w:t>
            </w:r>
            <w:r w:rsidR="00ED793F" w:rsidRPr="00A26534">
              <w:rPr>
                <w:rFonts w:ascii="Cambria" w:hAnsi="Cambria"/>
                <w:sz w:val="24"/>
                <w:szCs w:val="24"/>
              </w:rPr>
              <w:t>advised</w:t>
            </w:r>
            <w:r w:rsidRPr="00A26534">
              <w:rPr>
                <w:rFonts w:ascii="Cambria" w:hAnsi="Cambria"/>
                <w:sz w:val="24"/>
                <w:szCs w:val="24"/>
              </w:rPr>
              <w:t xml:space="preserve"> that, as per agreed action points, the GCCG secretariat share</w:t>
            </w:r>
            <w:r w:rsidR="00ED793F" w:rsidRPr="00A26534">
              <w:rPr>
                <w:rFonts w:ascii="Cambria" w:hAnsi="Cambria"/>
                <w:sz w:val="24"/>
                <w:szCs w:val="24"/>
              </w:rPr>
              <w:t>d</w:t>
            </w:r>
            <w:r w:rsidRPr="00A26534">
              <w:rPr>
                <w:rFonts w:ascii="Cambria" w:hAnsi="Cambria"/>
                <w:sz w:val="24"/>
                <w:szCs w:val="24"/>
              </w:rPr>
              <w:t xml:space="preserve"> with the Group </w:t>
            </w:r>
            <w:r w:rsidR="00ED793F" w:rsidRPr="00A26534">
              <w:rPr>
                <w:rFonts w:ascii="Cambria" w:hAnsi="Cambria"/>
                <w:sz w:val="24"/>
                <w:szCs w:val="24"/>
              </w:rPr>
              <w:t xml:space="preserve">information on the </w:t>
            </w:r>
            <w:r w:rsidRPr="00A26534">
              <w:rPr>
                <w:rFonts w:ascii="Cambria" w:hAnsi="Cambria"/>
                <w:sz w:val="24"/>
                <w:szCs w:val="24"/>
              </w:rPr>
              <w:t>MPTF</w:t>
            </w:r>
            <w:r w:rsidR="00ED793F" w:rsidRPr="00A26534">
              <w:rPr>
                <w:rFonts w:ascii="Cambria" w:hAnsi="Cambria"/>
                <w:sz w:val="24"/>
                <w:szCs w:val="24"/>
              </w:rPr>
              <w:t xml:space="preserve"> COVID-19 and the finalised questionnaire for the data collection exercise 2020. </w:t>
            </w:r>
          </w:p>
          <w:p w14:paraId="54C462EF" w14:textId="77777777" w:rsidR="00E14A0D" w:rsidRPr="00A26534" w:rsidRDefault="00E14A0D" w:rsidP="00E14A0D">
            <w:pPr>
              <w:rPr>
                <w:rFonts w:ascii="Cambria" w:hAnsi="Cambria"/>
                <w:sz w:val="12"/>
                <w:szCs w:val="12"/>
              </w:rPr>
            </w:pPr>
          </w:p>
          <w:p w14:paraId="26870830" w14:textId="29925122" w:rsidR="00E14A0D" w:rsidRPr="00A26534" w:rsidRDefault="00ED793F" w:rsidP="00E14A0D">
            <w:pPr>
              <w:rPr>
                <w:rFonts w:ascii="Cambria" w:hAnsi="Cambria"/>
                <w:sz w:val="24"/>
                <w:szCs w:val="24"/>
              </w:rPr>
            </w:pPr>
            <w:r w:rsidRPr="00A26534">
              <w:rPr>
                <w:rFonts w:ascii="Cambria" w:hAnsi="Cambria"/>
                <w:sz w:val="24"/>
                <w:szCs w:val="24"/>
              </w:rPr>
              <w:t>She also informed that the GCCG-S is following up on organising the briefings on: (</w:t>
            </w:r>
            <w:r w:rsidR="00A26534" w:rsidRPr="00A26534">
              <w:rPr>
                <w:rFonts w:ascii="Cambria" w:hAnsi="Cambria"/>
                <w:sz w:val="24"/>
                <w:szCs w:val="24"/>
              </w:rPr>
              <w:t>i</w:t>
            </w:r>
            <w:r w:rsidRPr="00A26534">
              <w:rPr>
                <w:rFonts w:ascii="Cambria" w:hAnsi="Cambria"/>
                <w:sz w:val="24"/>
                <w:szCs w:val="24"/>
              </w:rPr>
              <w:t>) the RCCE common service and (ii) the A</w:t>
            </w:r>
            <w:r w:rsidR="00A26534">
              <w:rPr>
                <w:rFonts w:ascii="Cambria" w:hAnsi="Cambria"/>
                <w:sz w:val="24"/>
                <w:szCs w:val="24"/>
              </w:rPr>
              <w:t>O</w:t>
            </w:r>
            <w:r w:rsidRPr="00A26534">
              <w:rPr>
                <w:rFonts w:ascii="Cambria" w:hAnsi="Cambria"/>
                <w:sz w:val="24"/>
                <w:szCs w:val="24"/>
              </w:rPr>
              <w:t xml:space="preserve">R model - both briefings expected to take </w:t>
            </w:r>
            <w:r w:rsidR="00A26534" w:rsidRPr="00A26534">
              <w:rPr>
                <w:rFonts w:ascii="Cambria" w:hAnsi="Cambria"/>
                <w:sz w:val="24"/>
                <w:szCs w:val="24"/>
              </w:rPr>
              <w:t>place</w:t>
            </w:r>
            <w:r w:rsidRPr="00A26534">
              <w:rPr>
                <w:rFonts w:ascii="Cambria" w:hAnsi="Cambria"/>
                <w:sz w:val="24"/>
                <w:szCs w:val="24"/>
              </w:rPr>
              <w:t xml:space="preserve"> at the next GCCG meeting, on 30 September, and (iii) </w:t>
            </w:r>
            <w:r w:rsidR="00E14A0D" w:rsidRPr="00A26534">
              <w:rPr>
                <w:rFonts w:ascii="Cambria" w:hAnsi="Cambria"/>
                <w:sz w:val="24"/>
                <w:szCs w:val="24"/>
              </w:rPr>
              <w:t xml:space="preserve">data responsibility – planned for October, once the Humanitarian Data Centre completes consultations with individual GCCG members. </w:t>
            </w:r>
          </w:p>
          <w:p w14:paraId="6107B7FC" w14:textId="77777777" w:rsidR="00E14A0D" w:rsidRPr="00A26534" w:rsidRDefault="00E14A0D" w:rsidP="00E14A0D">
            <w:pPr>
              <w:rPr>
                <w:rFonts w:ascii="Cambria" w:hAnsi="Cambria"/>
                <w:sz w:val="12"/>
                <w:szCs w:val="12"/>
              </w:rPr>
            </w:pPr>
          </w:p>
          <w:p w14:paraId="471F72D3" w14:textId="25E00005" w:rsidR="00E14A0D" w:rsidRPr="00A26534" w:rsidRDefault="00E14A0D" w:rsidP="00E14A0D">
            <w:pPr>
              <w:rPr>
                <w:rFonts w:ascii="Cambria" w:hAnsi="Cambria"/>
                <w:sz w:val="24"/>
                <w:szCs w:val="24"/>
              </w:rPr>
            </w:pPr>
            <w:r w:rsidRPr="00A26534">
              <w:rPr>
                <w:rFonts w:ascii="Cambria" w:hAnsi="Cambria"/>
                <w:sz w:val="24"/>
                <w:szCs w:val="24"/>
              </w:rPr>
              <w:t>Lastly, Ms. Skuric-Prodanovic drew attention to the two outstanding matters that require action from the GCCs: (</w:t>
            </w:r>
            <w:r w:rsidR="00A26534" w:rsidRPr="00A26534">
              <w:rPr>
                <w:rFonts w:ascii="Cambria" w:hAnsi="Cambria"/>
                <w:sz w:val="24"/>
                <w:szCs w:val="24"/>
              </w:rPr>
              <w:t>a</w:t>
            </w:r>
            <w:r w:rsidRPr="00A26534">
              <w:rPr>
                <w:rFonts w:ascii="Cambria" w:hAnsi="Cambria"/>
                <w:sz w:val="24"/>
                <w:szCs w:val="24"/>
              </w:rPr>
              <w:t xml:space="preserve">) the cluster activation and deactivation exercise – although the deadline to provide information has passed on 11 September, to date only six GCs provided the required feedback, and (ii) sharing </w:t>
            </w:r>
            <w:r w:rsidR="00A26534" w:rsidRPr="00A26534">
              <w:rPr>
                <w:rFonts w:ascii="Cambria" w:hAnsi="Cambria"/>
                <w:sz w:val="24"/>
                <w:szCs w:val="24"/>
              </w:rPr>
              <w:t>results of</w:t>
            </w:r>
            <w:r w:rsidRPr="00A26534">
              <w:rPr>
                <w:rFonts w:ascii="Cambria" w:hAnsi="Cambria"/>
                <w:sz w:val="24"/>
                <w:szCs w:val="24"/>
              </w:rPr>
              <w:t xml:space="preserve"> the CCPM exercise – the initial </w:t>
            </w:r>
            <w:r w:rsidR="00A26534" w:rsidRPr="00A26534">
              <w:rPr>
                <w:rFonts w:ascii="Cambria" w:hAnsi="Cambria"/>
                <w:sz w:val="24"/>
                <w:szCs w:val="24"/>
              </w:rPr>
              <w:t>deadline</w:t>
            </w:r>
            <w:r w:rsidRPr="00A26534">
              <w:rPr>
                <w:rFonts w:ascii="Cambria" w:hAnsi="Cambria"/>
                <w:sz w:val="24"/>
                <w:szCs w:val="24"/>
              </w:rPr>
              <w:t xml:space="preserve"> having passed in mid-August, submissions were only made by six GCs; and urged the GCCs to provide the missing information soonest possible. She added that, in the coming days, the GCCG secretariat will follow up directly with those who had not done so yet. </w:t>
            </w:r>
          </w:p>
          <w:p w14:paraId="7E6C6DA7" w14:textId="3D14930F" w:rsidR="00260183" w:rsidRPr="00A26534" w:rsidDel="00737CE6" w:rsidRDefault="00260183" w:rsidP="00CF61EF">
            <w:pPr>
              <w:rPr>
                <w:rFonts w:ascii="Cambria" w:hAnsi="Cambria"/>
                <w:sz w:val="12"/>
                <w:szCs w:val="12"/>
              </w:rPr>
            </w:pPr>
          </w:p>
        </w:tc>
        <w:tc>
          <w:tcPr>
            <w:tcW w:w="3119" w:type="dxa"/>
          </w:tcPr>
          <w:p w14:paraId="20B7ABC9" w14:textId="50EDB2AF" w:rsidR="008427A2" w:rsidRPr="00A26534" w:rsidRDefault="008427A2" w:rsidP="005F5B4A">
            <w:pPr>
              <w:rPr>
                <w:rFonts w:ascii="Cambria" w:hAnsi="Cambria"/>
                <w:sz w:val="24"/>
                <w:szCs w:val="24"/>
              </w:rPr>
            </w:pPr>
            <w:r w:rsidRPr="00A26534">
              <w:rPr>
                <w:rFonts w:ascii="Cambria" w:hAnsi="Cambria"/>
                <w:sz w:val="24"/>
                <w:szCs w:val="24"/>
              </w:rPr>
              <w:t xml:space="preserve"> </w:t>
            </w:r>
          </w:p>
        </w:tc>
      </w:tr>
      <w:tr w:rsidR="00382025" w:rsidRPr="00A26534" w14:paraId="78EC809A" w14:textId="77777777" w:rsidTr="008367E6">
        <w:trPr>
          <w:trHeight w:val="841"/>
        </w:trPr>
        <w:tc>
          <w:tcPr>
            <w:tcW w:w="11199" w:type="dxa"/>
          </w:tcPr>
          <w:p w14:paraId="74DC134C" w14:textId="48C82651" w:rsidR="00260183" w:rsidRPr="00A26534" w:rsidRDefault="00260183" w:rsidP="00260183">
            <w:pPr>
              <w:rPr>
                <w:rFonts w:ascii="Cambria" w:eastAsia="Times New Roman" w:hAnsi="Cambria"/>
                <w:b/>
                <w:bCs/>
                <w:sz w:val="24"/>
                <w:szCs w:val="24"/>
              </w:rPr>
            </w:pPr>
            <w:r w:rsidRPr="00A26534">
              <w:rPr>
                <w:rFonts w:ascii="Cambria" w:eastAsia="Times New Roman" w:hAnsi="Cambria"/>
                <w:b/>
                <w:bCs/>
                <w:sz w:val="24"/>
                <w:szCs w:val="24"/>
              </w:rPr>
              <w:t>COVID-19:</w:t>
            </w:r>
          </w:p>
          <w:p w14:paraId="4172DD8C" w14:textId="6EAA21D1" w:rsidR="00260183" w:rsidRPr="00A26534" w:rsidRDefault="00260183" w:rsidP="00260183">
            <w:pPr>
              <w:rPr>
                <w:rFonts w:ascii="Cambria" w:eastAsia="Times New Roman" w:hAnsi="Cambria"/>
                <w:b/>
                <w:bCs/>
                <w:sz w:val="12"/>
                <w:szCs w:val="12"/>
              </w:rPr>
            </w:pPr>
          </w:p>
          <w:p w14:paraId="7AA4C31E" w14:textId="3F2A92B2" w:rsidR="00260183" w:rsidRPr="00A26534" w:rsidRDefault="00260183" w:rsidP="00260183">
            <w:pPr>
              <w:rPr>
                <w:rFonts w:ascii="Cambria" w:eastAsia="Times New Roman" w:hAnsi="Cambria"/>
                <w:sz w:val="24"/>
                <w:szCs w:val="24"/>
                <w:u w:val="single"/>
              </w:rPr>
            </w:pPr>
            <w:r w:rsidRPr="00A26534">
              <w:rPr>
                <w:rFonts w:ascii="Cambria" w:eastAsia="Times New Roman" w:hAnsi="Cambria"/>
                <w:sz w:val="24"/>
                <w:szCs w:val="24"/>
                <w:u w:val="single"/>
              </w:rPr>
              <w:t>Update from the OCHA COVID-19 Cell:</w:t>
            </w:r>
          </w:p>
          <w:p w14:paraId="6EEEAD00" w14:textId="59243490" w:rsidR="00260183" w:rsidRPr="00A26534" w:rsidRDefault="00260183" w:rsidP="00260183">
            <w:pPr>
              <w:rPr>
                <w:rFonts w:ascii="Cambria" w:eastAsia="Times New Roman" w:hAnsi="Cambria"/>
                <w:sz w:val="12"/>
                <w:szCs w:val="12"/>
              </w:rPr>
            </w:pPr>
          </w:p>
          <w:p w14:paraId="5D0162C9" w14:textId="120BF89E" w:rsidR="00CF61EF" w:rsidRPr="00A26534" w:rsidRDefault="00A4664C" w:rsidP="00260183">
            <w:pPr>
              <w:rPr>
                <w:rFonts w:ascii="Cambria" w:eastAsia="Times New Roman" w:hAnsi="Cambria"/>
                <w:sz w:val="24"/>
                <w:szCs w:val="24"/>
              </w:rPr>
            </w:pPr>
            <w:r w:rsidRPr="00A26534">
              <w:rPr>
                <w:rFonts w:ascii="Cambria" w:eastAsia="Times New Roman" w:hAnsi="Cambria"/>
                <w:sz w:val="24"/>
                <w:szCs w:val="24"/>
              </w:rPr>
              <w:t>The Head of the OCHA COVID-</w:t>
            </w:r>
            <w:r w:rsidR="001D4C0A" w:rsidRPr="00A26534">
              <w:rPr>
                <w:rFonts w:ascii="Cambria" w:eastAsia="Times New Roman" w:hAnsi="Cambria"/>
                <w:sz w:val="24"/>
                <w:szCs w:val="24"/>
              </w:rPr>
              <w:t>1</w:t>
            </w:r>
            <w:r w:rsidRPr="00A26534">
              <w:rPr>
                <w:rFonts w:ascii="Cambria" w:eastAsia="Times New Roman" w:hAnsi="Cambria"/>
                <w:sz w:val="24"/>
                <w:szCs w:val="24"/>
              </w:rPr>
              <w:t xml:space="preserve">9 Cell referred to the </w:t>
            </w:r>
            <w:r w:rsidR="001D4C0A" w:rsidRPr="00A26534">
              <w:rPr>
                <w:rFonts w:ascii="Cambria" w:eastAsia="Times New Roman" w:hAnsi="Cambria"/>
                <w:sz w:val="24"/>
                <w:szCs w:val="24"/>
              </w:rPr>
              <w:t>different, ongoing efforts</w:t>
            </w:r>
            <w:r w:rsidRPr="00A26534">
              <w:rPr>
                <w:rFonts w:ascii="Cambria" w:eastAsia="Times New Roman" w:hAnsi="Cambria"/>
                <w:sz w:val="24"/>
                <w:szCs w:val="24"/>
              </w:rPr>
              <w:t xml:space="preserve"> </w:t>
            </w:r>
            <w:r w:rsidR="001D4C0A" w:rsidRPr="00A26534">
              <w:rPr>
                <w:rFonts w:ascii="Cambria" w:eastAsia="Times New Roman" w:hAnsi="Cambria"/>
                <w:sz w:val="24"/>
                <w:szCs w:val="24"/>
              </w:rPr>
              <w:t>to</w:t>
            </w:r>
            <w:r w:rsidRPr="00A26534">
              <w:rPr>
                <w:rFonts w:ascii="Cambria" w:eastAsia="Times New Roman" w:hAnsi="Cambria"/>
                <w:sz w:val="24"/>
                <w:szCs w:val="24"/>
              </w:rPr>
              <w:t xml:space="preserve"> identify a vaccine and commented that</w:t>
            </w:r>
            <w:r w:rsidR="00657ED2" w:rsidRPr="00A26534">
              <w:rPr>
                <w:rFonts w:ascii="Cambria" w:eastAsia="Times New Roman" w:hAnsi="Cambria"/>
                <w:sz w:val="24"/>
                <w:szCs w:val="24"/>
              </w:rPr>
              <w:t xml:space="preserve"> </w:t>
            </w:r>
            <w:r w:rsidR="001D4C0A" w:rsidRPr="00A26534">
              <w:rPr>
                <w:rFonts w:ascii="Cambria" w:eastAsia="Times New Roman" w:hAnsi="Cambria"/>
                <w:sz w:val="24"/>
                <w:szCs w:val="24"/>
              </w:rPr>
              <w:t>all analyses</w:t>
            </w:r>
            <w:r w:rsidR="00657ED2" w:rsidRPr="00A26534">
              <w:rPr>
                <w:rFonts w:ascii="Cambria" w:eastAsia="Times New Roman" w:hAnsi="Cambria"/>
                <w:sz w:val="24"/>
                <w:szCs w:val="24"/>
              </w:rPr>
              <w:t xml:space="preserve"> </w:t>
            </w:r>
            <w:r w:rsidR="001D4C0A" w:rsidRPr="00A26534">
              <w:rPr>
                <w:rFonts w:ascii="Cambria" w:eastAsia="Times New Roman" w:hAnsi="Cambria"/>
                <w:sz w:val="24"/>
                <w:szCs w:val="24"/>
              </w:rPr>
              <w:t>point</w:t>
            </w:r>
            <w:r w:rsidR="00657ED2" w:rsidRPr="00A26534">
              <w:rPr>
                <w:rFonts w:ascii="Cambria" w:eastAsia="Times New Roman" w:hAnsi="Cambria"/>
                <w:sz w:val="24"/>
                <w:szCs w:val="24"/>
              </w:rPr>
              <w:t>ed</w:t>
            </w:r>
            <w:r w:rsidR="001D4C0A" w:rsidRPr="00A26534">
              <w:rPr>
                <w:rFonts w:ascii="Cambria" w:eastAsia="Times New Roman" w:hAnsi="Cambria"/>
                <w:sz w:val="24"/>
                <w:szCs w:val="24"/>
              </w:rPr>
              <w:t xml:space="preserve"> out </w:t>
            </w:r>
            <w:r w:rsidR="00657ED2" w:rsidRPr="00A26534">
              <w:rPr>
                <w:rFonts w:ascii="Cambria" w:eastAsia="Times New Roman" w:hAnsi="Cambria"/>
                <w:sz w:val="24"/>
                <w:szCs w:val="24"/>
              </w:rPr>
              <w:t>to increasing unlikelihood</w:t>
            </w:r>
            <w:r w:rsidR="001D4C0A" w:rsidRPr="00A26534">
              <w:rPr>
                <w:rFonts w:ascii="Cambria" w:eastAsia="Times New Roman" w:hAnsi="Cambria"/>
                <w:sz w:val="24"/>
                <w:szCs w:val="24"/>
              </w:rPr>
              <w:t xml:space="preserve"> </w:t>
            </w:r>
            <w:r w:rsidR="00657ED2" w:rsidRPr="00A26534">
              <w:rPr>
                <w:rFonts w:ascii="Cambria" w:eastAsia="Times New Roman" w:hAnsi="Cambria"/>
                <w:sz w:val="24"/>
                <w:szCs w:val="24"/>
              </w:rPr>
              <w:t xml:space="preserve">of the </w:t>
            </w:r>
            <w:r w:rsidR="001D4C0A" w:rsidRPr="00A26534">
              <w:rPr>
                <w:rFonts w:ascii="Cambria" w:eastAsia="Times New Roman" w:hAnsi="Cambria"/>
                <w:sz w:val="24"/>
                <w:szCs w:val="24"/>
              </w:rPr>
              <w:t>Oc</w:t>
            </w:r>
            <w:r w:rsidR="00657ED2" w:rsidRPr="00A26534">
              <w:rPr>
                <w:rFonts w:ascii="Cambria" w:eastAsia="Times New Roman" w:hAnsi="Cambria"/>
                <w:sz w:val="24"/>
                <w:szCs w:val="24"/>
              </w:rPr>
              <w:t>to</w:t>
            </w:r>
            <w:r w:rsidR="001D4C0A" w:rsidRPr="00A26534">
              <w:rPr>
                <w:rFonts w:ascii="Cambria" w:eastAsia="Times New Roman" w:hAnsi="Cambria"/>
                <w:sz w:val="24"/>
                <w:szCs w:val="24"/>
              </w:rPr>
              <w:t xml:space="preserve">ber statement </w:t>
            </w:r>
            <w:r w:rsidR="00657ED2" w:rsidRPr="00A26534">
              <w:rPr>
                <w:rFonts w:ascii="Cambria" w:eastAsia="Times New Roman" w:hAnsi="Cambria"/>
                <w:sz w:val="24"/>
                <w:szCs w:val="24"/>
              </w:rPr>
              <w:t>milestone being met</w:t>
            </w:r>
            <w:r w:rsidR="001D4C0A" w:rsidRPr="00A26534">
              <w:rPr>
                <w:rFonts w:ascii="Cambria" w:eastAsia="Times New Roman" w:hAnsi="Cambria"/>
                <w:sz w:val="24"/>
                <w:szCs w:val="24"/>
              </w:rPr>
              <w:t xml:space="preserve">. </w:t>
            </w:r>
            <w:r w:rsidR="00657ED2" w:rsidRPr="00A26534">
              <w:rPr>
                <w:rFonts w:ascii="Cambria" w:eastAsia="Times New Roman" w:hAnsi="Cambria"/>
                <w:sz w:val="24"/>
                <w:szCs w:val="24"/>
              </w:rPr>
              <w:t>A delay would obviously have consequences for roll-out, also in countries of concern to humanitarians.</w:t>
            </w:r>
          </w:p>
          <w:p w14:paraId="704D938C" w14:textId="6B224D01" w:rsidR="00657ED2" w:rsidRPr="00A26534" w:rsidRDefault="00657ED2" w:rsidP="00260183">
            <w:pPr>
              <w:rPr>
                <w:rFonts w:ascii="Cambria" w:eastAsia="Times New Roman" w:hAnsi="Cambria"/>
                <w:sz w:val="12"/>
                <w:szCs w:val="12"/>
              </w:rPr>
            </w:pPr>
          </w:p>
          <w:p w14:paraId="1DF115FA" w14:textId="1D6D7AB6" w:rsidR="00657ED2" w:rsidRPr="00A26534" w:rsidRDefault="00657ED2" w:rsidP="00260183">
            <w:pPr>
              <w:rPr>
                <w:rFonts w:ascii="Cambria" w:eastAsia="Times New Roman" w:hAnsi="Cambria"/>
                <w:sz w:val="24"/>
                <w:szCs w:val="24"/>
              </w:rPr>
            </w:pPr>
            <w:r w:rsidRPr="00A26534">
              <w:rPr>
                <w:rFonts w:ascii="Cambria" w:eastAsia="Times New Roman" w:hAnsi="Cambria"/>
                <w:sz w:val="24"/>
                <w:szCs w:val="24"/>
              </w:rPr>
              <w:t xml:space="preserve">With regards to the GHO, Mr. O’Malley </w:t>
            </w:r>
            <w:r w:rsidR="00A26534" w:rsidRPr="00A26534">
              <w:rPr>
                <w:rFonts w:ascii="Cambria" w:eastAsia="Times New Roman" w:hAnsi="Cambria"/>
                <w:sz w:val="24"/>
                <w:szCs w:val="24"/>
              </w:rPr>
              <w:t>informed</w:t>
            </w:r>
            <w:r w:rsidRPr="00A26534">
              <w:rPr>
                <w:rFonts w:ascii="Cambria" w:eastAsia="Times New Roman" w:hAnsi="Cambria"/>
                <w:sz w:val="24"/>
                <w:szCs w:val="24"/>
              </w:rPr>
              <w:t xml:space="preserve"> that the EDG agreed to propose to the IASC Principals that Mozambique, Pakistan, and Zimbabwe be added for 2021 cycle. He also clarified that, contrary to earlier </w:t>
            </w:r>
            <w:r w:rsidRPr="00A26534">
              <w:rPr>
                <w:rFonts w:ascii="Cambria" w:eastAsia="Times New Roman" w:hAnsi="Cambria"/>
                <w:sz w:val="24"/>
                <w:szCs w:val="24"/>
              </w:rPr>
              <w:lastRenderedPageBreak/>
              <w:t>proposals for some of the GHO/HRP countries to use a light framework, standard methodology would apply to all countries included in the GHO/HRP 2021.</w:t>
            </w:r>
          </w:p>
          <w:p w14:paraId="21A7718A" w14:textId="2FBB8803" w:rsidR="00657ED2" w:rsidRPr="00A26534" w:rsidRDefault="00657ED2" w:rsidP="00260183">
            <w:pPr>
              <w:rPr>
                <w:rFonts w:ascii="Cambria" w:eastAsia="Times New Roman" w:hAnsi="Cambria"/>
                <w:sz w:val="12"/>
                <w:szCs w:val="12"/>
              </w:rPr>
            </w:pPr>
          </w:p>
          <w:p w14:paraId="1C15F945" w14:textId="77777777" w:rsidR="00A45ED4" w:rsidRPr="00A26534" w:rsidRDefault="00657ED2" w:rsidP="00260183">
            <w:pPr>
              <w:rPr>
                <w:rFonts w:ascii="Cambria" w:eastAsia="Times New Roman" w:hAnsi="Cambria"/>
                <w:sz w:val="24"/>
                <w:szCs w:val="24"/>
              </w:rPr>
            </w:pPr>
            <w:r w:rsidRPr="00A26534">
              <w:rPr>
                <w:rFonts w:ascii="Cambria" w:eastAsia="Times New Roman" w:hAnsi="Cambria"/>
                <w:sz w:val="24"/>
                <w:szCs w:val="24"/>
              </w:rPr>
              <w:t>On the MPTF COVID-19, Mr. O’Malley informed that the 18 pre-selected countries (of about 80 initial submissions) have now been asked to submit formal proposals. The available pool of funding is USD 20 million</w:t>
            </w:r>
            <w:r w:rsidR="00A45ED4" w:rsidRPr="00A26534">
              <w:rPr>
                <w:rFonts w:ascii="Cambria" w:eastAsia="Times New Roman" w:hAnsi="Cambria"/>
                <w:sz w:val="24"/>
                <w:szCs w:val="24"/>
              </w:rPr>
              <w:t xml:space="preserve">, with one third of the amount being set aside for projects meeting the Gender marker. </w:t>
            </w:r>
          </w:p>
          <w:p w14:paraId="6F19BABD" w14:textId="77777777" w:rsidR="00A45ED4" w:rsidRPr="00A26534" w:rsidRDefault="00A45ED4" w:rsidP="00260183">
            <w:pPr>
              <w:rPr>
                <w:rFonts w:ascii="Cambria" w:eastAsia="Times New Roman" w:hAnsi="Cambria"/>
                <w:sz w:val="12"/>
                <w:szCs w:val="12"/>
              </w:rPr>
            </w:pPr>
          </w:p>
          <w:p w14:paraId="485D9C81" w14:textId="0C09691E" w:rsidR="00657ED2" w:rsidRPr="00A26534" w:rsidRDefault="00A45ED4" w:rsidP="00260183">
            <w:pPr>
              <w:rPr>
                <w:rFonts w:ascii="Cambria" w:eastAsia="Times New Roman" w:hAnsi="Cambria"/>
                <w:sz w:val="24"/>
                <w:szCs w:val="24"/>
              </w:rPr>
            </w:pPr>
            <w:r w:rsidRPr="00A26534">
              <w:rPr>
                <w:rFonts w:ascii="Cambria" w:eastAsia="Times New Roman" w:hAnsi="Cambria"/>
                <w:sz w:val="24"/>
                <w:szCs w:val="24"/>
              </w:rPr>
              <w:t>In addition, Mr. O’Malley drew the Group’s atten</w:t>
            </w:r>
            <w:r w:rsidR="004A718B" w:rsidRPr="00A26534">
              <w:rPr>
                <w:rFonts w:ascii="Cambria" w:eastAsia="Times New Roman" w:hAnsi="Cambria"/>
                <w:sz w:val="24"/>
                <w:szCs w:val="24"/>
              </w:rPr>
              <w:t>t</w:t>
            </w:r>
            <w:r w:rsidRPr="00A26534">
              <w:rPr>
                <w:rFonts w:ascii="Cambria" w:eastAsia="Times New Roman" w:hAnsi="Cambria"/>
                <w:sz w:val="24"/>
                <w:szCs w:val="24"/>
              </w:rPr>
              <w:t>ion to the ERC’s briefing to the U</w:t>
            </w:r>
            <w:r w:rsidR="004A718B" w:rsidRPr="00A26534">
              <w:rPr>
                <w:rFonts w:ascii="Cambria" w:eastAsia="Times New Roman" w:hAnsi="Cambria"/>
                <w:sz w:val="24"/>
                <w:szCs w:val="24"/>
              </w:rPr>
              <w:t>N</w:t>
            </w:r>
            <w:r w:rsidRPr="00A26534">
              <w:rPr>
                <w:rFonts w:ascii="Cambria" w:eastAsia="Times New Roman" w:hAnsi="Cambria"/>
                <w:sz w:val="24"/>
                <w:szCs w:val="24"/>
              </w:rPr>
              <w:t xml:space="preserve"> Security Council on COVID-19, which Mr. </w:t>
            </w:r>
            <w:r w:rsidR="00A26534" w:rsidRPr="00A26534">
              <w:rPr>
                <w:rFonts w:ascii="Cambria" w:eastAsia="Times New Roman" w:hAnsi="Cambria"/>
                <w:sz w:val="24"/>
                <w:szCs w:val="24"/>
              </w:rPr>
              <w:t>Logcock</w:t>
            </w:r>
            <w:r w:rsidRPr="00A26534">
              <w:rPr>
                <w:rFonts w:ascii="Cambria" w:eastAsia="Times New Roman" w:hAnsi="Cambria"/>
                <w:sz w:val="24"/>
                <w:szCs w:val="24"/>
              </w:rPr>
              <w:t xml:space="preserve"> did jointly with DPPA and DPKO. The briefing aimed at securing </w:t>
            </w:r>
            <w:r w:rsidR="004A718B" w:rsidRPr="00A26534">
              <w:rPr>
                <w:rFonts w:ascii="Cambria" w:eastAsia="Times New Roman" w:hAnsi="Cambria"/>
                <w:sz w:val="24"/>
                <w:szCs w:val="24"/>
              </w:rPr>
              <w:t xml:space="preserve">the </w:t>
            </w:r>
            <w:r w:rsidRPr="00A26534">
              <w:rPr>
                <w:rFonts w:ascii="Cambria" w:eastAsia="Times New Roman" w:hAnsi="Cambria"/>
                <w:sz w:val="24"/>
                <w:szCs w:val="24"/>
              </w:rPr>
              <w:t xml:space="preserve">Council’s support for mobilising resources, including from IFIs, </w:t>
            </w:r>
            <w:r w:rsidR="004A718B" w:rsidRPr="00A26534">
              <w:rPr>
                <w:rFonts w:ascii="Cambria" w:eastAsia="Times New Roman" w:hAnsi="Cambria"/>
                <w:sz w:val="24"/>
                <w:szCs w:val="24"/>
              </w:rPr>
              <w:t xml:space="preserve">to </w:t>
            </w:r>
            <w:r w:rsidRPr="00A26534">
              <w:rPr>
                <w:rFonts w:ascii="Cambria" w:eastAsia="Times New Roman" w:hAnsi="Cambria"/>
                <w:sz w:val="24"/>
                <w:szCs w:val="24"/>
              </w:rPr>
              <w:t xml:space="preserve">support </w:t>
            </w:r>
            <w:r w:rsidR="004A718B" w:rsidRPr="00A26534">
              <w:rPr>
                <w:rFonts w:ascii="Cambria" w:eastAsia="Times New Roman" w:hAnsi="Cambria"/>
                <w:sz w:val="24"/>
                <w:szCs w:val="24"/>
              </w:rPr>
              <w:t>the</w:t>
            </w:r>
            <w:r w:rsidRPr="00A26534">
              <w:rPr>
                <w:rFonts w:ascii="Cambria" w:eastAsia="Times New Roman" w:hAnsi="Cambria"/>
                <w:sz w:val="24"/>
                <w:szCs w:val="24"/>
              </w:rPr>
              <w:t xml:space="preserve"> COVID-19 response and to tackle the socio-economic impact of the pandemic, also warning of risks and consequences </w:t>
            </w:r>
            <w:r w:rsidR="004A718B" w:rsidRPr="00A26534">
              <w:rPr>
                <w:rFonts w:ascii="Cambria" w:eastAsia="Times New Roman" w:hAnsi="Cambria"/>
                <w:sz w:val="24"/>
                <w:szCs w:val="24"/>
              </w:rPr>
              <w:t xml:space="preserve">if </w:t>
            </w:r>
            <w:r w:rsidRPr="00A26534">
              <w:rPr>
                <w:rFonts w:ascii="Cambria" w:eastAsia="Times New Roman" w:hAnsi="Cambria"/>
                <w:sz w:val="24"/>
                <w:szCs w:val="24"/>
              </w:rPr>
              <w:t xml:space="preserve">not addressed. Mr. O’Malley added that additional, country and topic-specific briefings (Yemen, South Sudan, food security, etc) were also ongoing and planned for the near future. </w:t>
            </w:r>
          </w:p>
          <w:p w14:paraId="44953466" w14:textId="2B07F8EC" w:rsidR="00A45ED4" w:rsidRPr="00A26534" w:rsidRDefault="00A45ED4" w:rsidP="00260183">
            <w:pPr>
              <w:rPr>
                <w:rFonts w:ascii="Cambria" w:eastAsia="Times New Roman" w:hAnsi="Cambria"/>
                <w:sz w:val="12"/>
                <w:szCs w:val="12"/>
              </w:rPr>
            </w:pPr>
          </w:p>
          <w:p w14:paraId="6BE53905" w14:textId="33C5D470" w:rsidR="00A45ED4" w:rsidRPr="00A26534" w:rsidRDefault="00A45ED4" w:rsidP="00260183">
            <w:pPr>
              <w:rPr>
                <w:rFonts w:ascii="Cambria" w:eastAsia="Times New Roman" w:hAnsi="Cambria"/>
                <w:sz w:val="24"/>
                <w:szCs w:val="24"/>
              </w:rPr>
            </w:pPr>
            <w:r w:rsidRPr="00A26534">
              <w:rPr>
                <w:rFonts w:ascii="Cambria" w:eastAsia="Times New Roman" w:hAnsi="Cambria"/>
                <w:sz w:val="24"/>
                <w:szCs w:val="24"/>
              </w:rPr>
              <w:t xml:space="preserve">Lastly, Mr. O’Malley </w:t>
            </w:r>
            <w:r w:rsidR="006330D8" w:rsidRPr="00A26534">
              <w:rPr>
                <w:rFonts w:ascii="Cambria" w:eastAsia="Times New Roman" w:hAnsi="Cambria"/>
                <w:sz w:val="24"/>
                <w:szCs w:val="24"/>
              </w:rPr>
              <w:t>mentioned communications materials produced by the Gates foundation, which are a reach resource of information on COVID-19 and its secondary effects.</w:t>
            </w:r>
            <w:r w:rsidRPr="00A26534">
              <w:rPr>
                <w:rFonts w:ascii="Cambria" w:eastAsia="Times New Roman" w:hAnsi="Cambria"/>
                <w:sz w:val="24"/>
                <w:szCs w:val="24"/>
              </w:rPr>
              <w:t xml:space="preserve"> </w:t>
            </w:r>
          </w:p>
          <w:p w14:paraId="04ADAC3A" w14:textId="77777777" w:rsidR="00CF61EF" w:rsidRPr="00A26534" w:rsidRDefault="00CF61EF" w:rsidP="00260183">
            <w:pPr>
              <w:rPr>
                <w:rFonts w:ascii="Cambria" w:eastAsia="Times New Roman" w:hAnsi="Cambria"/>
                <w:sz w:val="24"/>
                <w:szCs w:val="24"/>
                <w:u w:val="single"/>
              </w:rPr>
            </w:pPr>
          </w:p>
          <w:p w14:paraId="556FD169" w14:textId="2C763D3C" w:rsidR="00260183" w:rsidRPr="00A26534" w:rsidRDefault="00260183" w:rsidP="00260183">
            <w:pPr>
              <w:rPr>
                <w:rFonts w:ascii="Cambria" w:eastAsia="Times New Roman" w:hAnsi="Cambria"/>
                <w:sz w:val="24"/>
                <w:szCs w:val="24"/>
                <w:u w:val="single"/>
              </w:rPr>
            </w:pPr>
            <w:r w:rsidRPr="00A26534">
              <w:rPr>
                <w:rFonts w:ascii="Cambria" w:eastAsia="Times New Roman" w:hAnsi="Cambria"/>
                <w:sz w:val="24"/>
                <w:szCs w:val="24"/>
                <w:u w:val="single"/>
              </w:rPr>
              <w:t>GHRP monitoring and reporting:</w:t>
            </w:r>
          </w:p>
          <w:p w14:paraId="4F1800C9" w14:textId="66E2FEA0" w:rsidR="00260183" w:rsidRPr="00A26534" w:rsidRDefault="00260183" w:rsidP="00260183">
            <w:pPr>
              <w:rPr>
                <w:rFonts w:ascii="Cambria" w:eastAsia="Times New Roman" w:hAnsi="Cambria"/>
                <w:sz w:val="12"/>
                <w:szCs w:val="12"/>
                <w:u w:val="single"/>
              </w:rPr>
            </w:pPr>
          </w:p>
          <w:p w14:paraId="494813EF" w14:textId="0DEAE87F" w:rsidR="007B4E5D" w:rsidRPr="00A26534" w:rsidRDefault="006330D8" w:rsidP="00260183">
            <w:pPr>
              <w:rPr>
                <w:rFonts w:ascii="Cambria" w:eastAsia="Times New Roman" w:hAnsi="Cambria"/>
                <w:sz w:val="24"/>
                <w:szCs w:val="24"/>
              </w:rPr>
            </w:pPr>
            <w:r w:rsidRPr="00A26534">
              <w:rPr>
                <w:rFonts w:ascii="Cambria" w:eastAsia="Times New Roman" w:hAnsi="Cambria"/>
                <w:sz w:val="24"/>
                <w:szCs w:val="24"/>
              </w:rPr>
              <w:t xml:space="preserve">Mr. Goetghebuer (OCHA), referring to a written communication which was shared with the GCCG ahead of the meeting, informed </w:t>
            </w:r>
            <w:r w:rsidR="004A718B" w:rsidRPr="00A26534">
              <w:rPr>
                <w:rFonts w:ascii="Cambria" w:eastAsia="Times New Roman" w:hAnsi="Cambria"/>
                <w:sz w:val="24"/>
                <w:szCs w:val="24"/>
              </w:rPr>
              <w:t xml:space="preserve">the Group </w:t>
            </w:r>
            <w:r w:rsidRPr="00A26534">
              <w:rPr>
                <w:rFonts w:ascii="Cambria" w:eastAsia="Times New Roman" w:hAnsi="Cambria"/>
                <w:sz w:val="24"/>
                <w:szCs w:val="24"/>
              </w:rPr>
              <w:t xml:space="preserve">that the work on the next GHRP progress </w:t>
            </w:r>
            <w:r w:rsidR="009123A0" w:rsidRPr="00A26534">
              <w:rPr>
                <w:rFonts w:ascii="Cambria" w:eastAsia="Times New Roman" w:hAnsi="Cambria"/>
                <w:sz w:val="24"/>
                <w:szCs w:val="24"/>
              </w:rPr>
              <w:t>r</w:t>
            </w:r>
            <w:r w:rsidRPr="00A26534">
              <w:rPr>
                <w:rFonts w:ascii="Cambria" w:eastAsia="Times New Roman" w:hAnsi="Cambria"/>
                <w:sz w:val="24"/>
                <w:szCs w:val="24"/>
              </w:rPr>
              <w:t>eport was ongoing</w:t>
            </w:r>
            <w:r w:rsidR="009123A0" w:rsidRPr="00A26534">
              <w:rPr>
                <w:rFonts w:ascii="Cambria" w:eastAsia="Times New Roman" w:hAnsi="Cambria"/>
                <w:sz w:val="24"/>
                <w:szCs w:val="24"/>
              </w:rPr>
              <w:t xml:space="preserve">, based on the same approach </w:t>
            </w:r>
            <w:r w:rsidRPr="00A26534">
              <w:rPr>
                <w:rFonts w:ascii="Cambria" w:eastAsia="Times New Roman" w:hAnsi="Cambria"/>
                <w:sz w:val="24"/>
                <w:szCs w:val="24"/>
              </w:rPr>
              <w:t xml:space="preserve">as for the August </w:t>
            </w:r>
            <w:r w:rsidR="009123A0" w:rsidRPr="00A26534">
              <w:rPr>
                <w:rFonts w:ascii="Cambria" w:eastAsia="Times New Roman" w:hAnsi="Cambria"/>
                <w:sz w:val="24"/>
                <w:szCs w:val="24"/>
              </w:rPr>
              <w:t>issue</w:t>
            </w:r>
            <w:r w:rsidRPr="00A26534">
              <w:rPr>
                <w:rFonts w:ascii="Cambria" w:eastAsia="Times New Roman" w:hAnsi="Cambria"/>
                <w:sz w:val="24"/>
                <w:szCs w:val="24"/>
              </w:rPr>
              <w:t xml:space="preserve">. </w:t>
            </w:r>
            <w:r w:rsidR="009123A0" w:rsidRPr="00A26534">
              <w:rPr>
                <w:rFonts w:ascii="Cambria" w:eastAsia="Times New Roman" w:hAnsi="Cambria"/>
                <w:sz w:val="24"/>
                <w:szCs w:val="24"/>
              </w:rPr>
              <w:t>Specifically, as agencies are asked to provide input on progress and achievements, clusters are encouraged to share any relevant data or information, directly with OCHA focal points or through their Cluster Lead Agency. Relevant template</w:t>
            </w:r>
            <w:r w:rsidR="004A718B" w:rsidRPr="00A26534">
              <w:rPr>
                <w:rFonts w:ascii="Cambria" w:eastAsia="Times New Roman" w:hAnsi="Cambria"/>
                <w:sz w:val="24"/>
                <w:szCs w:val="24"/>
              </w:rPr>
              <w:t>s</w:t>
            </w:r>
            <w:r w:rsidR="009123A0" w:rsidRPr="00A26534">
              <w:rPr>
                <w:rFonts w:ascii="Cambria" w:eastAsia="Times New Roman" w:hAnsi="Cambria"/>
                <w:sz w:val="24"/>
                <w:szCs w:val="24"/>
              </w:rPr>
              <w:t xml:space="preserve"> had been shared with the GCCG by email, with the deadline </w:t>
            </w:r>
            <w:r w:rsidR="004A718B" w:rsidRPr="00A26534">
              <w:rPr>
                <w:rFonts w:ascii="Cambria" w:eastAsia="Times New Roman" w:hAnsi="Cambria"/>
                <w:sz w:val="24"/>
                <w:szCs w:val="24"/>
              </w:rPr>
              <w:t xml:space="preserve">of 21 September </w:t>
            </w:r>
            <w:r w:rsidR="009123A0" w:rsidRPr="00A26534">
              <w:rPr>
                <w:rFonts w:ascii="Cambria" w:eastAsia="Times New Roman" w:hAnsi="Cambria"/>
                <w:sz w:val="24"/>
                <w:szCs w:val="24"/>
              </w:rPr>
              <w:t>for submissions.</w:t>
            </w:r>
          </w:p>
          <w:p w14:paraId="5F2E7304" w14:textId="13FF5A70" w:rsidR="009123A0" w:rsidRPr="00A26534" w:rsidRDefault="009123A0" w:rsidP="00260183">
            <w:pPr>
              <w:rPr>
                <w:rFonts w:ascii="Cambria" w:eastAsia="Times New Roman" w:hAnsi="Cambria"/>
                <w:sz w:val="12"/>
                <w:szCs w:val="12"/>
              </w:rPr>
            </w:pPr>
          </w:p>
          <w:p w14:paraId="463D4970" w14:textId="2C435819" w:rsidR="009123A0" w:rsidRPr="00A26534" w:rsidRDefault="009123A0" w:rsidP="00260183">
            <w:pPr>
              <w:rPr>
                <w:rFonts w:ascii="Cambria" w:eastAsia="Times New Roman" w:hAnsi="Cambria"/>
                <w:sz w:val="24"/>
                <w:szCs w:val="24"/>
              </w:rPr>
            </w:pPr>
            <w:r w:rsidRPr="00A26534">
              <w:rPr>
                <w:rFonts w:ascii="Cambria" w:eastAsia="Times New Roman" w:hAnsi="Cambria"/>
                <w:sz w:val="24"/>
                <w:szCs w:val="24"/>
              </w:rPr>
              <w:t xml:space="preserve">In response to the Global GBV AOR’s question on monitoring and reporting against the GHRP beyond 2020, Mr. Goetghebuer informed that </w:t>
            </w:r>
            <w:r w:rsidR="003F66E8" w:rsidRPr="00A26534">
              <w:rPr>
                <w:rFonts w:ascii="Cambria" w:eastAsia="Times New Roman" w:hAnsi="Cambria"/>
                <w:sz w:val="24"/>
                <w:szCs w:val="24"/>
              </w:rPr>
              <w:t>the initial intention</w:t>
            </w:r>
            <w:r w:rsidRPr="00A26534">
              <w:rPr>
                <w:rFonts w:ascii="Cambria" w:eastAsia="Times New Roman" w:hAnsi="Cambria"/>
                <w:sz w:val="24"/>
                <w:szCs w:val="24"/>
              </w:rPr>
              <w:t xml:space="preserve"> to fold COVID-19 response</w:t>
            </w:r>
            <w:r w:rsidR="003F66E8" w:rsidRPr="00A26534">
              <w:rPr>
                <w:rFonts w:ascii="Cambria" w:eastAsia="Times New Roman" w:hAnsi="Cambria"/>
                <w:sz w:val="24"/>
                <w:szCs w:val="24"/>
              </w:rPr>
              <w:t>(s)</w:t>
            </w:r>
            <w:r w:rsidRPr="00A26534">
              <w:rPr>
                <w:rFonts w:ascii="Cambria" w:eastAsia="Times New Roman" w:hAnsi="Cambria"/>
                <w:sz w:val="24"/>
                <w:szCs w:val="24"/>
              </w:rPr>
              <w:t xml:space="preserve"> into the GHO 2021 and any specific HRPs within it</w:t>
            </w:r>
            <w:r w:rsidR="003F66E8" w:rsidRPr="00A26534">
              <w:rPr>
                <w:rFonts w:ascii="Cambria" w:eastAsia="Times New Roman" w:hAnsi="Cambria"/>
                <w:sz w:val="24"/>
                <w:szCs w:val="24"/>
              </w:rPr>
              <w:t xml:space="preserve"> was being upheld</w:t>
            </w:r>
            <w:r w:rsidRPr="00A26534">
              <w:rPr>
                <w:rFonts w:ascii="Cambria" w:eastAsia="Times New Roman" w:hAnsi="Cambria"/>
                <w:sz w:val="24"/>
                <w:szCs w:val="24"/>
              </w:rPr>
              <w:t xml:space="preserve">. </w:t>
            </w:r>
            <w:r w:rsidR="003F66E8" w:rsidRPr="00A26534">
              <w:rPr>
                <w:rFonts w:ascii="Cambria" w:eastAsia="Times New Roman" w:hAnsi="Cambria"/>
                <w:sz w:val="24"/>
                <w:szCs w:val="24"/>
              </w:rPr>
              <w:t xml:space="preserve">Nevertheless, he added that, should there be such a demand, specific reports could be produced, but clarified that such a reporting would be based on </w:t>
            </w:r>
            <w:r w:rsidR="003D3BE0" w:rsidRPr="00A26534">
              <w:rPr>
                <w:rFonts w:ascii="Cambria" w:eastAsia="Times New Roman" w:hAnsi="Cambria"/>
                <w:sz w:val="24"/>
                <w:szCs w:val="24"/>
              </w:rPr>
              <w:t>specific</w:t>
            </w:r>
            <w:r w:rsidR="003F66E8" w:rsidRPr="00A26534">
              <w:rPr>
                <w:rFonts w:ascii="Cambria" w:eastAsia="Times New Roman" w:hAnsi="Cambria"/>
                <w:sz w:val="24"/>
                <w:szCs w:val="24"/>
              </w:rPr>
              <w:t xml:space="preserve"> demand</w:t>
            </w:r>
            <w:r w:rsidR="003D3BE0" w:rsidRPr="00A26534">
              <w:rPr>
                <w:rFonts w:ascii="Cambria" w:eastAsia="Times New Roman" w:hAnsi="Cambria"/>
                <w:sz w:val="24"/>
                <w:szCs w:val="24"/>
              </w:rPr>
              <w:t>s</w:t>
            </w:r>
            <w:r w:rsidR="003F66E8" w:rsidRPr="00A26534">
              <w:rPr>
                <w:rFonts w:ascii="Cambria" w:eastAsia="Times New Roman" w:hAnsi="Cambria"/>
                <w:sz w:val="24"/>
                <w:szCs w:val="24"/>
              </w:rPr>
              <w:t xml:space="preserve"> and</w:t>
            </w:r>
            <w:r w:rsidR="003D3BE0" w:rsidRPr="00A26534">
              <w:rPr>
                <w:rFonts w:ascii="Cambria" w:eastAsia="Times New Roman" w:hAnsi="Cambria"/>
                <w:sz w:val="24"/>
                <w:szCs w:val="24"/>
              </w:rPr>
              <w:t xml:space="preserve">/or be proposed in view of the </w:t>
            </w:r>
            <w:r w:rsidR="003F66E8" w:rsidRPr="00A26534">
              <w:rPr>
                <w:rFonts w:ascii="Cambria" w:eastAsia="Times New Roman" w:hAnsi="Cambria"/>
                <w:sz w:val="24"/>
                <w:szCs w:val="24"/>
              </w:rPr>
              <w:t xml:space="preserve">evolving situation. </w:t>
            </w:r>
          </w:p>
          <w:p w14:paraId="669D5C0B" w14:textId="13117E89" w:rsidR="00260183" w:rsidRPr="00A26534" w:rsidRDefault="00260183" w:rsidP="00CF61EF">
            <w:pPr>
              <w:rPr>
                <w:rFonts w:ascii="Cambria" w:eastAsia="Times New Roman" w:hAnsi="Cambria"/>
                <w:sz w:val="12"/>
                <w:szCs w:val="12"/>
                <w:u w:val="single"/>
              </w:rPr>
            </w:pPr>
          </w:p>
        </w:tc>
        <w:tc>
          <w:tcPr>
            <w:tcW w:w="3119" w:type="dxa"/>
          </w:tcPr>
          <w:p w14:paraId="3DE0ECE2" w14:textId="5E3E3CD1" w:rsidR="0073774A" w:rsidRPr="00A26534" w:rsidRDefault="0073774A" w:rsidP="005F5B4A">
            <w:pPr>
              <w:rPr>
                <w:rFonts w:ascii="Cambria" w:hAnsi="Cambria"/>
                <w:sz w:val="24"/>
                <w:szCs w:val="24"/>
              </w:rPr>
            </w:pPr>
          </w:p>
        </w:tc>
      </w:tr>
      <w:tr w:rsidR="00CF61EF" w:rsidRPr="00A26534" w14:paraId="7B8EE89A" w14:textId="77777777" w:rsidTr="008367E6">
        <w:trPr>
          <w:trHeight w:val="841"/>
        </w:trPr>
        <w:tc>
          <w:tcPr>
            <w:tcW w:w="11199" w:type="dxa"/>
          </w:tcPr>
          <w:p w14:paraId="29F1572C" w14:textId="6CFA619D" w:rsidR="00CF61EF" w:rsidRPr="00A26534" w:rsidRDefault="0060606F" w:rsidP="00260183">
            <w:pPr>
              <w:rPr>
                <w:rFonts w:ascii="Cambria" w:eastAsia="Times New Roman" w:hAnsi="Cambria"/>
                <w:b/>
                <w:bCs/>
                <w:sz w:val="24"/>
                <w:szCs w:val="24"/>
              </w:rPr>
            </w:pPr>
            <w:r w:rsidRPr="00A26534">
              <w:rPr>
                <w:rFonts w:ascii="Cambria" w:eastAsia="Times New Roman" w:hAnsi="Cambria"/>
                <w:b/>
                <w:bCs/>
                <w:sz w:val="24"/>
                <w:szCs w:val="24"/>
              </w:rPr>
              <w:lastRenderedPageBreak/>
              <w:t>IASC Reference Group for Gender in Humanitarian Action</w:t>
            </w:r>
            <w:r w:rsidR="00CF61EF" w:rsidRPr="00A26534">
              <w:rPr>
                <w:rFonts w:ascii="Cambria" w:eastAsia="Times New Roman" w:hAnsi="Cambria"/>
                <w:b/>
                <w:bCs/>
                <w:sz w:val="24"/>
                <w:szCs w:val="24"/>
              </w:rPr>
              <w:t>:</w:t>
            </w:r>
          </w:p>
          <w:p w14:paraId="589B2DBF" w14:textId="77777777" w:rsidR="00936CA2" w:rsidRPr="00A26534" w:rsidRDefault="00936CA2" w:rsidP="00260183">
            <w:pPr>
              <w:rPr>
                <w:rFonts w:ascii="Cambria" w:eastAsia="Times New Roman" w:hAnsi="Cambria"/>
                <w:b/>
                <w:bCs/>
                <w:sz w:val="12"/>
                <w:szCs w:val="12"/>
              </w:rPr>
            </w:pPr>
          </w:p>
          <w:p w14:paraId="76FD81D6" w14:textId="07E5FF32" w:rsidR="0060606F" w:rsidRPr="00A26534" w:rsidRDefault="0060606F" w:rsidP="0060606F">
            <w:pPr>
              <w:rPr>
                <w:rFonts w:ascii="Cambria" w:eastAsia="Times New Roman" w:hAnsi="Cambria"/>
                <w:sz w:val="24"/>
                <w:szCs w:val="24"/>
              </w:rPr>
            </w:pPr>
            <w:r w:rsidRPr="00A26534">
              <w:rPr>
                <w:rFonts w:ascii="Cambria" w:eastAsia="Times New Roman" w:hAnsi="Cambria"/>
                <w:sz w:val="24"/>
                <w:szCs w:val="24"/>
              </w:rPr>
              <w:t>The Co-chairs of the IASC Reference Group for Gender in Humanitarian Action (GRG) briefed the Group on the ma</w:t>
            </w:r>
            <w:r w:rsidR="004A718B" w:rsidRPr="00A26534">
              <w:rPr>
                <w:rFonts w:ascii="Cambria" w:eastAsia="Times New Roman" w:hAnsi="Cambria"/>
                <w:sz w:val="24"/>
                <w:szCs w:val="24"/>
              </w:rPr>
              <w:t>n</w:t>
            </w:r>
            <w:r w:rsidRPr="00A26534">
              <w:rPr>
                <w:rFonts w:ascii="Cambria" w:eastAsia="Times New Roman" w:hAnsi="Cambria"/>
                <w:sz w:val="24"/>
                <w:szCs w:val="24"/>
              </w:rPr>
              <w:t>date and workstreams of the entity. Specifically, they highlighted the commitments of the humanitarian system (championed by the IASC) with respect to gender policy and gender mainstreaming, and GRG’s objectives and priorities. Ms. Pham and Ms. Lafreniere also recalled the two recommendations made by the 2018 report on the Accountability Framework with regard to the Global Clusters:</w:t>
            </w:r>
          </w:p>
          <w:p w14:paraId="521599E4" w14:textId="7F386085" w:rsidR="0060606F" w:rsidRPr="00A26534" w:rsidRDefault="0060606F" w:rsidP="0060606F">
            <w:pPr>
              <w:pStyle w:val="ListParagraph"/>
              <w:numPr>
                <w:ilvl w:val="0"/>
                <w:numId w:val="6"/>
              </w:numPr>
              <w:rPr>
                <w:rFonts w:ascii="Cambria" w:eastAsia="Times New Roman" w:hAnsi="Cambria"/>
                <w:sz w:val="24"/>
                <w:szCs w:val="24"/>
              </w:rPr>
            </w:pPr>
            <w:r w:rsidRPr="00A26534">
              <w:rPr>
                <w:rFonts w:ascii="Cambria" w:eastAsia="Times New Roman" w:hAnsi="Cambria"/>
                <w:sz w:val="24"/>
                <w:szCs w:val="24"/>
              </w:rPr>
              <w:t>be individually briefed on the content of the 2017 Gender Policy, so that they are informed of its content in terms of the standards and roles and responsibilities assigned to them so that any future product development adequately reflects that; and</w:t>
            </w:r>
          </w:p>
          <w:p w14:paraId="106EC7D5" w14:textId="7C3B0E4D" w:rsidR="0060606F" w:rsidRPr="00A26534" w:rsidRDefault="0060606F" w:rsidP="0060606F">
            <w:pPr>
              <w:pStyle w:val="ListParagraph"/>
              <w:numPr>
                <w:ilvl w:val="0"/>
                <w:numId w:val="6"/>
              </w:numPr>
              <w:rPr>
                <w:rFonts w:ascii="Cambria" w:eastAsia="Times New Roman" w:hAnsi="Cambria"/>
                <w:sz w:val="24"/>
                <w:szCs w:val="24"/>
              </w:rPr>
            </w:pPr>
            <w:r w:rsidRPr="00A26534">
              <w:rPr>
                <w:rFonts w:ascii="Cambria" w:eastAsia="Times New Roman" w:hAnsi="Cambria"/>
                <w:sz w:val="24"/>
                <w:szCs w:val="24"/>
              </w:rPr>
              <w:t xml:space="preserve">be briefed on the 2017 Gender Policy Accountability Framework mechanism, so that they are aware of their reporting obligations. </w:t>
            </w:r>
          </w:p>
          <w:p w14:paraId="71E6A55D" w14:textId="68EAD77A" w:rsidR="0060606F" w:rsidRPr="00A26534" w:rsidRDefault="000E5470" w:rsidP="00260183">
            <w:pPr>
              <w:rPr>
                <w:rFonts w:ascii="Cambria" w:eastAsia="Times New Roman" w:hAnsi="Cambria"/>
                <w:sz w:val="24"/>
                <w:szCs w:val="24"/>
                <w:u w:val="single"/>
              </w:rPr>
            </w:pPr>
            <w:r w:rsidRPr="00A26534">
              <w:rPr>
                <w:rFonts w:ascii="Cambria" w:eastAsia="Times New Roman" w:hAnsi="Cambria"/>
                <w:sz w:val="24"/>
                <w:szCs w:val="24"/>
              </w:rPr>
              <w:t xml:space="preserve">Lastly, the Co-chairs elaborated on the ongoing efforts for improved analysis of the existing </w:t>
            </w:r>
            <w:r w:rsidR="00A26534" w:rsidRPr="00A26534">
              <w:rPr>
                <w:rFonts w:ascii="Cambria" w:eastAsia="Times New Roman" w:hAnsi="Cambria"/>
                <w:sz w:val="24"/>
                <w:szCs w:val="24"/>
              </w:rPr>
              <w:t>programming</w:t>
            </w:r>
            <w:r w:rsidRPr="00A26534">
              <w:rPr>
                <w:rFonts w:ascii="Cambria" w:eastAsia="Times New Roman" w:hAnsi="Cambria"/>
                <w:sz w:val="24"/>
                <w:szCs w:val="24"/>
              </w:rPr>
              <w:t xml:space="preserve"> and for capturing and sharing good practice, mentioning the engagement with OPAG’s Results Groups and in HPC activities, including those related to the GHRP. They also encouraged submissions </w:t>
            </w:r>
            <w:r w:rsidR="004A718B" w:rsidRPr="00A26534">
              <w:rPr>
                <w:rFonts w:ascii="Cambria" w:eastAsia="Times New Roman" w:hAnsi="Cambria"/>
                <w:sz w:val="24"/>
                <w:szCs w:val="24"/>
              </w:rPr>
              <w:t xml:space="preserve">from the Global Clusters </w:t>
            </w:r>
            <w:r w:rsidRPr="00A26534">
              <w:rPr>
                <w:rFonts w:ascii="Cambria" w:eastAsia="Times New Roman" w:hAnsi="Cambria"/>
                <w:sz w:val="24"/>
                <w:szCs w:val="24"/>
              </w:rPr>
              <w:t xml:space="preserve">to the </w:t>
            </w:r>
            <w:r w:rsidR="004C6CC0" w:rsidRPr="00A26534">
              <w:rPr>
                <w:rFonts w:ascii="Cambria" w:eastAsia="Times New Roman" w:hAnsi="Cambria"/>
                <w:sz w:val="24"/>
                <w:szCs w:val="24"/>
              </w:rPr>
              <w:t xml:space="preserve">annual reports and the Cluster Self-Assessment on the Gender Policy </w:t>
            </w:r>
            <w:r w:rsidRPr="00A26534">
              <w:rPr>
                <w:rFonts w:ascii="Cambria" w:eastAsia="Times New Roman" w:hAnsi="Cambria"/>
                <w:sz w:val="24"/>
                <w:szCs w:val="24"/>
              </w:rPr>
              <w:t>(only five GCs contributed to the last report) and offered to work closely with GCCs to ensure the data is provided to the next iteration.</w:t>
            </w:r>
            <w:r w:rsidR="00AC15B2" w:rsidRPr="00A26534">
              <w:rPr>
                <w:rFonts w:ascii="Cambria" w:eastAsia="Times New Roman" w:hAnsi="Cambria"/>
                <w:sz w:val="24"/>
                <w:szCs w:val="24"/>
              </w:rPr>
              <w:t xml:space="preserve"> </w:t>
            </w:r>
            <w:r w:rsidR="004271E8" w:rsidRPr="00A26534">
              <w:rPr>
                <w:rFonts w:ascii="Cambria" w:eastAsia="Times New Roman" w:hAnsi="Cambria"/>
                <w:sz w:val="24"/>
                <w:szCs w:val="24"/>
              </w:rPr>
              <w:t xml:space="preserve">In fact, the GCCs still </w:t>
            </w:r>
            <w:r w:rsidR="00A26534" w:rsidRPr="00A26534">
              <w:rPr>
                <w:rFonts w:ascii="Cambria" w:eastAsia="Times New Roman" w:hAnsi="Cambria"/>
                <w:sz w:val="24"/>
                <w:szCs w:val="24"/>
              </w:rPr>
              <w:t>can</w:t>
            </w:r>
            <w:r w:rsidR="004271E8" w:rsidRPr="00A26534">
              <w:rPr>
                <w:rFonts w:ascii="Cambria" w:eastAsia="Times New Roman" w:hAnsi="Cambria"/>
                <w:sz w:val="24"/>
                <w:szCs w:val="24"/>
              </w:rPr>
              <w:t xml:space="preserve"> liaise with UN Women to ensure their feedback is properly reflected in this year’s report. </w:t>
            </w:r>
            <w:r w:rsidR="004271E8" w:rsidRPr="00A26534">
              <w:rPr>
                <w:rFonts w:ascii="Cambria" w:eastAsia="Times New Roman" w:hAnsi="Cambria"/>
                <w:sz w:val="24"/>
                <w:szCs w:val="24"/>
                <w:u w:val="single"/>
              </w:rPr>
              <w:t>The GCCG secretariat will follow up with the GRG Co-chairs to clarify deadlines for submission.</w:t>
            </w:r>
            <w:r w:rsidR="004C6CC0" w:rsidRPr="00A26534">
              <w:rPr>
                <w:rFonts w:ascii="Cambria" w:eastAsia="Times New Roman" w:hAnsi="Cambria"/>
                <w:sz w:val="24"/>
                <w:szCs w:val="24"/>
                <w:u w:val="single"/>
              </w:rPr>
              <w:t xml:space="preserve"> [The deadline was subsequently clarified as being 25 September – please see separate email on the subject]. </w:t>
            </w:r>
          </w:p>
          <w:p w14:paraId="5B434CED" w14:textId="3FEB0CBE" w:rsidR="000E5470" w:rsidRPr="00A26534" w:rsidRDefault="000E5470" w:rsidP="00260183">
            <w:pPr>
              <w:rPr>
                <w:rFonts w:ascii="Cambria" w:eastAsia="Times New Roman" w:hAnsi="Cambria"/>
                <w:sz w:val="12"/>
                <w:szCs w:val="12"/>
              </w:rPr>
            </w:pPr>
          </w:p>
          <w:p w14:paraId="3754BD66" w14:textId="62A39168" w:rsidR="000E5470" w:rsidRPr="00A26534" w:rsidRDefault="004A718B" w:rsidP="00260183">
            <w:pPr>
              <w:rPr>
                <w:rFonts w:ascii="Cambria" w:eastAsia="Times New Roman" w:hAnsi="Cambria"/>
                <w:sz w:val="24"/>
                <w:szCs w:val="24"/>
              </w:rPr>
            </w:pPr>
            <w:r w:rsidRPr="00A26534">
              <w:rPr>
                <w:rFonts w:ascii="Cambria" w:eastAsia="Times New Roman" w:hAnsi="Cambria"/>
                <w:sz w:val="24"/>
                <w:szCs w:val="24"/>
              </w:rPr>
              <w:t xml:space="preserve">The </w:t>
            </w:r>
            <w:r w:rsidR="000E5470" w:rsidRPr="00A26534">
              <w:rPr>
                <w:rFonts w:ascii="Cambria" w:eastAsia="Times New Roman" w:hAnsi="Cambria"/>
                <w:sz w:val="24"/>
                <w:szCs w:val="24"/>
              </w:rPr>
              <w:t xml:space="preserve">Global Shelter Cluster Co-coordinator reported that several donors </w:t>
            </w:r>
            <w:r w:rsidRPr="00A26534">
              <w:rPr>
                <w:rFonts w:ascii="Cambria" w:eastAsia="Times New Roman" w:hAnsi="Cambria"/>
                <w:sz w:val="24"/>
                <w:szCs w:val="24"/>
              </w:rPr>
              <w:t xml:space="preserve">had </w:t>
            </w:r>
            <w:r w:rsidR="000E5470" w:rsidRPr="00A26534">
              <w:rPr>
                <w:rFonts w:ascii="Cambria" w:eastAsia="Times New Roman" w:hAnsi="Cambria"/>
                <w:sz w:val="24"/>
                <w:szCs w:val="24"/>
              </w:rPr>
              <w:t xml:space="preserve">expressed interest in </w:t>
            </w:r>
            <w:r w:rsidR="0001148D" w:rsidRPr="00A26534">
              <w:rPr>
                <w:rFonts w:ascii="Cambria" w:eastAsia="Times New Roman" w:hAnsi="Cambria"/>
                <w:sz w:val="24"/>
                <w:szCs w:val="24"/>
              </w:rPr>
              <w:t>obtaining an analysis of the</w:t>
            </w:r>
            <w:r w:rsidR="000E5470" w:rsidRPr="00A26534">
              <w:rPr>
                <w:rFonts w:ascii="Cambria" w:eastAsia="Times New Roman" w:hAnsi="Cambria"/>
                <w:sz w:val="24"/>
                <w:szCs w:val="24"/>
              </w:rPr>
              <w:t xml:space="preserve"> diversity, including gender balance, of </w:t>
            </w:r>
            <w:r w:rsidR="0001148D" w:rsidRPr="00A26534">
              <w:rPr>
                <w:rFonts w:ascii="Cambria" w:eastAsia="Times New Roman" w:hAnsi="Cambria"/>
                <w:sz w:val="24"/>
                <w:szCs w:val="24"/>
              </w:rPr>
              <w:t>Shelter</w:t>
            </w:r>
            <w:r w:rsidR="000E5470" w:rsidRPr="00A26534">
              <w:rPr>
                <w:rFonts w:ascii="Cambria" w:eastAsia="Times New Roman" w:hAnsi="Cambria"/>
                <w:sz w:val="24"/>
                <w:szCs w:val="24"/>
              </w:rPr>
              <w:t xml:space="preserve"> teams</w:t>
            </w:r>
            <w:r w:rsidR="0001148D" w:rsidRPr="00A26534">
              <w:rPr>
                <w:rFonts w:ascii="Cambria" w:eastAsia="Times New Roman" w:hAnsi="Cambria"/>
                <w:sz w:val="24"/>
                <w:szCs w:val="24"/>
              </w:rPr>
              <w:t xml:space="preserve">, and the cluster made commitments in this regard that it will need to deliver on. </w:t>
            </w:r>
          </w:p>
          <w:p w14:paraId="67C2AD0A" w14:textId="32754175" w:rsidR="0001148D" w:rsidRPr="00A26534" w:rsidRDefault="0001148D" w:rsidP="00260183">
            <w:pPr>
              <w:rPr>
                <w:rFonts w:ascii="Cambria" w:eastAsia="Times New Roman" w:hAnsi="Cambria"/>
                <w:sz w:val="12"/>
                <w:szCs w:val="12"/>
              </w:rPr>
            </w:pPr>
          </w:p>
          <w:p w14:paraId="44CEA1A2" w14:textId="08F682BF" w:rsidR="0001148D" w:rsidRPr="00A26534" w:rsidRDefault="004A718B" w:rsidP="00260183">
            <w:pPr>
              <w:rPr>
                <w:rFonts w:ascii="Cambria" w:eastAsia="Times New Roman" w:hAnsi="Cambria"/>
                <w:sz w:val="24"/>
                <w:szCs w:val="24"/>
              </w:rPr>
            </w:pPr>
            <w:r w:rsidRPr="00A26534">
              <w:rPr>
                <w:rFonts w:ascii="Cambria" w:eastAsia="Times New Roman" w:hAnsi="Cambria"/>
                <w:sz w:val="24"/>
                <w:szCs w:val="24"/>
              </w:rPr>
              <w:t xml:space="preserve">The </w:t>
            </w:r>
            <w:r w:rsidR="0001148D" w:rsidRPr="00A26534">
              <w:rPr>
                <w:rFonts w:ascii="Cambria" w:eastAsia="Times New Roman" w:hAnsi="Cambria"/>
                <w:sz w:val="24"/>
                <w:szCs w:val="24"/>
              </w:rPr>
              <w:t>Global CCCM Cluster Co-coordinator reported her cluster’s engagement, as part of the Call to Action, on GBV prevention and mitigation, but also staffing and team composition in the field (camp staffing and community engagement support: inclusion, women’s groups, etc.), and mainstreaming of gender into any CCCM activities over the past 4-5 years. She informed that gender considerations are also being reflected in the Camp Management Standards which are currently being revised.</w:t>
            </w:r>
          </w:p>
          <w:p w14:paraId="2EB0C7A0" w14:textId="77777777" w:rsidR="0001148D" w:rsidRPr="00A26534" w:rsidRDefault="0001148D" w:rsidP="00260183">
            <w:pPr>
              <w:rPr>
                <w:rFonts w:ascii="Cambria" w:eastAsia="Times New Roman" w:hAnsi="Cambria"/>
                <w:sz w:val="12"/>
                <w:szCs w:val="12"/>
              </w:rPr>
            </w:pPr>
          </w:p>
          <w:p w14:paraId="575D03C3" w14:textId="681A514C" w:rsidR="0001148D" w:rsidRPr="00A26534" w:rsidRDefault="0001148D" w:rsidP="00260183">
            <w:pPr>
              <w:rPr>
                <w:rFonts w:ascii="Cambria" w:eastAsia="Times New Roman" w:hAnsi="Cambria"/>
                <w:sz w:val="24"/>
                <w:szCs w:val="24"/>
              </w:rPr>
            </w:pPr>
            <w:r w:rsidRPr="00A26534">
              <w:rPr>
                <w:rFonts w:ascii="Cambria" w:eastAsia="Times New Roman" w:hAnsi="Cambria"/>
                <w:sz w:val="24"/>
                <w:szCs w:val="24"/>
              </w:rPr>
              <w:lastRenderedPageBreak/>
              <w:t xml:space="preserve">Ms. Chase, </w:t>
            </w:r>
            <w:r w:rsidR="004A718B" w:rsidRPr="00A26534">
              <w:rPr>
                <w:rFonts w:ascii="Cambria" w:eastAsia="Times New Roman" w:hAnsi="Cambria"/>
                <w:sz w:val="24"/>
                <w:szCs w:val="24"/>
              </w:rPr>
              <w:t xml:space="preserve">the </w:t>
            </w:r>
            <w:r w:rsidRPr="00A26534">
              <w:rPr>
                <w:rFonts w:ascii="Cambria" w:eastAsia="Times New Roman" w:hAnsi="Cambria"/>
                <w:sz w:val="24"/>
                <w:szCs w:val="24"/>
              </w:rPr>
              <w:t xml:space="preserve">Global GBV AOR Coordinator, recalled the commitment made </w:t>
            </w:r>
            <w:r w:rsidR="000A6D66" w:rsidRPr="00A26534">
              <w:rPr>
                <w:rFonts w:ascii="Cambria" w:eastAsia="Times New Roman" w:hAnsi="Cambria"/>
                <w:sz w:val="24"/>
                <w:szCs w:val="24"/>
              </w:rPr>
              <w:t xml:space="preserve">for a greater coordination of </w:t>
            </w:r>
            <w:r w:rsidRPr="00A26534">
              <w:rPr>
                <w:rFonts w:ascii="Cambria" w:eastAsia="Times New Roman" w:hAnsi="Cambria"/>
                <w:sz w:val="24"/>
                <w:szCs w:val="24"/>
              </w:rPr>
              <w:t>gender and GBV act</w:t>
            </w:r>
            <w:r w:rsidR="000A6D66" w:rsidRPr="00A26534">
              <w:rPr>
                <w:rFonts w:ascii="Cambria" w:eastAsia="Times New Roman" w:hAnsi="Cambria"/>
                <w:sz w:val="24"/>
                <w:szCs w:val="24"/>
              </w:rPr>
              <w:t>ivities, also with PSEA. She also informed that the GBV AOR took stock, in the context of localization, of the capacity and inclusion of women-led organisations and continues to engage in advocacy in this regard.</w:t>
            </w:r>
          </w:p>
          <w:p w14:paraId="0AFF774F" w14:textId="0590C973" w:rsidR="000A6D66" w:rsidRPr="00A26534" w:rsidRDefault="000A6D66" w:rsidP="00260183">
            <w:pPr>
              <w:rPr>
                <w:rFonts w:ascii="Cambria" w:eastAsia="Times New Roman" w:hAnsi="Cambria"/>
                <w:sz w:val="12"/>
                <w:szCs w:val="12"/>
              </w:rPr>
            </w:pPr>
          </w:p>
          <w:p w14:paraId="0F2711EE" w14:textId="21CF11D3" w:rsidR="00936CA2" w:rsidRPr="00A26534" w:rsidRDefault="000A6D66" w:rsidP="00260183">
            <w:pPr>
              <w:rPr>
                <w:rFonts w:ascii="Cambria" w:eastAsia="Times New Roman" w:hAnsi="Cambria"/>
                <w:sz w:val="24"/>
                <w:szCs w:val="24"/>
              </w:rPr>
            </w:pPr>
            <w:r w:rsidRPr="00A26534">
              <w:rPr>
                <w:rFonts w:ascii="Cambria" w:eastAsia="Times New Roman" w:hAnsi="Cambria"/>
                <w:sz w:val="24"/>
                <w:szCs w:val="24"/>
              </w:rPr>
              <w:t xml:space="preserve">In response to </w:t>
            </w:r>
            <w:r w:rsidR="004A718B" w:rsidRPr="00A26534">
              <w:rPr>
                <w:rFonts w:ascii="Cambria" w:eastAsia="Times New Roman" w:hAnsi="Cambria"/>
                <w:sz w:val="24"/>
                <w:szCs w:val="24"/>
              </w:rPr>
              <w:t xml:space="preserve">the </w:t>
            </w:r>
            <w:r w:rsidRPr="00A26534">
              <w:rPr>
                <w:rFonts w:ascii="Cambria" w:eastAsia="Times New Roman" w:hAnsi="Cambria"/>
                <w:sz w:val="24"/>
                <w:szCs w:val="24"/>
              </w:rPr>
              <w:t xml:space="preserve">GCCG Chair’s question regarding the existing guidance on gender and gender mainstreaming, Ms. Pham informed that the Gender Handbook is the most comprehensive reference guide, adding that she </w:t>
            </w:r>
            <w:r w:rsidR="004A718B" w:rsidRPr="00A26534">
              <w:rPr>
                <w:rFonts w:ascii="Cambria" w:eastAsia="Times New Roman" w:hAnsi="Cambria"/>
                <w:sz w:val="24"/>
                <w:szCs w:val="24"/>
              </w:rPr>
              <w:t>wa</w:t>
            </w:r>
            <w:r w:rsidRPr="00A26534">
              <w:rPr>
                <w:rFonts w:ascii="Cambria" w:eastAsia="Times New Roman" w:hAnsi="Cambria"/>
                <w:sz w:val="24"/>
                <w:szCs w:val="24"/>
              </w:rPr>
              <w:t xml:space="preserve">s </w:t>
            </w:r>
            <w:r w:rsidR="004A718B" w:rsidRPr="00A26534">
              <w:rPr>
                <w:rFonts w:ascii="Cambria" w:eastAsia="Times New Roman" w:hAnsi="Cambria"/>
                <w:sz w:val="24"/>
                <w:szCs w:val="24"/>
              </w:rPr>
              <w:t xml:space="preserve">also </w:t>
            </w:r>
            <w:r w:rsidRPr="00A26534">
              <w:rPr>
                <w:rFonts w:ascii="Cambria" w:eastAsia="Times New Roman" w:hAnsi="Cambria"/>
                <w:sz w:val="24"/>
                <w:szCs w:val="24"/>
              </w:rPr>
              <w:t>aware of cluster-specific gender (and age, disability) guidance and standards – e.g.: WASH. In her view, the issue is not about the lack of policies or guidelines, but rather about the lack of consistenc</w:t>
            </w:r>
            <w:r w:rsidR="004A718B" w:rsidRPr="00A26534">
              <w:rPr>
                <w:rFonts w:ascii="Cambria" w:eastAsia="Times New Roman" w:hAnsi="Cambria"/>
                <w:sz w:val="24"/>
                <w:szCs w:val="24"/>
              </w:rPr>
              <w:t>y</w:t>
            </w:r>
            <w:r w:rsidRPr="00A26534">
              <w:rPr>
                <w:rFonts w:ascii="Cambria" w:eastAsia="Times New Roman" w:hAnsi="Cambria"/>
                <w:sz w:val="24"/>
                <w:szCs w:val="24"/>
              </w:rPr>
              <w:t xml:space="preserve"> and accountability in adherence to the existing norms. </w:t>
            </w:r>
            <w:r w:rsidR="00AC15B2" w:rsidRPr="00A26534">
              <w:rPr>
                <w:rFonts w:ascii="Cambria" w:eastAsia="Times New Roman" w:hAnsi="Cambria"/>
                <w:sz w:val="24"/>
                <w:szCs w:val="24"/>
              </w:rPr>
              <w:t xml:space="preserve">She concluded saying that the IASC Gender evaluation will hopefully help to build momentum for greater attention to gender aspects of humanitarian action. Ms. Sophonpanich (Global CCCM Cluster) concurred with Ms. Pham, adding that, although significant progress has already been made on finding common language and common commitments, and ensuring gender considerations are embedded in planning and delivery, measuring the impact, and hence ensuring accountability, remains a challenge. </w:t>
            </w:r>
          </w:p>
          <w:p w14:paraId="6226919B" w14:textId="7CACD5AD" w:rsidR="000A6D66" w:rsidRPr="00A26534" w:rsidRDefault="000A6D66" w:rsidP="00260183">
            <w:pPr>
              <w:rPr>
                <w:rFonts w:ascii="Cambria" w:eastAsia="Times New Roman" w:hAnsi="Cambria"/>
                <w:sz w:val="12"/>
                <w:szCs w:val="12"/>
              </w:rPr>
            </w:pPr>
          </w:p>
          <w:p w14:paraId="0D8E3D0B" w14:textId="4146A024" w:rsidR="000A6D66" w:rsidRPr="00A26534" w:rsidRDefault="004271E8" w:rsidP="00260183">
            <w:pPr>
              <w:rPr>
                <w:rFonts w:ascii="Cambria" w:eastAsia="Times New Roman" w:hAnsi="Cambria"/>
                <w:sz w:val="24"/>
                <w:szCs w:val="24"/>
              </w:rPr>
            </w:pPr>
            <w:r w:rsidRPr="00A26534">
              <w:rPr>
                <w:rFonts w:ascii="Cambria" w:eastAsia="Times New Roman" w:hAnsi="Cambria"/>
                <w:sz w:val="24"/>
                <w:szCs w:val="24"/>
              </w:rPr>
              <w:t xml:space="preserve">Referring to the strong commitment of the Global Logistics Cluster, and its Cluster Lead Agency, in gender mainstreaming (gender marker, etc.), Mr. Price pointed out that not all clusters are involved in direct delivery and contact with the beneficiaries, but instead deal with implementing partners. As such, they are bound by HR policies and standards of the implementing partners, but remain committed to </w:t>
            </w:r>
            <w:r w:rsidR="00345400" w:rsidRPr="00A26534">
              <w:rPr>
                <w:rFonts w:ascii="Cambria" w:eastAsia="Times New Roman" w:hAnsi="Cambria"/>
                <w:sz w:val="24"/>
                <w:szCs w:val="24"/>
              </w:rPr>
              <w:t>gender considerations</w:t>
            </w:r>
            <w:r w:rsidRPr="00A26534">
              <w:rPr>
                <w:rFonts w:ascii="Cambria" w:eastAsia="Times New Roman" w:hAnsi="Cambria"/>
                <w:sz w:val="24"/>
                <w:szCs w:val="24"/>
              </w:rPr>
              <w:t xml:space="preserve"> and</w:t>
            </w:r>
            <w:r w:rsidR="00345400" w:rsidRPr="00A26534">
              <w:rPr>
                <w:rFonts w:ascii="Cambria" w:eastAsia="Times New Roman" w:hAnsi="Cambria"/>
                <w:sz w:val="24"/>
                <w:szCs w:val="24"/>
              </w:rPr>
              <w:t>, in fact,</w:t>
            </w:r>
            <w:r w:rsidRPr="00A26534">
              <w:rPr>
                <w:rFonts w:ascii="Cambria" w:eastAsia="Times New Roman" w:hAnsi="Cambria"/>
                <w:sz w:val="24"/>
                <w:szCs w:val="24"/>
              </w:rPr>
              <w:t xml:space="preserve"> include implementing partners </w:t>
            </w:r>
            <w:r w:rsidR="00345400" w:rsidRPr="00A26534">
              <w:rPr>
                <w:rFonts w:ascii="Cambria" w:eastAsia="Times New Roman" w:hAnsi="Cambria"/>
                <w:sz w:val="24"/>
                <w:szCs w:val="24"/>
              </w:rPr>
              <w:t>while</w:t>
            </w:r>
            <w:r w:rsidRPr="00A26534">
              <w:rPr>
                <w:rFonts w:ascii="Cambria" w:eastAsia="Times New Roman" w:hAnsi="Cambria"/>
                <w:sz w:val="24"/>
                <w:szCs w:val="24"/>
              </w:rPr>
              <w:t xml:space="preserve"> reporting on </w:t>
            </w:r>
            <w:r w:rsidR="00345400" w:rsidRPr="00A26534">
              <w:rPr>
                <w:rFonts w:ascii="Cambria" w:eastAsia="Times New Roman" w:hAnsi="Cambria"/>
                <w:sz w:val="24"/>
                <w:szCs w:val="24"/>
              </w:rPr>
              <w:t xml:space="preserve">achieving </w:t>
            </w:r>
            <w:r w:rsidRPr="00A26534">
              <w:rPr>
                <w:rFonts w:ascii="Cambria" w:eastAsia="Times New Roman" w:hAnsi="Cambria"/>
                <w:sz w:val="24"/>
                <w:szCs w:val="24"/>
              </w:rPr>
              <w:t>gender</w:t>
            </w:r>
            <w:r w:rsidR="00345400" w:rsidRPr="00A26534">
              <w:rPr>
                <w:rFonts w:ascii="Cambria" w:eastAsia="Times New Roman" w:hAnsi="Cambria"/>
                <w:sz w:val="24"/>
                <w:szCs w:val="24"/>
              </w:rPr>
              <w:t xml:space="preserve"> </w:t>
            </w:r>
            <w:r w:rsidR="00A26534" w:rsidRPr="00A26534">
              <w:rPr>
                <w:rFonts w:ascii="Cambria" w:eastAsia="Times New Roman" w:hAnsi="Cambria"/>
                <w:sz w:val="24"/>
                <w:szCs w:val="24"/>
              </w:rPr>
              <w:t>commitments</w:t>
            </w:r>
            <w:r w:rsidR="00345400" w:rsidRPr="00A26534">
              <w:rPr>
                <w:rFonts w:ascii="Cambria" w:eastAsia="Times New Roman" w:hAnsi="Cambria"/>
                <w:sz w:val="24"/>
                <w:szCs w:val="24"/>
              </w:rPr>
              <w:t xml:space="preserve"> at the institutional level</w:t>
            </w:r>
            <w:r w:rsidRPr="00A26534">
              <w:rPr>
                <w:rFonts w:ascii="Cambria" w:eastAsia="Times New Roman" w:hAnsi="Cambria"/>
                <w:sz w:val="24"/>
                <w:szCs w:val="24"/>
              </w:rPr>
              <w:t xml:space="preserve">. </w:t>
            </w:r>
            <w:r w:rsidR="00345400" w:rsidRPr="00A26534">
              <w:rPr>
                <w:rFonts w:ascii="Cambria" w:eastAsia="Times New Roman" w:hAnsi="Cambria"/>
                <w:sz w:val="24"/>
                <w:szCs w:val="24"/>
              </w:rPr>
              <w:t xml:space="preserve">Mr. Price pointed out that, while contracts with implementing partners do include specific requirements with respect to gender standards and gender mainstreaming, it is very challenging for CLAs and GCs to be liable for compliance, especially by smaller / local partners, which might not have the same capacities as well-established, global humanitarian </w:t>
            </w:r>
            <w:r w:rsidR="00A26534" w:rsidRPr="00A26534">
              <w:rPr>
                <w:rFonts w:ascii="Cambria" w:eastAsia="Times New Roman" w:hAnsi="Cambria"/>
                <w:sz w:val="24"/>
                <w:szCs w:val="24"/>
              </w:rPr>
              <w:t>organizations</w:t>
            </w:r>
            <w:r w:rsidR="00345400" w:rsidRPr="00A26534">
              <w:rPr>
                <w:rFonts w:ascii="Cambria" w:eastAsia="Times New Roman" w:hAnsi="Cambria"/>
                <w:sz w:val="24"/>
                <w:szCs w:val="24"/>
              </w:rPr>
              <w:t xml:space="preserve">. In his view, there should be a way of taking this into account while measuring </w:t>
            </w:r>
            <w:r w:rsidR="00A26534" w:rsidRPr="00A26534">
              <w:rPr>
                <w:rFonts w:ascii="Cambria" w:eastAsia="Times New Roman" w:hAnsi="Cambria"/>
                <w:sz w:val="24"/>
                <w:szCs w:val="24"/>
              </w:rPr>
              <w:t>fulfilment</w:t>
            </w:r>
            <w:r w:rsidR="00345400" w:rsidRPr="00A26534">
              <w:rPr>
                <w:rFonts w:ascii="Cambria" w:eastAsia="Times New Roman" w:hAnsi="Cambria"/>
                <w:sz w:val="24"/>
                <w:szCs w:val="24"/>
              </w:rPr>
              <w:t xml:space="preserve"> of gender commitments, perhaps even through a development of a “gender score card.” </w:t>
            </w:r>
          </w:p>
          <w:p w14:paraId="069D5FE7" w14:textId="5E74D73D" w:rsidR="00345400" w:rsidRPr="00A26534" w:rsidRDefault="00345400" w:rsidP="00260183">
            <w:pPr>
              <w:rPr>
                <w:rFonts w:ascii="Cambria" w:eastAsia="Times New Roman" w:hAnsi="Cambria"/>
                <w:sz w:val="12"/>
                <w:szCs w:val="12"/>
              </w:rPr>
            </w:pPr>
          </w:p>
          <w:p w14:paraId="43723373" w14:textId="032A0288" w:rsidR="00345400" w:rsidRPr="00A26534" w:rsidRDefault="0051765D" w:rsidP="00260183">
            <w:pPr>
              <w:rPr>
                <w:rFonts w:ascii="Cambria" w:eastAsia="Times New Roman" w:hAnsi="Cambria"/>
                <w:sz w:val="24"/>
                <w:szCs w:val="24"/>
              </w:rPr>
            </w:pPr>
            <w:r w:rsidRPr="00A26534">
              <w:rPr>
                <w:rFonts w:ascii="Cambria" w:eastAsia="Times New Roman" w:hAnsi="Cambria"/>
                <w:sz w:val="24"/>
                <w:szCs w:val="24"/>
              </w:rPr>
              <w:t xml:space="preserve">In closing, the GCCG Chair suggested the GRG Co-chairs meet with the Group again once the IASC Gender evaluation </w:t>
            </w:r>
            <w:r w:rsidR="004A718B" w:rsidRPr="00A26534">
              <w:rPr>
                <w:rFonts w:ascii="Cambria" w:eastAsia="Times New Roman" w:hAnsi="Cambria"/>
                <w:sz w:val="24"/>
                <w:szCs w:val="24"/>
              </w:rPr>
              <w:t>wa</w:t>
            </w:r>
            <w:r w:rsidRPr="00A26534">
              <w:rPr>
                <w:rFonts w:ascii="Cambria" w:eastAsia="Times New Roman" w:hAnsi="Cambria"/>
                <w:sz w:val="24"/>
                <w:szCs w:val="24"/>
              </w:rPr>
              <w:t xml:space="preserve">s completed to discuss the findings and recommendations and, specifically, what they mean for the work of global and in-country clusters. Ms. Pham added that the GCCs should use the HPC 2021 as an opportunity to implement gender and GBV commitments through greater analysis and better planning, </w:t>
            </w:r>
            <w:r w:rsidRPr="00A26534">
              <w:rPr>
                <w:rFonts w:ascii="Cambria" w:eastAsia="Times New Roman" w:hAnsi="Cambria"/>
                <w:sz w:val="24"/>
                <w:szCs w:val="24"/>
              </w:rPr>
              <w:lastRenderedPageBreak/>
              <w:t>while Ms. Lafreniere reminded that significant resources, including analyses, for specific countries were available to (global) cluster coordinators to facilitate planning.</w:t>
            </w:r>
          </w:p>
          <w:p w14:paraId="1EDCA477" w14:textId="53CD89AA" w:rsidR="000A6D66" w:rsidRPr="00A26534" w:rsidRDefault="000A6D66" w:rsidP="00260183">
            <w:pPr>
              <w:rPr>
                <w:rFonts w:ascii="Cambria" w:eastAsia="Times New Roman" w:hAnsi="Cambria"/>
                <w:b/>
                <w:bCs/>
                <w:sz w:val="12"/>
                <w:szCs w:val="12"/>
              </w:rPr>
            </w:pPr>
          </w:p>
        </w:tc>
        <w:tc>
          <w:tcPr>
            <w:tcW w:w="3119" w:type="dxa"/>
          </w:tcPr>
          <w:p w14:paraId="299307F3" w14:textId="77777777" w:rsidR="00CF61EF" w:rsidRPr="00A26534" w:rsidRDefault="00CF61EF" w:rsidP="005F5B4A">
            <w:pPr>
              <w:rPr>
                <w:rFonts w:ascii="Cambria" w:hAnsi="Cambria"/>
                <w:sz w:val="24"/>
                <w:szCs w:val="24"/>
              </w:rPr>
            </w:pPr>
          </w:p>
          <w:p w14:paraId="33112E07" w14:textId="77777777" w:rsidR="00A26534" w:rsidRPr="00A26534" w:rsidRDefault="00A26534" w:rsidP="005F5B4A">
            <w:pPr>
              <w:rPr>
                <w:rFonts w:ascii="Cambria" w:hAnsi="Cambria"/>
                <w:sz w:val="12"/>
                <w:szCs w:val="12"/>
              </w:rPr>
            </w:pPr>
          </w:p>
          <w:p w14:paraId="4DDC8D3E" w14:textId="5C138629" w:rsidR="00C32331" w:rsidRPr="00A26534" w:rsidRDefault="00A26534" w:rsidP="00A26534">
            <w:pPr>
              <w:rPr>
                <w:rFonts w:ascii="Cambria" w:hAnsi="Cambria"/>
                <w:sz w:val="24"/>
                <w:szCs w:val="24"/>
              </w:rPr>
            </w:pPr>
            <w:proofErr w:type="spellStart"/>
            <w:r>
              <w:rPr>
                <w:rFonts w:ascii="Cambria" w:hAnsi="Cambria"/>
                <w:sz w:val="24"/>
                <w:szCs w:val="24"/>
              </w:rPr>
              <w:t>i</w:t>
            </w:r>
            <w:proofErr w:type="spellEnd"/>
            <w:r>
              <w:rPr>
                <w:rFonts w:ascii="Cambria" w:hAnsi="Cambria"/>
                <w:sz w:val="24"/>
                <w:szCs w:val="24"/>
              </w:rPr>
              <w:t xml:space="preserve">) </w:t>
            </w:r>
            <w:r w:rsidR="004C6CC0" w:rsidRPr="00A26534">
              <w:rPr>
                <w:rFonts w:ascii="Cambria" w:hAnsi="Cambria"/>
                <w:sz w:val="24"/>
                <w:szCs w:val="24"/>
              </w:rPr>
              <w:t>Global Clusters to provide inputs for the Cluster Self-Assessment on the Gender Policy by 25 September</w:t>
            </w:r>
            <w:r>
              <w:rPr>
                <w:rFonts w:ascii="Cambria" w:hAnsi="Cambria"/>
                <w:sz w:val="24"/>
                <w:szCs w:val="24"/>
              </w:rPr>
              <w:t>;</w:t>
            </w:r>
          </w:p>
          <w:p w14:paraId="66A75499" w14:textId="77777777" w:rsidR="00C32331" w:rsidRPr="00A26534" w:rsidRDefault="00C32331" w:rsidP="005F5B4A">
            <w:pPr>
              <w:rPr>
                <w:rFonts w:ascii="Cambria" w:hAnsi="Cambria"/>
                <w:sz w:val="24"/>
                <w:szCs w:val="24"/>
              </w:rPr>
            </w:pPr>
          </w:p>
          <w:p w14:paraId="19D6A8B0" w14:textId="77777777" w:rsidR="00C32331" w:rsidRPr="00A26534" w:rsidRDefault="00C32331" w:rsidP="005F5B4A">
            <w:pPr>
              <w:rPr>
                <w:rFonts w:ascii="Cambria" w:hAnsi="Cambria"/>
                <w:sz w:val="24"/>
                <w:szCs w:val="24"/>
              </w:rPr>
            </w:pPr>
          </w:p>
          <w:p w14:paraId="6161DB4A" w14:textId="77777777" w:rsidR="00C32331" w:rsidRPr="00A26534" w:rsidRDefault="00C32331" w:rsidP="005F5B4A">
            <w:pPr>
              <w:rPr>
                <w:rFonts w:ascii="Cambria" w:hAnsi="Cambria"/>
                <w:sz w:val="24"/>
                <w:szCs w:val="24"/>
              </w:rPr>
            </w:pPr>
          </w:p>
          <w:p w14:paraId="1C7FB10B" w14:textId="77777777" w:rsidR="00C32331" w:rsidRPr="00A26534" w:rsidRDefault="00C32331" w:rsidP="005F5B4A">
            <w:pPr>
              <w:rPr>
                <w:rFonts w:ascii="Cambria" w:hAnsi="Cambria"/>
                <w:sz w:val="24"/>
                <w:szCs w:val="24"/>
              </w:rPr>
            </w:pPr>
          </w:p>
          <w:p w14:paraId="45AB366F" w14:textId="77777777" w:rsidR="00C32331" w:rsidRPr="00A26534" w:rsidRDefault="00C32331" w:rsidP="005F5B4A">
            <w:pPr>
              <w:rPr>
                <w:rFonts w:ascii="Cambria" w:hAnsi="Cambria"/>
                <w:sz w:val="24"/>
                <w:szCs w:val="24"/>
              </w:rPr>
            </w:pPr>
          </w:p>
          <w:p w14:paraId="390F53D8" w14:textId="77777777" w:rsidR="00C32331" w:rsidRPr="00A26534" w:rsidRDefault="00C32331" w:rsidP="005F5B4A">
            <w:pPr>
              <w:rPr>
                <w:rFonts w:ascii="Cambria" w:hAnsi="Cambria"/>
                <w:sz w:val="24"/>
                <w:szCs w:val="24"/>
              </w:rPr>
            </w:pPr>
          </w:p>
          <w:p w14:paraId="3B8CA6B7" w14:textId="77777777" w:rsidR="00C32331" w:rsidRPr="00A26534" w:rsidRDefault="00C32331" w:rsidP="005F5B4A">
            <w:pPr>
              <w:rPr>
                <w:rFonts w:ascii="Cambria" w:hAnsi="Cambria"/>
                <w:sz w:val="24"/>
                <w:szCs w:val="24"/>
              </w:rPr>
            </w:pPr>
          </w:p>
          <w:p w14:paraId="65CD1771" w14:textId="77777777" w:rsidR="00C32331" w:rsidRPr="00A26534" w:rsidRDefault="00C32331" w:rsidP="005F5B4A">
            <w:pPr>
              <w:rPr>
                <w:rFonts w:ascii="Cambria" w:hAnsi="Cambria"/>
                <w:sz w:val="24"/>
                <w:szCs w:val="24"/>
              </w:rPr>
            </w:pPr>
          </w:p>
          <w:p w14:paraId="63959DC5" w14:textId="77777777" w:rsidR="00C32331" w:rsidRPr="00A26534" w:rsidRDefault="00C32331" w:rsidP="005F5B4A">
            <w:pPr>
              <w:rPr>
                <w:rFonts w:ascii="Cambria" w:hAnsi="Cambria"/>
                <w:sz w:val="24"/>
                <w:szCs w:val="24"/>
              </w:rPr>
            </w:pPr>
          </w:p>
          <w:p w14:paraId="1165B11F" w14:textId="77777777" w:rsidR="00C32331" w:rsidRPr="00A26534" w:rsidRDefault="00C32331" w:rsidP="005F5B4A">
            <w:pPr>
              <w:rPr>
                <w:rFonts w:ascii="Cambria" w:hAnsi="Cambria"/>
                <w:sz w:val="24"/>
                <w:szCs w:val="24"/>
              </w:rPr>
            </w:pPr>
          </w:p>
          <w:p w14:paraId="5041875D" w14:textId="77777777" w:rsidR="00C32331" w:rsidRPr="00A26534" w:rsidRDefault="00C32331" w:rsidP="005F5B4A">
            <w:pPr>
              <w:rPr>
                <w:rFonts w:ascii="Cambria" w:hAnsi="Cambria"/>
                <w:sz w:val="24"/>
                <w:szCs w:val="24"/>
              </w:rPr>
            </w:pPr>
          </w:p>
          <w:p w14:paraId="0D0CF632" w14:textId="77777777" w:rsidR="00C32331" w:rsidRPr="00A26534" w:rsidRDefault="00C32331" w:rsidP="005F5B4A">
            <w:pPr>
              <w:rPr>
                <w:rFonts w:ascii="Cambria" w:hAnsi="Cambria"/>
                <w:sz w:val="24"/>
                <w:szCs w:val="24"/>
              </w:rPr>
            </w:pPr>
          </w:p>
          <w:p w14:paraId="49EE6ADF" w14:textId="77777777" w:rsidR="00C32331" w:rsidRPr="00A26534" w:rsidRDefault="00C32331" w:rsidP="005F5B4A">
            <w:pPr>
              <w:rPr>
                <w:rFonts w:ascii="Cambria" w:hAnsi="Cambria"/>
                <w:sz w:val="24"/>
                <w:szCs w:val="24"/>
              </w:rPr>
            </w:pPr>
          </w:p>
          <w:p w14:paraId="02280C9C" w14:textId="77777777" w:rsidR="00C32331" w:rsidRPr="00A26534" w:rsidRDefault="00C32331" w:rsidP="005F5B4A">
            <w:pPr>
              <w:rPr>
                <w:rFonts w:ascii="Cambria" w:hAnsi="Cambria"/>
                <w:sz w:val="24"/>
                <w:szCs w:val="24"/>
              </w:rPr>
            </w:pPr>
          </w:p>
          <w:p w14:paraId="0798BD50" w14:textId="77777777" w:rsidR="00C32331" w:rsidRPr="00A26534" w:rsidRDefault="00C32331" w:rsidP="005F5B4A">
            <w:pPr>
              <w:rPr>
                <w:rFonts w:ascii="Cambria" w:hAnsi="Cambria"/>
                <w:sz w:val="24"/>
                <w:szCs w:val="24"/>
              </w:rPr>
            </w:pPr>
          </w:p>
          <w:p w14:paraId="7341ABBD" w14:textId="77777777" w:rsidR="00A26534" w:rsidRDefault="00A26534" w:rsidP="005F5B4A">
            <w:pPr>
              <w:rPr>
                <w:rFonts w:ascii="Cambria" w:hAnsi="Cambria"/>
                <w:sz w:val="24"/>
                <w:szCs w:val="24"/>
              </w:rPr>
            </w:pPr>
          </w:p>
          <w:p w14:paraId="2B27F1A7" w14:textId="77777777" w:rsidR="00A26534" w:rsidRDefault="00A26534" w:rsidP="005F5B4A">
            <w:pPr>
              <w:rPr>
                <w:rFonts w:ascii="Cambria" w:hAnsi="Cambria"/>
                <w:sz w:val="24"/>
                <w:szCs w:val="24"/>
              </w:rPr>
            </w:pPr>
          </w:p>
          <w:p w14:paraId="43CB18A7" w14:textId="77777777" w:rsidR="00A26534" w:rsidRDefault="00A26534" w:rsidP="005F5B4A">
            <w:pPr>
              <w:rPr>
                <w:rFonts w:ascii="Cambria" w:hAnsi="Cambria"/>
                <w:sz w:val="24"/>
                <w:szCs w:val="24"/>
              </w:rPr>
            </w:pPr>
          </w:p>
          <w:p w14:paraId="27CF81BD" w14:textId="77777777" w:rsidR="00A26534" w:rsidRDefault="00A26534" w:rsidP="005F5B4A">
            <w:pPr>
              <w:rPr>
                <w:rFonts w:ascii="Cambria" w:hAnsi="Cambria"/>
                <w:sz w:val="24"/>
                <w:szCs w:val="24"/>
              </w:rPr>
            </w:pPr>
          </w:p>
          <w:p w14:paraId="4872E8EC" w14:textId="77777777" w:rsidR="00A26534" w:rsidRDefault="00A26534" w:rsidP="005F5B4A">
            <w:pPr>
              <w:rPr>
                <w:rFonts w:ascii="Cambria" w:hAnsi="Cambria"/>
                <w:sz w:val="24"/>
                <w:szCs w:val="24"/>
              </w:rPr>
            </w:pPr>
          </w:p>
          <w:p w14:paraId="73E95538" w14:textId="77777777" w:rsidR="00A26534" w:rsidRDefault="00A26534" w:rsidP="005F5B4A">
            <w:pPr>
              <w:rPr>
                <w:rFonts w:ascii="Cambria" w:hAnsi="Cambria"/>
                <w:sz w:val="24"/>
                <w:szCs w:val="24"/>
              </w:rPr>
            </w:pPr>
          </w:p>
          <w:p w14:paraId="4BA90C2A" w14:textId="77777777" w:rsidR="00A26534" w:rsidRDefault="00A26534" w:rsidP="005F5B4A">
            <w:pPr>
              <w:rPr>
                <w:rFonts w:ascii="Cambria" w:hAnsi="Cambria"/>
                <w:sz w:val="24"/>
                <w:szCs w:val="24"/>
              </w:rPr>
            </w:pPr>
          </w:p>
          <w:p w14:paraId="7130983A" w14:textId="77777777" w:rsidR="00A26534" w:rsidRDefault="00A26534" w:rsidP="005F5B4A">
            <w:pPr>
              <w:rPr>
                <w:rFonts w:ascii="Cambria" w:hAnsi="Cambria"/>
                <w:sz w:val="24"/>
                <w:szCs w:val="24"/>
              </w:rPr>
            </w:pPr>
          </w:p>
          <w:p w14:paraId="4FD4E8AA" w14:textId="77777777" w:rsidR="00A26534" w:rsidRDefault="00A26534" w:rsidP="005F5B4A">
            <w:pPr>
              <w:rPr>
                <w:rFonts w:ascii="Cambria" w:hAnsi="Cambria"/>
                <w:sz w:val="24"/>
                <w:szCs w:val="24"/>
              </w:rPr>
            </w:pPr>
          </w:p>
          <w:p w14:paraId="1E3B899A" w14:textId="77777777" w:rsidR="00A26534" w:rsidRDefault="00A26534" w:rsidP="005F5B4A">
            <w:pPr>
              <w:rPr>
                <w:rFonts w:ascii="Cambria" w:hAnsi="Cambria"/>
                <w:sz w:val="24"/>
                <w:szCs w:val="24"/>
              </w:rPr>
            </w:pPr>
          </w:p>
          <w:p w14:paraId="2F3C14E4" w14:textId="77777777" w:rsidR="00A26534" w:rsidRDefault="00A26534" w:rsidP="005F5B4A">
            <w:pPr>
              <w:rPr>
                <w:rFonts w:ascii="Cambria" w:hAnsi="Cambria"/>
                <w:sz w:val="24"/>
                <w:szCs w:val="24"/>
              </w:rPr>
            </w:pPr>
          </w:p>
          <w:p w14:paraId="4EE5C648" w14:textId="77777777" w:rsidR="00A26534" w:rsidRDefault="00A26534" w:rsidP="005F5B4A">
            <w:pPr>
              <w:rPr>
                <w:rFonts w:ascii="Cambria" w:hAnsi="Cambria"/>
                <w:sz w:val="24"/>
                <w:szCs w:val="24"/>
              </w:rPr>
            </w:pPr>
          </w:p>
          <w:p w14:paraId="443B7930" w14:textId="77777777" w:rsidR="00A26534" w:rsidRDefault="00A26534" w:rsidP="005F5B4A">
            <w:pPr>
              <w:rPr>
                <w:rFonts w:ascii="Cambria" w:hAnsi="Cambria"/>
                <w:sz w:val="24"/>
                <w:szCs w:val="24"/>
              </w:rPr>
            </w:pPr>
          </w:p>
          <w:p w14:paraId="2E3EE780" w14:textId="77777777" w:rsidR="00A26534" w:rsidRDefault="00A26534" w:rsidP="005F5B4A">
            <w:pPr>
              <w:rPr>
                <w:rFonts w:ascii="Cambria" w:hAnsi="Cambria"/>
                <w:sz w:val="24"/>
                <w:szCs w:val="24"/>
              </w:rPr>
            </w:pPr>
          </w:p>
          <w:p w14:paraId="4C548AE3" w14:textId="77777777" w:rsidR="00A26534" w:rsidRDefault="00A26534" w:rsidP="005F5B4A">
            <w:pPr>
              <w:rPr>
                <w:rFonts w:ascii="Cambria" w:hAnsi="Cambria"/>
                <w:sz w:val="24"/>
                <w:szCs w:val="24"/>
              </w:rPr>
            </w:pPr>
          </w:p>
          <w:p w14:paraId="3CB794A2" w14:textId="77777777" w:rsidR="00A26534" w:rsidRDefault="00A26534" w:rsidP="005F5B4A">
            <w:pPr>
              <w:rPr>
                <w:rFonts w:ascii="Cambria" w:hAnsi="Cambria"/>
                <w:sz w:val="24"/>
                <w:szCs w:val="24"/>
              </w:rPr>
            </w:pPr>
          </w:p>
          <w:p w14:paraId="17AC0FEE" w14:textId="77777777" w:rsidR="00A26534" w:rsidRDefault="00A26534" w:rsidP="005F5B4A">
            <w:pPr>
              <w:rPr>
                <w:rFonts w:ascii="Cambria" w:hAnsi="Cambria"/>
                <w:sz w:val="24"/>
                <w:szCs w:val="24"/>
              </w:rPr>
            </w:pPr>
          </w:p>
          <w:p w14:paraId="76E0E2AF" w14:textId="77777777" w:rsidR="00A26534" w:rsidRDefault="00A26534" w:rsidP="005F5B4A">
            <w:pPr>
              <w:rPr>
                <w:rFonts w:ascii="Cambria" w:hAnsi="Cambria"/>
                <w:sz w:val="24"/>
                <w:szCs w:val="24"/>
              </w:rPr>
            </w:pPr>
          </w:p>
          <w:p w14:paraId="472C00F4" w14:textId="77777777" w:rsidR="00A26534" w:rsidRDefault="00A26534" w:rsidP="005F5B4A">
            <w:pPr>
              <w:rPr>
                <w:rFonts w:ascii="Cambria" w:hAnsi="Cambria"/>
                <w:sz w:val="24"/>
                <w:szCs w:val="24"/>
              </w:rPr>
            </w:pPr>
          </w:p>
          <w:p w14:paraId="2E273032" w14:textId="77777777" w:rsidR="00A26534" w:rsidRDefault="00A26534" w:rsidP="005F5B4A">
            <w:pPr>
              <w:rPr>
                <w:rFonts w:ascii="Cambria" w:hAnsi="Cambria"/>
                <w:sz w:val="24"/>
                <w:szCs w:val="24"/>
              </w:rPr>
            </w:pPr>
          </w:p>
          <w:p w14:paraId="6EBEC22D" w14:textId="77777777" w:rsidR="00A26534" w:rsidRDefault="00A26534" w:rsidP="005F5B4A">
            <w:pPr>
              <w:rPr>
                <w:rFonts w:ascii="Cambria" w:hAnsi="Cambria"/>
                <w:sz w:val="24"/>
                <w:szCs w:val="24"/>
              </w:rPr>
            </w:pPr>
          </w:p>
          <w:p w14:paraId="62C2362A" w14:textId="77777777" w:rsidR="00A26534" w:rsidRDefault="00A26534" w:rsidP="005F5B4A">
            <w:pPr>
              <w:rPr>
                <w:rFonts w:ascii="Cambria" w:hAnsi="Cambria"/>
                <w:sz w:val="24"/>
                <w:szCs w:val="24"/>
              </w:rPr>
            </w:pPr>
          </w:p>
          <w:p w14:paraId="7F254484" w14:textId="77777777" w:rsidR="00A26534" w:rsidRDefault="00A26534" w:rsidP="005F5B4A">
            <w:pPr>
              <w:rPr>
                <w:rFonts w:ascii="Cambria" w:hAnsi="Cambria"/>
                <w:sz w:val="24"/>
                <w:szCs w:val="24"/>
              </w:rPr>
            </w:pPr>
          </w:p>
          <w:p w14:paraId="68DF684E" w14:textId="77777777" w:rsidR="00A26534" w:rsidRDefault="00A26534" w:rsidP="005F5B4A">
            <w:pPr>
              <w:rPr>
                <w:rFonts w:ascii="Cambria" w:hAnsi="Cambria"/>
                <w:sz w:val="24"/>
                <w:szCs w:val="24"/>
              </w:rPr>
            </w:pPr>
          </w:p>
          <w:p w14:paraId="7AB24B97" w14:textId="77777777" w:rsidR="00A26534" w:rsidRDefault="00A26534" w:rsidP="005F5B4A">
            <w:pPr>
              <w:rPr>
                <w:rFonts w:ascii="Cambria" w:hAnsi="Cambria"/>
                <w:sz w:val="24"/>
                <w:szCs w:val="24"/>
              </w:rPr>
            </w:pPr>
          </w:p>
          <w:p w14:paraId="29F27746" w14:textId="77777777" w:rsidR="00A26534" w:rsidRDefault="00A26534" w:rsidP="005F5B4A">
            <w:pPr>
              <w:rPr>
                <w:rFonts w:ascii="Cambria" w:hAnsi="Cambria"/>
                <w:sz w:val="24"/>
                <w:szCs w:val="24"/>
              </w:rPr>
            </w:pPr>
          </w:p>
          <w:p w14:paraId="21DBE814" w14:textId="77777777" w:rsidR="00A26534" w:rsidRDefault="00A26534" w:rsidP="005F5B4A">
            <w:pPr>
              <w:rPr>
                <w:rFonts w:ascii="Cambria" w:hAnsi="Cambria"/>
                <w:sz w:val="24"/>
                <w:szCs w:val="24"/>
              </w:rPr>
            </w:pPr>
          </w:p>
          <w:p w14:paraId="50534D7E" w14:textId="77777777" w:rsidR="00A26534" w:rsidRDefault="00A26534" w:rsidP="005F5B4A">
            <w:pPr>
              <w:rPr>
                <w:rFonts w:ascii="Cambria" w:hAnsi="Cambria"/>
                <w:sz w:val="24"/>
                <w:szCs w:val="24"/>
              </w:rPr>
            </w:pPr>
          </w:p>
          <w:p w14:paraId="2E68EB52" w14:textId="77777777" w:rsidR="00A26534" w:rsidRDefault="00A26534" w:rsidP="005F5B4A">
            <w:pPr>
              <w:rPr>
                <w:rFonts w:ascii="Cambria" w:hAnsi="Cambria"/>
                <w:sz w:val="24"/>
                <w:szCs w:val="24"/>
              </w:rPr>
            </w:pPr>
          </w:p>
          <w:p w14:paraId="6A1303C0" w14:textId="77777777" w:rsidR="00A26534" w:rsidRDefault="00A26534" w:rsidP="005F5B4A">
            <w:pPr>
              <w:rPr>
                <w:rFonts w:ascii="Cambria" w:hAnsi="Cambria"/>
                <w:sz w:val="24"/>
                <w:szCs w:val="24"/>
              </w:rPr>
            </w:pPr>
          </w:p>
          <w:p w14:paraId="3BC8EDED" w14:textId="77777777" w:rsidR="00A26534" w:rsidRDefault="00A26534" w:rsidP="005F5B4A">
            <w:pPr>
              <w:rPr>
                <w:rFonts w:ascii="Cambria" w:hAnsi="Cambria"/>
                <w:sz w:val="24"/>
                <w:szCs w:val="24"/>
              </w:rPr>
            </w:pPr>
          </w:p>
          <w:p w14:paraId="4262FCD8" w14:textId="77777777" w:rsidR="00A26534" w:rsidRDefault="00A26534" w:rsidP="005F5B4A">
            <w:pPr>
              <w:rPr>
                <w:rFonts w:ascii="Cambria" w:hAnsi="Cambria"/>
                <w:sz w:val="24"/>
                <w:szCs w:val="24"/>
              </w:rPr>
            </w:pPr>
          </w:p>
          <w:p w14:paraId="6A09CBD1" w14:textId="77777777" w:rsidR="00A26534" w:rsidRDefault="00A26534" w:rsidP="005F5B4A">
            <w:pPr>
              <w:rPr>
                <w:rFonts w:ascii="Cambria" w:hAnsi="Cambria"/>
                <w:sz w:val="24"/>
                <w:szCs w:val="24"/>
              </w:rPr>
            </w:pPr>
          </w:p>
          <w:p w14:paraId="7B85E318" w14:textId="77777777" w:rsidR="00A26534" w:rsidRDefault="00A26534" w:rsidP="005F5B4A">
            <w:pPr>
              <w:rPr>
                <w:rFonts w:ascii="Cambria" w:hAnsi="Cambria"/>
                <w:sz w:val="24"/>
                <w:szCs w:val="24"/>
              </w:rPr>
            </w:pPr>
          </w:p>
          <w:p w14:paraId="17D12A3E" w14:textId="77777777" w:rsidR="00A26534" w:rsidRDefault="00A26534" w:rsidP="005F5B4A">
            <w:pPr>
              <w:rPr>
                <w:rFonts w:ascii="Cambria" w:hAnsi="Cambria"/>
                <w:sz w:val="24"/>
                <w:szCs w:val="24"/>
              </w:rPr>
            </w:pPr>
          </w:p>
          <w:p w14:paraId="2E8388F0" w14:textId="77777777" w:rsidR="00A26534" w:rsidRDefault="00A26534" w:rsidP="005F5B4A">
            <w:pPr>
              <w:rPr>
                <w:rFonts w:ascii="Cambria" w:hAnsi="Cambria"/>
                <w:sz w:val="24"/>
                <w:szCs w:val="24"/>
              </w:rPr>
            </w:pPr>
          </w:p>
          <w:p w14:paraId="4E9B2B79" w14:textId="77777777" w:rsidR="00A26534" w:rsidRPr="00A26534" w:rsidRDefault="00A26534" w:rsidP="005F5B4A">
            <w:pPr>
              <w:rPr>
                <w:rFonts w:ascii="Cambria" w:hAnsi="Cambria"/>
                <w:sz w:val="12"/>
                <w:szCs w:val="12"/>
              </w:rPr>
            </w:pPr>
          </w:p>
          <w:p w14:paraId="119E28C6" w14:textId="6E8371E8" w:rsidR="00C32331" w:rsidRPr="00A26534" w:rsidRDefault="00A26534" w:rsidP="005F5B4A">
            <w:pPr>
              <w:rPr>
                <w:rFonts w:ascii="Cambria" w:hAnsi="Cambria"/>
                <w:sz w:val="24"/>
                <w:szCs w:val="24"/>
              </w:rPr>
            </w:pPr>
            <w:r>
              <w:rPr>
                <w:rFonts w:ascii="Cambria" w:hAnsi="Cambria"/>
                <w:sz w:val="24"/>
                <w:szCs w:val="24"/>
              </w:rPr>
              <w:t xml:space="preserve">ii) </w:t>
            </w:r>
            <w:r w:rsidR="00C32331" w:rsidRPr="00A26534">
              <w:rPr>
                <w:rFonts w:ascii="Cambria" w:hAnsi="Cambria"/>
                <w:sz w:val="24"/>
                <w:szCs w:val="24"/>
              </w:rPr>
              <w:t xml:space="preserve">GCCG-S to follow up once IASC Gender Evaluation is completed at end of 2020 </w:t>
            </w:r>
            <w:r w:rsidR="00C32331" w:rsidRPr="00A26534">
              <w:rPr>
                <w:rFonts w:ascii="Cambria" w:hAnsi="Cambria"/>
                <w:sz w:val="24"/>
                <w:szCs w:val="24"/>
              </w:rPr>
              <w:lastRenderedPageBreak/>
              <w:t>and invite GRG Co-Chairs to GCCG meeting.</w:t>
            </w:r>
          </w:p>
        </w:tc>
      </w:tr>
      <w:tr w:rsidR="00382025" w:rsidRPr="00A26534" w14:paraId="43EB5218" w14:textId="77777777" w:rsidTr="008367E6">
        <w:trPr>
          <w:trHeight w:val="841"/>
        </w:trPr>
        <w:tc>
          <w:tcPr>
            <w:tcW w:w="11199" w:type="dxa"/>
          </w:tcPr>
          <w:p w14:paraId="24018580" w14:textId="77777777" w:rsidR="00260183" w:rsidRPr="00A26534" w:rsidRDefault="00260183" w:rsidP="00260183">
            <w:pPr>
              <w:rPr>
                <w:rFonts w:ascii="Cambria" w:eastAsia="Times New Roman" w:hAnsi="Cambria"/>
                <w:b/>
                <w:bCs/>
                <w:sz w:val="24"/>
                <w:szCs w:val="24"/>
              </w:rPr>
            </w:pPr>
            <w:bookmarkStart w:id="1" w:name="_Hlk51334747"/>
            <w:r w:rsidRPr="00A26534">
              <w:rPr>
                <w:rFonts w:ascii="Cambria" w:eastAsia="Times New Roman" w:hAnsi="Cambria"/>
                <w:b/>
                <w:bCs/>
                <w:sz w:val="24"/>
                <w:szCs w:val="24"/>
              </w:rPr>
              <w:lastRenderedPageBreak/>
              <w:t>GCCG Terms of Reference:</w:t>
            </w:r>
          </w:p>
          <w:p w14:paraId="2CB53A5F" w14:textId="77777777" w:rsidR="00F228AD" w:rsidRPr="00A26534" w:rsidRDefault="00F228AD" w:rsidP="00260183">
            <w:pPr>
              <w:rPr>
                <w:rFonts w:ascii="Cambria" w:hAnsi="Cambria" w:cs="Segoe UI"/>
                <w:sz w:val="12"/>
                <w:szCs w:val="12"/>
              </w:rPr>
            </w:pPr>
          </w:p>
          <w:p w14:paraId="218BBC6B" w14:textId="01172AD7" w:rsidR="008D6577" w:rsidRPr="00A26534" w:rsidRDefault="008D6577" w:rsidP="008D6577">
            <w:pPr>
              <w:rPr>
                <w:rFonts w:ascii="Cambria" w:hAnsi="Cambria"/>
                <w:sz w:val="24"/>
                <w:szCs w:val="24"/>
              </w:rPr>
            </w:pPr>
            <w:r w:rsidRPr="00A26534">
              <w:rPr>
                <w:rFonts w:ascii="Cambria" w:hAnsi="Cambria"/>
                <w:sz w:val="24"/>
                <w:szCs w:val="24"/>
              </w:rPr>
              <w:t xml:space="preserve">The GCCG Chair recalled that the final draft of the GCCG Terms of Reference document had been shared with the Group prior to the meeting. Ms. Skuric-Prodanovic pointed out that no additional concerns had been raised regarding the language of the document and that the only the outstanding issue was that of the </w:t>
            </w:r>
            <w:r w:rsidR="00A26534" w:rsidRPr="00A26534">
              <w:rPr>
                <w:rFonts w:ascii="Cambria" w:hAnsi="Cambria"/>
                <w:sz w:val="24"/>
                <w:szCs w:val="24"/>
              </w:rPr>
              <w:t>Abor</w:t>
            </w:r>
            <w:r w:rsidRPr="00A26534">
              <w:rPr>
                <w:rFonts w:ascii="Cambria" w:hAnsi="Cambria"/>
                <w:sz w:val="24"/>
                <w:szCs w:val="24"/>
              </w:rPr>
              <w:t xml:space="preserve"> voting rights. She informed the group that, regardless whether the A</w:t>
            </w:r>
            <w:r w:rsidR="00A26534" w:rsidRPr="00A26534">
              <w:rPr>
                <w:rFonts w:ascii="Cambria" w:hAnsi="Cambria"/>
                <w:sz w:val="24"/>
                <w:szCs w:val="24"/>
              </w:rPr>
              <w:t>O</w:t>
            </w:r>
            <w:r w:rsidRPr="00A26534">
              <w:rPr>
                <w:rFonts w:ascii="Cambria" w:hAnsi="Cambria"/>
                <w:sz w:val="24"/>
                <w:szCs w:val="24"/>
              </w:rPr>
              <w:t>Rs preferences were taken into consideration or not, the majority of the Coordinators were in favour of removing the language related to voting from the text, and amending the language on the decision-making quorum accordingly. The Group confirmed its support and endorsement for this amendment.</w:t>
            </w:r>
          </w:p>
          <w:p w14:paraId="08C81490" w14:textId="77777777" w:rsidR="008D6577" w:rsidRPr="00A26534" w:rsidRDefault="008D6577" w:rsidP="008D6577">
            <w:pPr>
              <w:rPr>
                <w:rFonts w:ascii="Cambria" w:hAnsi="Cambria"/>
                <w:sz w:val="12"/>
                <w:szCs w:val="12"/>
              </w:rPr>
            </w:pPr>
          </w:p>
          <w:p w14:paraId="7EC99AEC" w14:textId="63F3964E" w:rsidR="008D6577" w:rsidRPr="00A26534" w:rsidRDefault="008D6577" w:rsidP="008D6577">
            <w:pPr>
              <w:rPr>
                <w:rFonts w:ascii="Cambria" w:hAnsi="Cambria"/>
                <w:sz w:val="24"/>
                <w:szCs w:val="24"/>
              </w:rPr>
            </w:pPr>
            <w:r w:rsidRPr="00A26534">
              <w:rPr>
                <w:rFonts w:ascii="Cambria" w:hAnsi="Cambria"/>
                <w:sz w:val="24"/>
                <w:szCs w:val="24"/>
              </w:rPr>
              <w:t xml:space="preserve">Separately, the Global CCCM Cluster Co-Coordinator, sought clarification regarding the inclusion in the document of a reference to the participation of the UNICEF-led clusters representative and why this position was being specifically mentioned in the TOR.  Given </w:t>
            </w:r>
            <w:r w:rsidR="00465D23" w:rsidRPr="00A26534">
              <w:rPr>
                <w:rFonts w:ascii="Cambria" w:hAnsi="Cambria"/>
                <w:sz w:val="24"/>
                <w:szCs w:val="24"/>
              </w:rPr>
              <w:t>Mr. Syed’s</w:t>
            </w:r>
            <w:r w:rsidRPr="00A26534">
              <w:rPr>
                <w:rFonts w:ascii="Cambria" w:hAnsi="Cambria"/>
                <w:sz w:val="24"/>
                <w:szCs w:val="24"/>
              </w:rPr>
              <w:t xml:space="preserve"> absence from the meeting, the Chair explained that this text had already been included in older drafts of the TOR and that the representative would similar to the IM WG representative and the Chair, have no ‘voting rights’. She also noted that her understanding was that his presence was also an indication of UNICEF’s commitment to the work of global clusters, promoting greater coherence </w:t>
            </w:r>
            <w:r w:rsidR="00A26534">
              <w:rPr>
                <w:rFonts w:ascii="Cambria" w:hAnsi="Cambria"/>
                <w:sz w:val="24"/>
                <w:szCs w:val="24"/>
              </w:rPr>
              <w:t xml:space="preserve">and complementarity </w:t>
            </w:r>
            <w:r w:rsidRPr="00A26534">
              <w:rPr>
                <w:rFonts w:ascii="Cambria" w:hAnsi="Cambria"/>
                <w:sz w:val="24"/>
                <w:szCs w:val="24"/>
              </w:rPr>
              <w:t>in its approach to cluster issues.  The WASH Cluster Coordinator noted she was new in her role but that she would relay this issue to Mr.  Syed. The Global GBV A</w:t>
            </w:r>
            <w:r w:rsidR="00A26534">
              <w:rPr>
                <w:rFonts w:ascii="Cambria" w:hAnsi="Cambria"/>
                <w:sz w:val="24"/>
                <w:szCs w:val="24"/>
              </w:rPr>
              <w:t>O</w:t>
            </w:r>
            <w:r w:rsidRPr="00A26534">
              <w:rPr>
                <w:rFonts w:ascii="Cambria" w:hAnsi="Cambria"/>
                <w:sz w:val="24"/>
                <w:szCs w:val="24"/>
              </w:rPr>
              <w:t>R Coordinator listed some of the advantages that she had observed in the past from the previous UNICEF Cluster Coordinators’ participation. However, to simplify the issue, she suggested a similar solution to that on the A</w:t>
            </w:r>
            <w:r w:rsidR="00A26534">
              <w:rPr>
                <w:rFonts w:ascii="Cambria" w:hAnsi="Cambria"/>
                <w:sz w:val="24"/>
                <w:szCs w:val="24"/>
              </w:rPr>
              <w:t>O</w:t>
            </w:r>
            <w:r w:rsidRPr="00A26534">
              <w:rPr>
                <w:rFonts w:ascii="Cambria" w:hAnsi="Cambria"/>
                <w:sz w:val="24"/>
                <w:szCs w:val="24"/>
              </w:rPr>
              <w:t>R voting rights - that the reference to his participation be removed from the TOR without this excluding the possibility of his attending as an observer. She clarified that it was key for each of the GCCs to participate in and contribute to the activities of the GCCG, even if a given CLA has a dedicated capacity to ensure coherence among the Global Clusters they lead. Considering this feedback, the GCCG Chair suggested that she would seek final agreement from UNICEF on the removal of  the reference from the text, with the clear understanding that the UNICEF-led clusters representative would continue to participate and contribute to the Group’s work, albeit without decision-making authority (unless such an authority were delegated to them by specific GCCs, and by notifying the GCCG Chair).</w:t>
            </w:r>
          </w:p>
          <w:p w14:paraId="17493BEF" w14:textId="77777777" w:rsidR="008D6577" w:rsidRPr="00A26534" w:rsidRDefault="008D6577" w:rsidP="008D6577">
            <w:pPr>
              <w:rPr>
                <w:rFonts w:ascii="Cambria" w:hAnsi="Cambria"/>
                <w:sz w:val="12"/>
                <w:szCs w:val="12"/>
              </w:rPr>
            </w:pPr>
          </w:p>
          <w:p w14:paraId="71C6627E" w14:textId="6F8CFE63" w:rsidR="003A26B2" w:rsidRPr="00A26534" w:rsidRDefault="008D6577" w:rsidP="008D6577">
            <w:pPr>
              <w:rPr>
                <w:rFonts w:ascii="Cambria" w:hAnsi="Cambria" w:cs="Segoe UI"/>
                <w:sz w:val="24"/>
                <w:szCs w:val="24"/>
              </w:rPr>
            </w:pPr>
            <w:r w:rsidRPr="00A26534">
              <w:rPr>
                <w:rFonts w:ascii="Cambria" w:hAnsi="Cambria"/>
                <w:sz w:val="24"/>
                <w:szCs w:val="24"/>
              </w:rPr>
              <w:lastRenderedPageBreak/>
              <w:t>The GCCs confirmed their support for and endorsement of the proposed final text of the GCCG Terms of Reference, provided the issue of removing the reference to the UNICEF-led clusters’ representative be resolved. </w:t>
            </w:r>
            <w:r w:rsidR="00A72FB2" w:rsidRPr="00A26534">
              <w:rPr>
                <w:rFonts w:ascii="Cambria" w:hAnsi="Cambria" w:cs="Segoe UI"/>
                <w:sz w:val="24"/>
                <w:szCs w:val="24"/>
              </w:rPr>
              <w:t xml:space="preserve">Ms. Skuric-Prodanovic also advised that once finalised, the document would be shared with the OPAG for final endorsement. </w:t>
            </w:r>
          </w:p>
          <w:p w14:paraId="0B25FE49" w14:textId="496639DB" w:rsidR="00E020EC" w:rsidRPr="00A26534" w:rsidRDefault="00E020EC" w:rsidP="00CF61EF">
            <w:pPr>
              <w:rPr>
                <w:rFonts w:ascii="Cambria" w:hAnsi="Cambria" w:cs="Segoe UI"/>
                <w:sz w:val="12"/>
                <w:szCs w:val="12"/>
              </w:rPr>
            </w:pPr>
          </w:p>
        </w:tc>
        <w:tc>
          <w:tcPr>
            <w:tcW w:w="3119" w:type="dxa"/>
          </w:tcPr>
          <w:p w14:paraId="1B026EF7" w14:textId="6783EA40" w:rsidR="00CF61EF" w:rsidRPr="00A26534" w:rsidRDefault="00CF61EF" w:rsidP="00CF61EF">
            <w:pPr>
              <w:rPr>
                <w:rFonts w:ascii="Cambria" w:hAnsi="Cambria"/>
                <w:sz w:val="24"/>
                <w:szCs w:val="24"/>
              </w:rPr>
            </w:pPr>
          </w:p>
          <w:p w14:paraId="4ABE97E1" w14:textId="0CD56B88" w:rsidR="00A72FB2" w:rsidRPr="00A26534" w:rsidRDefault="00A72FB2" w:rsidP="00CF61EF">
            <w:pPr>
              <w:rPr>
                <w:rFonts w:ascii="Cambria" w:hAnsi="Cambria"/>
                <w:sz w:val="12"/>
                <w:szCs w:val="12"/>
              </w:rPr>
            </w:pPr>
          </w:p>
          <w:p w14:paraId="728AFD3F" w14:textId="7DD5F03D" w:rsidR="00A72FB2" w:rsidRPr="00A26534" w:rsidRDefault="00A72FB2" w:rsidP="00CF61EF">
            <w:pPr>
              <w:rPr>
                <w:rFonts w:ascii="Cambria" w:hAnsi="Cambria"/>
                <w:sz w:val="24"/>
                <w:szCs w:val="24"/>
              </w:rPr>
            </w:pPr>
            <w:r w:rsidRPr="00A26534">
              <w:rPr>
                <w:rFonts w:ascii="Cambria" w:hAnsi="Cambria"/>
                <w:sz w:val="24"/>
                <w:szCs w:val="24"/>
              </w:rPr>
              <w:t xml:space="preserve">i) GCCG Chair to seek final agreement for removing reference to the participation and representation by the UNICEF-led clusters’ representative; </w:t>
            </w:r>
          </w:p>
          <w:p w14:paraId="760DE999" w14:textId="7C3CAAAF" w:rsidR="00A72FB2" w:rsidRPr="00A26534" w:rsidRDefault="00A72FB2" w:rsidP="00CF61EF">
            <w:pPr>
              <w:rPr>
                <w:rFonts w:ascii="Cambria" w:hAnsi="Cambria"/>
                <w:sz w:val="24"/>
                <w:szCs w:val="24"/>
              </w:rPr>
            </w:pPr>
            <w:r w:rsidRPr="00A26534">
              <w:rPr>
                <w:rFonts w:ascii="Cambria" w:hAnsi="Cambria"/>
                <w:sz w:val="24"/>
                <w:szCs w:val="24"/>
              </w:rPr>
              <w:t>[</w:t>
            </w:r>
            <w:r w:rsidRPr="00A26534">
              <w:rPr>
                <w:rFonts w:ascii="Cambria" w:hAnsi="Cambria"/>
                <w:b/>
                <w:bCs/>
                <w:sz w:val="24"/>
                <w:szCs w:val="24"/>
                <w:u w:val="single"/>
              </w:rPr>
              <w:t>completed</w:t>
            </w:r>
            <w:r w:rsidRPr="00A26534">
              <w:rPr>
                <w:rFonts w:ascii="Cambria" w:hAnsi="Cambria"/>
                <w:sz w:val="24"/>
                <w:szCs w:val="24"/>
              </w:rPr>
              <w:t>]</w:t>
            </w:r>
          </w:p>
          <w:p w14:paraId="3E6CE4B3" w14:textId="728E7ADF" w:rsidR="00A72FB2" w:rsidRPr="00A26534" w:rsidRDefault="00A72FB2" w:rsidP="00CF61EF">
            <w:pPr>
              <w:rPr>
                <w:rFonts w:ascii="Cambria" w:hAnsi="Cambria"/>
                <w:sz w:val="12"/>
                <w:szCs w:val="12"/>
              </w:rPr>
            </w:pPr>
          </w:p>
          <w:p w14:paraId="2C920914" w14:textId="77777777" w:rsidR="00A26534" w:rsidRDefault="00A26534" w:rsidP="00CF61EF">
            <w:pPr>
              <w:rPr>
                <w:rFonts w:ascii="Cambria" w:hAnsi="Cambria"/>
                <w:sz w:val="24"/>
                <w:szCs w:val="24"/>
              </w:rPr>
            </w:pPr>
          </w:p>
          <w:p w14:paraId="4D0C895F" w14:textId="77777777" w:rsidR="00A26534" w:rsidRDefault="00A26534" w:rsidP="00CF61EF">
            <w:pPr>
              <w:rPr>
                <w:rFonts w:ascii="Cambria" w:hAnsi="Cambria"/>
                <w:sz w:val="24"/>
                <w:szCs w:val="24"/>
              </w:rPr>
            </w:pPr>
          </w:p>
          <w:p w14:paraId="72DDFE96" w14:textId="77777777" w:rsidR="00A26534" w:rsidRDefault="00A26534" w:rsidP="00CF61EF">
            <w:pPr>
              <w:rPr>
                <w:rFonts w:ascii="Cambria" w:hAnsi="Cambria"/>
                <w:sz w:val="24"/>
                <w:szCs w:val="24"/>
              </w:rPr>
            </w:pPr>
          </w:p>
          <w:p w14:paraId="4EA664B1" w14:textId="77777777" w:rsidR="00A26534" w:rsidRDefault="00A26534" w:rsidP="00CF61EF">
            <w:pPr>
              <w:rPr>
                <w:rFonts w:ascii="Cambria" w:hAnsi="Cambria"/>
                <w:sz w:val="24"/>
                <w:szCs w:val="24"/>
              </w:rPr>
            </w:pPr>
          </w:p>
          <w:p w14:paraId="04E7BCF4" w14:textId="77777777" w:rsidR="00A26534" w:rsidRDefault="00A26534" w:rsidP="00CF61EF">
            <w:pPr>
              <w:rPr>
                <w:rFonts w:ascii="Cambria" w:hAnsi="Cambria"/>
                <w:sz w:val="24"/>
                <w:szCs w:val="24"/>
              </w:rPr>
            </w:pPr>
          </w:p>
          <w:p w14:paraId="7EBC8CDA" w14:textId="77777777" w:rsidR="00A26534" w:rsidRDefault="00A26534" w:rsidP="00CF61EF">
            <w:pPr>
              <w:rPr>
                <w:rFonts w:ascii="Cambria" w:hAnsi="Cambria"/>
                <w:sz w:val="24"/>
                <w:szCs w:val="24"/>
              </w:rPr>
            </w:pPr>
          </w:p>
          <w:p w14:paraId="6C97B912" w14:textId="77777777" w:rsidR="00A26534" w:rsidRDefault="00A26534" w:rsidP="00CF61EF">
            <w:pPr>
              <w:rPr>
                <w:rFonts w:ascii="Cambria" w:hAnsi="Cambria"/>
                <w:sz w:val="24"/>
                <w:szCs w:val="24"/>
              </w:rPr>
            </w:pPr>
          </w:p>
          <w:p w14:paraId="105D689A" w14:textId="77777777" w:rsidR="00A26534" w:rsidRDefault="00A26534" w:rsidP="00CF61EF">
            <w:pPr>
              <w:rPr>
                <w:rFonts w:ascii="Cambria" w:hAnsi="Cambria"/>
                <w:sz w:val="24"/>
                <w:szCs w:val="24"/>
              </w:rPr>
            </w:pPr>
          </w:p>
          <w:p w14:paraId="2D5A98B1" w14:textId="77777777" w:rsidR="00A26534" w:rsidRDefault="00A26534" w:rsidP="00CF61EF">
            <w:pPr>
              <w:rPr>
                <w:rFonts w:ascii="Cambria" w:hAnsi="Cambria"/>
                <w:sz w:val="24"/>
                <w:szCs w:val="24"/>
              </w:rPr>
            </w:pPr>
          </w:p>
          <w:p w14:paraId="36C2D135" w14:textId="77777777" w:rsidR="00A26534" w:rsidRDefault="00A26534" w:rsidP="00CF61EF">
            <w:pPr>
              <w:rPr>
                <w:rFonts w:ascii="Cambria" w:hAnsi="Cambria"/>
                <w:sz w:val="24"/>
                <w:szCs w:val="24"/>
              </w:rPr>
            </w:pPr>
          </w:p>
          <w:p w14:paraId="4A2E6073" w14:textId="77777777" w:rsidR="00A26534" w:rsidRDefault="00A26534" w:rsidP="00CF61EF">
            <w:pPr>
              <w:rPr>
                <w:rFonts w:ascii="Cambria" w:hAnsi="Cambria"/>
                <w:sz w:val="24"/>
                <w:szCs w:val="24"/>
              </w:rPr>
            </w:pPr>
          </w:p>
          <w:p w14:paraId="09A726FC" w14:textId="77777777" w:rsidR="00A26534" w:rsidRDefault="00A26534" w:rsidP="00CF61EF">
            <w:pPr>
              <w:rPr>
                <w:rFonts w:ascii="Cambria" w:hAnsi="Cambria"/>
                <w:sz w:val="24"/>
                <w:szCs w:val="24"/>
              </w:rPr>
            </w:pPr>
          </w:p>
          <w:p w14:paraId="50323F06" w14:textId="77777777" w:rsidR="00A26534" w:rsidRDefault="00A26534" w:rsidP="00CF61EF">
            <w:pPr>
              <w:rPr>
                <w:rFonts w:ascii="Cambria" w:hAnsi="Cambria"/>
                <w:sz w:val="24"/>
                <w:szCs w:val="24"/>
              </w:rPr>
            </w:pPr>
          </w:p>
          <w:p w14:paraId="0985D3DF" w14:textId="77777777" w:rsidR="00A26534" w:rsidRDefault="00A26534" w:rsidP="00CF61EF">
            <w:pPr>
              <w:rPr>
                <w:rFonts w:ascii="Cambria" w:hAnsi="Cambria"/>
                <w:sz w:val="24"/>
                <w:szCs w:val="24"/>
              </w:rPr>
            </w:pPr>
          </w:p>
          <w:p w14:paraId="09B7C0DC" w14:textId="77777777" w:rsidR="00A26534" w:rsidRDefault="00A26534" w:rsidP="00CF61EF">
            <w:pPr>
              <w:rPr>
                <w:rFonts w:ascii="Cambria" w:hAnsi="Cambria"/>
                <w:sz w:val="24"/>
                <w:szCs w:val="24"/>
              </w:rPr>
            </w:pPr>
          </w:p>
          <w:p w14:paraId="4A718CDE" w14:textId="77777777" w:rsidR="00A26534" w:rsidRDefault="00A26534" w:rsidP="00CF61EF">
            <w:pPr>
              <w:rPr>
                <w:rFonts w:ascii="Cambria" w:hAnsi="Cambria"/>
                <w:sz w:val="24"/>
                <w:szCs w:val="24"/>
              </w:rPr>
            </w:pPr>
          </w:p>
          <w:p w14:paraId="5F0CA0AA" w14:textId="696E604E" w:rsidR="00A72FB2" w:rsidRPr="00A26534" w:rsidRDefault="00A72FB2" w:rsidP="00CF61EF">
            <w:pPr>
              <w:rPr>
                <w:rFonts w:ascii="Cambria" w:hAnsi="Cambria"/>
                <w:sz w:val="24"/>
                <w:szCs w:val="24"/>
              </w:rPr>
            </w:pPr>
            <w:r w:rsidRPr="00A26534">
              <w:rPr>
                <w:rFonts w:ascii="Cambria" w:hAnsi="Cambria"/>
                <w:sz w:val="24"/>
                <w:szCs w:val="24"/>
              </w:rPr>
              <w:lastRenderedPageBreak/>
              <w:t>ii) GCCG Chair to share the document with the OPAG on behalf of the GCCG.</w:t>
            </w:r>
          </w:p>
          <w:p w14:paraId="4B98E739" w14:textId="2F29910B" w:rsidR="003A26B2" w:rsidRPr="00A26534" w:rsidRDefault="003A26B2" w:rsidP="005F5B4A">
            <w:pPr>
              <w:rPr>
                <w:rFonts w:ascii="Cambria" w:hAnsi="Cambria"/>
                <w:sz w:val="24"/>
                <w:szCs w:val="24"/>
              </w:rPr>
            </w:pPr>
          </w:p>
        </w:tc>
      </w:tr>
      <w:bookmarkEnd w:id="1"/>
      <w:tr w:rsidR="00D5519C" w:rsidRPr="00A26534" w14:paraId="73FE9ED5" w14:textId="77777777" w:rsidTr="008367E6">
        <w:trPr>
          <w:trHeight w:val="841"/>
        </w:trPr>
        <w:tc>
          <w:tcPr>
            <w:tcW w:w="11199" w:type="dxa"/>
          </w:tcPr>
          <w:p w14:paraId="1FFEBC0F" w14:textId="3108E091" w:rsidR="00441095" w:rsidRPr="00A26534" w:rsidRDefault="00CF61EF" w:rsidP="00260183">
            <w:pPr>
              <w:rPr>
                <w:rFonts w:ascii="Cambria" w:eastAsia="Times New Roman" w:hAnsi="Cambria"/>
                <w:b/>
                <w:bCs/>
                <w:sz w:val="24"/>
                <w:szCs w:val="24"/>
              </w:rPr>
            </w:pPr>
            <w:r w:rsidRPr="00A26534">
              <w:rPr>
                <w:rFonts w:ascii="Cambria" w:eastAsia="Times New Roman" w:hAnsi="Cambria"/>
                <w:b/>
                <w:bCs/>
                <w:sz w:val="24"/>
                <w:szCs w:val="24"/>
              </w:rPr>
              <w:t>AOB</w:t>
            </w:r>
            <w:r w:rsidR="003A26B2" w:rsidRPr="00A26534">
              <w:rPr>
                <w:rFonts w:ascii="Cambria" w:eastAsia="Times New Roman" w:hAnsi="Cambria"/>
                <w:b/>
                <w:bCs/>
                <w:sz w:val="24"/>
                <w:szCs w:val="24"/>
              </w:rPr>
              <w:t>:</w:t>
            </w:r>
          </w:p>
          <w:p w14:paraId="3C9BF2A4" w14:textId="45B860DC" w:rsidR="003D3BE0" w:rsidRPr="00A26534" w:rsidRDefault="003D3BE0" w:rsidP="00260183">
            <w:pPr>
              <w:rPr>
                <w:rFonts w:ascii="Cambria" w:eastAsia="Times New Roman" w:hAnsi="Cambria"/>
                <w:b/>
                <w:bCs/>
                <w:sz w:val="12"/>
                <w:szCs w:val="12"/>
              </w:rPr>
            </w:pPr>
          </w:p>
          <w:p w14:paraId="4D68A53F" w14:textId="68CE0402" w:rsidR="003D3BE0" w:rsidRPr="00A26534" w:rsidRDefault="003D3BE0" w:rsidP="00260183">
            <w:pPr>
              <w:rPr>
                <w:rFonts w:ascii="Cambria" w:eastAsia="Times New Roman" w:hAnsi="Cambria"/>
                <w:sz w:val="24"/>
                <w:szCs w:val="24"/>
                <w:u w:val="single"/>
              </w:rPr>
            </w:pPr>
            <w:r w:rsidRPr="00A26534">
              <w:rPr>
                <w:rFonts w:ascii="Cambria" w:eastAsia="Times New Roman" w:hAnsi="Cambria"/>
                <w:sz w:val="24"/>
                <w:szCs w:val="24"/>
                <w:u w:val="single"/>
              </w:rPr>
              <w:t>GCCG representation at the JIAG:</w:t>
            </w:r>
          </w:p>
          <w:p w14:paraId="427CBCA8" w14:textId="465E6381" w:rsidR="003D3BE0" w:rsidRPr="00A26534" w:rsidRDefault="003D3BE0" w:rsidP="00260183">
            <w:pPr>
              <w:rPr>
                <w:rFonts w:ascii="Cambria" w:eastAsia="Times New Roman" w:hAnsi="Cambria"/>
                <w:sz w:val="12"/>
                <w:szCs w:val="12"/>
                <w:u w:val="single"/>
              </w:rPr>
            </w:pPr>
          </w:p>
          <w:p w14:paraId="2E1C29FA" w14:textId="3A0EA6F2" w:rsidR="003D3BE0" w:rsidRPr="00A26534" w:rsidRDefault="00ED447C" w:rsidP="00260183">
            <w:pPr>
              <w:rPr>
                <w:rFonts w:ascii="Cambria" w:eastAsia="Times New Roman" w:hAnsi="Cambria"/>
                <w:sz w:val="24"/>
                <w:szCs w:val="24"/>
              </w:rPr>
            </w:pPr>
            <w:r w:rsidRPr="00A26534">
              <w:rPr>
                <w:rFonts w:ascii="Cambria" w:eastAsia="Times New Roman" w:hAnsi="Cambria"/>
                <w:sz w:val="24"/>
                <w:szCs w:val="24"/>
              </w:rPr>
              <w:t>Global Nutrition Cluster Coordinator suggested that the Group makes a decision on the new representatives to the JIAG, reminding that he and the Global Protection Cluster Coordinator have been performing this function for over a year now. Mr. Fedele suggested that the usual procedure be used to identify the new Focal Point(s) – i.e. that the GCCG secretariat organise a call for volunteers followed by a “vote of approval” by the Group. Reacting to the proposal, the Global Food Security Coordinator suggested that the change of focal points only take place as of 2021, to allow for completion of the current HPC work cycle. Mr. Minjauw also informed that, should the current Focal Points were unable, for whatever reason</w:t>
            </w:r>
            <w:r w:rsidR="001C474C" w:rsidRPr="00A26534">
              <w:rPr>
                <w:rFonts w:ascii="Cambria" w:eastAsia="Times New Roman" w:hAnsi="Cambria"/>
                <w:sz w:val="24"/>
                <w:szCs w:val="24"/>
              </w:rPr>
              <w:t>s</w:t>
            </w:r>
            <w:r w:rsidRPr="00A26534">
              <w:rPr>
                <w:rFonts w:ascii="Cambria" w:eastAsia="Times New Roman" w:hAnsi="Cambria"/>
                <w:sz w:val="24"/>
                <w:szCs w:val="24"/>
              </w:rPr>
              <w:t>, to discharge the function until such time, he would be willing to provide the support required for the transition period, and until the new GCCG representative(s) to the JIAG is selected. Th</w:t>
            </w:r>
            <w:r w:rsidR="003A41A5" w:rsidRPr="00A26534">
              <w:rPr>
                <w:rFonts w:ascii="Cambria" w:eastAsia="Times New Roman" w:hAnsi="Cambria"/>
                <w:sz w:val="24"/>
                <w:szCs w:val="24"/>
              </w:rPr>
              <w:t xml:space="preserve">anking Mr. Fedele and Mr. Chemaly for their diligence in representing the GCCG at the JIAG and recognising the achievements made thanks to their and </w:t>
            </w:r>
            <w:r w:rsidR="00465D23" w:rsidRPr="00A26534">
              <w:rPr>
                <w:rFonts w:ascii="Cambria" w:eastAsia="Times New Roman" w:hAnsi="Cambria"/>
                <w:sz w:val="24"/>
                <w:szCs w:val="24"/>
              </w:rPr>
              <w:t xml:space="preserve">the </w:t>
            </w:r>
            <w:r w:rsidR="003A41A5" w:rsidRPr="00A26534">
              <w:rPr>
                <w:rFonts w:ascii="Cambria" w:eastAsia="Times New Roman" w:hAnsi="Cambria"/>
                <w:sz w:val="24"/>
                <w:szCs w:val="24"/>
              </w:rPr>
              <w:t xml:space="preserve">GCCG’s engagement, the GCCG Chair </w:t>
            </w:r>
            <w:r w:rsidR="001C474C" w:rsidRPr="00A26534">
              <w:rPr>
                <w:rFonts w:ascii="Cambria" w:eastAsia="Times New Roman" w:hAnsi="Cambria"/>
                <w:sz w:val="24"/>
                <w:szCs w:val="24"/>
              </w:rPr>
              <w:t xml:space="preserve">suggested that Mr. Fedele and Mr. Chemaly present the Group with a proposed timeline for their transition out of the JIAG FP roles, at which stage the </w:t>
            </w:r>
            <w:r w:rsidR="003A41A5" w:rsidRPr="00A26534">
              <w:rPr>
                <w:rFonts w:ascii="Cambria" w:eastAsia="Times New Roman" w:hAnsi="Cambria"/>
                <w:sz w:val="24"/>
                <w:szCs w:val="24"/>
              </w:rPr>
              <w:t xml:space="preserve">Group’s secretariat will proceed with the “call for volunteers” and subsequently </w:t>
            </w:r>
            <w:r w:rsidR="001C474C" w:rsidRPr="00A26534">
              <w:rPr>
                <w:rFonts w:ascii="Cambria" w:eastAsia="Times New Roman" w:hAnsi="Cambria"/>
                <w:sz w:val="24"/>
                <w:szCs w:val="24"/>
              </w:rPr>
              <w:t xml:space="preserve">with </w:t>
            </w:r>
            <w:r w:rsidR="003A41A5" w:rsidRPr="00A26534">
              <w:rPr>
                <w:rFonts w:ascii="Cambria" w:eastAsia="Times New Roman" w:hAnsi="Cambria"/>
                <w:sz w:val="24"/>
                <w:szCs w:val="24"/>
              </w:rPr>
              <w:t>seek</w:t>
            </w:r>
            <w:r w:rsidR="001C474C" w:rsidRPr="00A26534">
              <w:rPr>
                <w:rFonts w:ascii="Cambria" w:eastAsia="Times New Roman" w:hAnsi="Cambria"/>
                <w:sz w:val="24"/>
                <w:szCs w:val="24"/>
              </w:rPr>
              <w:t>ing</w:t>
            </w:r>
            <w:r w:rsidR="003A41A5" w:rsidRPr="00A26534">
              <w:rPr>
                <w:rFonts w:ascii="Cambria" w:eastAsia="Times New Roman" w:hAnsi="Cambria"/>
                <w:sz w:val="24"/>
                <w:szCs w:val="24"/>
              </w:rPr>
              <w:t xml:space="preserve"> GCCs’ endorsement of </w:t>
            </w:r>
            <w:r w:rsidR="001C474C" w:rsidRPr="00A26534">
              <w:rPr>
                <w:rFonts w:ascii="Cambria" w:eastAsia="Times New Roman" w:hAnsi="Cambria"/>
                <w:sz w:val="24"/>
                <w:szCs w:val="24"/>
              </w:rPr>
              <w:t xml:space="preserve">the </w:t>
            </w:r>
            <w:r w:rsidR="003A41A5" w:rsidRPr="00A26534">
              <w:rPr>
                <w:rFonts w:ascii="Cambria" w:eastAsia="Times New Roman" w:hAnsi="Cambria"/>
                <w:sz w:val="24"/>
                <w:szCs w:val="24"/>
              </w:rPr>
              <w:t xml:space="preserve">candidates. Ms. Skuric-Prodanovic </w:t>
            </w:r>
            <w:r w:rsidR="001C474C" w:rsidRPr="00A26534">
              <w:rPr>
                <w:rFonts w:ascii="Cambria" w:eastAsia="Times New Roman" w:hAnsi="Cambria"/>
                <w:sz w:val="24"/>
                <w:szCs w:val="24"/>
              </w:rPr>
              <w:t>added that</w:t>
            </w:r>
            <w:r w:rsidR="003A41A5" w:rsidRPr="00A26534">
              <w:rPr>
                <w:rFonts w:ascii="Cambria" w:eastAsia="Times New Roman" w:hAnsi="Cambria"/>
                <w:sz w:val="24"/>
                <w:szCs w:val="24"/>
              </w:rPr>
              <w:t xml:space="preserve"> any </w:t>
            </w:r>
            <w:r w:rsidR="001C474C" w:rsidRPr="00A26534">
              <w:rPr>
                <w:rFonts w:ascii="Cambria" w:eastAsia="Times New Roman" w:hAnsi="Cambria"/>
                <w:sz w:val="24"/>
                <w:szCs w:val="24"/>
              </w:rPr>
              <w:t>transitional</w:t>
            </w:r>
            <w:r w:rsidR="003A41A5" w:rsidRPr="00A26534">
              <w:rPr>
                <w:rFonts w:ascii="Cambria" w:eastAsia="Times New Roman" w:hAnsi="Cambria"/>
                <w:sz w:val="24"/>
                <w:szCs w:val="24"/>
              </w:rPr>
              <w:t xml:space="preserve"> arrangement, if indeed required</w:t>
            </w:r>
            <w:r w:rsidR="001C474C" w:rsidRPr="00A26534">
              <w:rPr>
                <w:rFonts w:ascii="Cambria" w:eastAsia="Times New Roman" w:hAnsi="Cambria"/>
                <w:sz w:val="24"/>
                <w:szCs w:val="24"/>
              </w:rPr>
              <w:t>, could be discussed, pending feedback from Mr. Fedele and Mr. Chemaly.</w:t>
            </w:r>
          </w:p>
          <w:p w14:paraId="472DAA30" w14:textId="62354B06" w:rsidR="001C474C" w:rsidRPr="00A26534" w:rsidRDefault="001C474C" w:rsidP="00260183">
            <w:pPr>
              <w:rPr>
                <w:rFonts w:ascii="Cambria" w:eastAsia="Times New Roman" w:hAnsi="Cambria"/>
                <w:sz w:val="24"/>
                <w:szCs w:val="24"/>
              </w:rPr>
            </w:pPr>
          </w:p>
          <w:p w14:paraId="318C1559" w14:textId="3DFB5111" w:rsidR="000A2266" w:rsidRPr="00A26534" w:rsidRDefault="000A2266" w:rsidP="00260183">
            <w:pPr>
              <w:rPr>
                <w:rFonts w:ascii="Cambria" w:eastAsia="Times New Roman" w:hAnsi="Cambria"/>
                <w:sz w:val="24"/>
                <w:szCs w:val="24"/>
              </w:rPr>
            </w:pPr>
            <w:r w:rsidRPr="00A26534">
              <w:rPr>
                <w:rFonts w:ascii="Cambria" w:eastAsia="Times New Roman" w:hAnsi="Cambria"/>
                <w:sz w:val="24"/>
                <w:szCs w:val="24"/>
                <w:u w:val="single"/>
              </w:rPr>
              <w:t>JIAF: Inter-cluster Persons-in-Need (PiN):</w:t>
            </w:r>
          </w:p>
          <w:p w14:paraId="31C5D57F" w14:textId="0D9C38A4" w:rsidR="000A2266" w:rsidRPr="00A26534" w:rsidRDefault="000A2266" w:rsidP="00260183">
            <w:pPr>
              <w:rPr>
                <w:rFonts w:ascii="Cambria" w:eastAsia="Times New Roman" w:hAnsi="Cambria"/>
                <w:sz w:val="12"/>
                <w:szCs w:val="12"/>
              </w:rPr>
            </w:pPr>
          </w:p>
          <w:p w14:paraId="3D359457" w14:textId="18CF3D56" w:rsidR="000A2266" w:rsidRPr="00A26534" w:rsidRDefault="000A2266" w:rsidP="00146A2B">
            <w:pPr>
              <w:rPr>
                <w:rFonts w:ascii="Cambria" w:eastAsia="Times New Roman" w:hAnsi="Cambria"/>
                <w:sz w:val="24"/>
                <w:szCs w:val="24"/>
              </w:rPr>
            </w:pPr>
            <w:r w:rsidRPr="00A26534">
              <w:rPr>
                <w:rFonts w:ascii="Cambria" w:eastAsia="Times New Roman" w:hAnsi="Cambria"/>
                <w:sz w:val="24"/>
                <w:szCs w:val="24"/>
              </w:rPr>
              <w:t xml:space="preserve">The Global Food Security Coordinator raised concern regarding the inter-cluster Persons-in-Need (PiN) number and the proposed way for calculating it for HNO/HRP 2021, which has not yet been endorsed. Mr. Minjauw stressed it must be endorsed </w:t>
            </w:r>
            <w:r w:rsidR="00146A2B" w:rsidRPr="00A26534">
              <w:rPr>
                <w:rFonts w:ascii="Cambria" w:eastAsia="Times New Roman" w:hAnsi="Cambria"/>
                <w:sz w:val="24"/>
                <w:szCs w:val="24"/>
              </w:rPr>
              <w:t xml:space="preserve">by the GCCG </w:t>
            </w:r>
            <w:r w:rsidRPr="00A26534">
              <w:rPr>
                <w:rFonts w:ascii="Cambria" w:eastAsia="Times New Roman" w:hAnsi="Cambria"/>
                <w:sz w:val="24"/>
                <w:szCs w:val="24"/>
              </w:rPr>
              <w:t xml:space="preserve">prior to roll-out to the field. In response, Ms. Dhur, representing OCHA, informed that the working group has been working closely with all concerned partners, including the GFSC and the IPC, to ensure comments and issues raised are addressed. She added that comments received from the IPC had already been reflected in the existing projection guidance, and </w:t>
            </w:r>
            <w:r w:rsidRPr="00A26534">
              <w:rPr>
                <w:rFonts w:ascii="Cambria" w:eastAsia="Times New Roman" w:hAnsi="Cambria"/>
                <w:sz w:val="24"/>
                <w:szCs w:val="24"/>
              </w:rPr>
              <w:lastRenderedPageBreak/>
              <w:t xml:space="preserve">that any final comments were still welcome by 17 September. The final draft would be shared with the GCCG ahead of the HPC Steering Group meeting scheduled for Thursday 24 September. </w:t>
            </w:r>
          </w:p>
          <w:p w14:paraId="66A1DBB5" w14:textId="04CCDF36" w:rsidR="000A2266" w:rsidRPr="00A26534" w:rsidRDefault="000A2266" w:rsidP="00260183">
            <w:pPr>
              <w:rPr>
                <w:rFonts w:ascii="Calibri" w:eastAsia="Times New Roman" w:hAnsi="Calibri" w:cs="Calibri"/>
                <w:lang w:eastAsia="zh-CN"/>
              </w:rPr>
            </w:pPr>
          </w:p>
          <w:p w14:paraId="0D5B9ED5" w14:textId="6C353E7A" w:rsidR="00146A2B" w:rsidRPr="00A26534" w:rsidRDefault="00146A2B" w:rsidP="00146A2B">
            <w:pPr>
              <w:rPr>
                <w:rFonts w:ascii="Calibri" w:eastAsia="Times New Roman" w:hAnsi="Calibri" w:cs="Calibri"/>
                <w:lang w:eastAsia="zh-CN"/>
              </w:rPr>
            </w:pPr>
            <w:r w:rsidRPr="00A26534">
              <w:rPr>
                <w:rFonts w:ascii="Cambria" w:eastAsia="Times New Roman" w:hAnsi="Cambria"/>
                <w:sz w:val="24"/>
                <w:szCs w:val="24"/>
                <w:u w:val="single"/>
              </w:rPr>
              <w:t>Update from the EDG – stock-taking meeting:</w:t>
            </w:r>
            <w:r w:rsidRPr="00A26534">
              <w:rPr>
                <w:rFonts w:ascii="Calibri" w:hAnsi="Calibri" w:cs="Calibri"/>
              </w:rPr>
              <w:t xml:space="preserve"> </w:t>
            </w:r>
          </w:p>
          <w:p w14:paraId="12688115" w14:textId="4E2CB4C1" w:rsidR="00146A2B" w:rsidRPr="00A26534" w:rsidRDefault="00146A2B" w:rsidP="00146A2B">
            <w:pPr>
              <w:rPr>
                <w:rFonts w:ascii="Calibri" w:eastAsia="Times New Roman" w:hAnsi="Calibri" w:cs="Calibri"/>
                <w:sz w:val="12"/>
                <w:szCs w:val="12"/>
                <w:lang w:eastAsia="zh-CN"/>
              </w:rPr>
            </w:pPr>
          </w:p>
          <w:p w14:paraId="5BCDA501" w14:textId="77777777" w:rsidR="00146A2B" w:rsidRPr="00A26534" w:rsidRDefault="00146A2B" w:rsidP="00146A2B">
            <w:pPr>
              <w:rPr>
                <w:rFonts w:ascii="Cambria" w:eastAsia="Times New Roman" w:hAnsi="Cambria"/>
                <w:sz w:val="24"/>
                <w:szCs w:val="24"/>
              </w:rPr>
            </w:pPr>
            <w:r w:rsidRPr="00A26534">
              <w:rPr>
                <w:rFonts w:ascii="Cambria" w:eastAsia="Times New Roman" w:hAnsi="Cambria"/>
                <w:sz w:val="24"/>
                <w:szCs w:val="24"/>
              </w:rPr>
              <w:t>The GCCG Chair informed the Group of the following three outcomes of the EDG meeting held on 15 September:</w:t>
            </w:r>
          </w:p>
          <w:p w14:paraId="6F3C72F2" w14:textId="5AAC5C47" w:rsidR="00146A2B" w:rsidRPr="00A26534" w:rsidRDefault="00146A2B" w:rsidP="00146A2B">
            <w:pPr>
              <w:rPr>
                <w:rFonts w:ascii="Cambria" w:eastAsia="Times New Roman" w:hAnsi="Cambria"/>
                <w:sz w:val="24"/>
                <w:szCs w:val="24"/>
              </w:rPr>
            </w:pPr>
            <w:r w:rsidRPr="00A26534">
              <w:rPr>
                <w:rFonts w:ascii="Cambria" w:eastAsia="Times New Roman" w:hAnsi="Cambria"/>
                <w:sz w:val="24"/>
                <w:szCs w:val="24"/>
              </w:rPr>
              <w:t xml:space="preserve">i) </w:t>
            </w:r>
            <w:r w:rsidR="005A6096" w:rsidRPr="00A26534">
              <w:rPr>
                <w:rFonts w:ascii="Cambria" w:eastAsia="Times New Roman" w:hAnsi="Cambria"/>
                <w:sz w:val="24"/>
                <w:szCs w:val="24"/>
              </w:rPr>
              <w:t xml:space="preserve">The </w:t>
            </w:r>
            <w:r w:rsidRPr="00A26534">
              <w:rPr>
                <w:rFonts w:ascii="Cambria" w:eastAsia="Times New Roman" w:hAnsi="Cambria"/>
                <w:sz w:val="24"/>
                <w:szCs w:val="24"/>
              </w:rPr>
              <w:t xml:space="preserve">EDG Chair will have a follow-up discussion with the OPAG </w:t>
            </w:r>
            <w:r w:rsidR="005A6096" w:rsidRPr="00A26534">
              <w:rPr>
                <w:rFonts w:ascii="Cambria" w:eastAsia="Times New Roman" w:hAnsi="Cambria"/>
                <w:sz w:val="24"/>
                <w:szCs w:val="24"/>
              </w:rPr>
              <w:t>C</w:t>
            </w:r>
            <w:r w:rsidRPr="00A26534">
              <w:rPr>
                <w:rFonts w:ascii="Cambria" w:eastAsia="Times New Roman" w:hAnsi="Cambria"/>
                <w:sz w:val="24"/>
                <w:szCs w:val="24"/>
              </w:rPr>
              <w:t xml:space="preserve">o-chairs to strengthen linkages between the work and priorities of the EDG and OPAG/RGs. This is in addition to the communication from ERC Lowcock on the </w:t>
            </w:r>
            <w:r w:rsidR="00231196" w:rsidRPr="00A26534">
              <w:rPr>
                <w:rFonts w:ascii="Cambria" w:eastAsia="Times New Roman" w:hAnsi="Cambria"/>
                <w:sz w:val="24"/>
                <w:szCs w:val="24"/>
              </w:rPr>
              <w:t xml:space="preserve">decision to </w:t>
            </w:r>
            <w:r w:rsidRPr="00A26534">
              <w:rPr>
                <w:rFonts w:ascii="Cambria" w:eastAsia="Times New Roman" w:hAnsi="Cambria"/>
                <w:sz w:val="24"/>
                <w:szCs w:val="24"/>
              </w:rPr>
              <w:t>exten</w:t>
            </w:r>
            <w:r w:rsidR="00231196" w:rsidRPr="00A26534">
              <w:rPr>
                <w:rFonts w:ascii="Cambria" w:eastAsia="Times New Roman" w:hAnsi="Cambria"/>
                <w:sz w:val="24"/>
                <w:szCs w:val="24"/>
              </w:rPr>
              <w:t>d</w:t>
            </w:r>
            <w:r w:rsidRPr="00A26534">
              <w:rPr>
                <w:rFonts w:ascii="Cambria" w:eastAsia="Times New Roman" w:hAnsi="Cambria"/>
                <w:sz w:val="24"/>
                <w:szCs w:val="24"/>
              </w:rPr>
              <w:t xml:space="preserve"> the IASC structures.</w:t>
            </w:r>
          </w:p>
          <w:p w14:paraId="32F73B3F" w14:textId="7B8346E8" w:rsidR="00146A2B" w:rsidRPr="00A26534" w:rsidRDefault="00146A2B" w:rsidP="00146A2B">
            <w:pPr>
              <w:rPr>
                <w:rFonts w:ascii="Cambria" w:eastAsia="Times New Roman" w:hAnsi="Cambria"/>
                <w:sz w:val="24"/>
                <w:szCs w:val="24"/>
              </w:rPr>
            </w:pPr>
            <w:r w:rsidRPr="00A26534">
              <w:rPr>
                <w:rFonts w:ascii="Cambria" w:eastAsia="Times New Roman" w:hAnsi="Cambria"/>
                <w:sz w:val="24"/>
                <w:szCs w:val="24"/>
              </w:rPr>
              <w:t>ii) On bureaucratic and administrative impediments, two parallel tracks will be pursued: (a) an EDG call will be arranged immediately to provide concrete recommendations to IASC Principals by the end of September on how major visa issues in specific operations can be addressed; and (b) an EDG call will be arranged to explore how such impediments can be more strategically and proactively addressed through collective messaging/advocacy vis-à-vis governments, communities and armed groups to facilitate humanitarian access and acceptance more broadly.    </w:t>
            </w:r>
          </w:p>
          <w:p w14:paraId="51A8BEAC" w14:textId="674E25DA" w:rsidR="00146A2B" w:rsidRPr="00A26534" w:rsidRDefault="00146A2B" w:rsidP="00146A2B">
            <w:pPr>
              <w:rPr>
                <w:rFonts w:ascii="Cambria" w:eastAsia="Times New Roman" w:hAnsi="Cambria"/>
                <w:sz w:val="24"/>
                <w:szCs w:val="24"/>
              </w:rPr>
            </w:pPr>
            <w:r w:rsidRPr="00A26534">
              <w:rPr>
                <w:rFonts w:ascii="Cambria" w:eastAsia="Times New Roman" w:hAnsi="Cambria"/>
                <w:sz w:val="24"/>
                <w:szCs w:val="24"/>
              </w:rPr>
              <w:t>iii) The EDG broadly agreed to recommend the extension of the COVID-19-tailored IASC Scale-up Activation for an additional three months (until 17 January 2021).  IASC Principals will consider this recommendation, and, if approved, common messaging will be developed around the extension.  </w:t>
            </w:r>
          </w:p>
          <w:p w14:paraId="241F3DCF" w14:textId="77777777" w:rsidR="00146A2B" w:rsidRPr="00A26534" w:rsidRDefault="00146A2B" w:rsidP="00146A2B">
            <w:pPr>
              <w:rPr>
                <w:rFonts w:ascii="Calibri" w:eastAsia="Times New Roman" w:hAnsi="Calibri" w:cs="Calibri"/>
                <w:lang w:eastAsia="zh-CN"/>
              </w:rPr>
            </w:pPr>
          </w:p>
          <w:p w14:paraId="429BD822" w14:textId="23EC2730" w:rsidR="000A2266" w:rsidRPr="00A26534" w:rsidRDefault="00FA241A" w:rsidP="00260183">
            <w:pPr>
              <w:rPr>
                <w:rFonts w:ascii="Cambria" w:eastAsia="Times New Roman" w:hAnsi="Cambria"/>
                <w:sz w:val="24"/>
                <w:szCs w:val="24"/>
                <w:u w:val="single"/>
              </w:rPr>
            </w:pPr>
            <w:r w:rsidRPr="00A26534">
              <w:rPr>
                <w:rFonts w:ascii="Cambria" w:eastAsia="Times New Roman" w:hAnsi="Cambria"/>
                <w:sz w:val="24"/>
                <w:szCs w:val="24"/>
                <w:u w:val="single"/>
              </w:rPr>
              <w:t>ICCG Performance Monitoring:</w:t>
            </w:r>
          </w:p>
          <w:p w14:paraId="35A82186" w14:textId="0E1AD74B" w:rsidR="00FA241A" w:rsidRPr="00A26534" w:rsidRDefault="00FA241A" w:rsidP="00260183">
            <w:pPr>
              <w:rPr>
                <w:rFonts w:ascii="Cambria" w:eastAsia="Times New Roman" w:hAnsi="Cambria"/>
                <w:sz w:val="12"/>
                <w:szCs w:val="12"/>
                <w:u w:val="single"/>
              </w:rPr>
            </w:pPr>
          </w:p>
          <w:p w14:paraId="36C201E8" w14:textId="51A8F65E" w:rsidR="00FA241A" w:rsidRPr="00A26534" w:rsidRDefault="00FA241A" w:rsidP="00260183">
            <w:pPr>
              <w:rPr>
                <w:rFonts w:ascii="Cambria" w:eastAsia="Times New Roman" w:hAnsi="Cambria"/>
                <w:sz w:val="24"/>
                <w:szCs w:val="24"/>
              </w:rPr>
            </w:pPr>
            <w:r w:rsidRPr="00A26534">
              <w:rPr>
                <w:rFonts w:ascii="Cambria" w:eastAsia="Times New Roman" w:hAnsi="Cambria"/>
                <w:sz w:val="24"/>
                <w:szCs w:val="24"/>
              </w:rPr>
              <w:t xml:space="preserve">The GCCG Chair informed the Group that the GCCG secretariat would be approaching individual GCCs with requests to participate in performance review workshops. Ms. Skuric-Prodanovic elaborated that the support would not require a significant time commitment, yet that it was part of the field support component of the GCCG workplan. </w:t>
            </w:r>
            <w:r w:rsidR="005A6096" w:rsidRPr="00A26534">
              <w:rPr>
                <w:rFonts w:ascii="Cambria" w:eastAsia="Times New Roman" w:hAnsi="Cambria"/>
                <w:sz w:val="24"/>
                <w:szCs w:val="24"/>
              </w:rPr>
              <w:t>The GCCG agreed with this proposal.</w:t>
            </w:r>
          </w:p>
          <w:p w14:paraId="1A22AD5E" w14:textId="3F619CEE" w:rsidR="00FA241A" w:rsidRPr="00A26534" w:rsidRDefault="00FA241A" w:rsidP="00260183">
            <w:pPr>
              <w:rPr>
                <w:rFonts w:ascii="Cambria" w:eastAsia="Times New Roman" w:hAnsi="Cambria"/>
                <w:sz w:val="24"/>
                <w:szCs w:val="24"/>
              </w:rPr>
            </w:pPr>
          </w:p>
          <w:p w14:paraId="1ECE2FA1" w14:textId="1AC187DD" w:rsidR="00FA241A" w:rsidRPr="00A26534" w:rsidRDefault="00FA241A" w:rsidP="00260183">
            <w:pPr>
              <w:rPr>
                <w:rFonts w:ascii="Cambria" w:eastAsia="Times New Roman" w:hAnsi="Cambria"/>
                <w:sz w:val="24"/>
                <w:szCs w:val="24"/>
                <w:u w:val="single"/>
              </w:rPr>
            </w:pPr>
            <w:r w:rsidRPr="00A26534">
              <w:rPr>
                <w:rFonts w:ascii="Cambria" w:eastAsia="Times New Roman" w:hAnsi="Cambria"/>
                <w:sz w:val="24"/>
                <w:szCs w:val="24"/>
                <w:u w:val="single"/>
              </w:rPr>
              <w:t>GCCG meetings going forward:</w:t>
            </w:r>
          </w:p>
          <w:p w14:paraId="0D85DF89" w14:textId="63DD51BA" w:rsidR="00FA241A" w:rsidRPr="00A26534" w:rsidRDefault="00FA241A" w:rsidP="00260183">
            <w:pPr>
              <w:rPr>
                <w:rFonts w:ascii="Cambria" w:eastAsia="Times New Roman" w:hAnsi="Cambria"/>
                <w:sz w:val="12"/>
                <w:szCs w:val="12"/>
                <w:u w:val="single"/>
              </w:rPr>
            </w:pPr>
          </w:p>
          <w:p w14:paraId="3C9526EF" w14:textId="3538922D" w:rsidR="00FA241A" w:rsidRPr="00A26534" w:rsidRDefault="00FA241A" w:rsidP="00260183">
            <w:pPr>
              <w:rPr>
                <w:rFonts w:ascii="Cambria" w:eastAsia="Times New Roman" w:hAnsi="Cambria"/>
                <w:sz w:val="24"/>
                <w:szCs w:val="24"/>
              </w:rPr>
            </w:pPr>
            <w:r w:rsidRPr="00A26534">
              <w:rPr>
                <w:rFonts w:ascii="Cambria" w:eastAsia="Times New Roman" w:hAnsi="Cambria"/>
                <w:sz w:val="24"/>
                <w:szCs w:val="24"/>
              </w:rPr>
              <w:t xml:space="preserve">Ms. Skuric-Prodanovic informed the Group that the next regular meeting will take place on Wednesday, 30 September at 14:00 (as per the bi-weekly, standard schedule). She added that, based on frequent feedback from the Group and to ensure the </w:t>
            </w:r>
            <w:r w:rsidR="00B545D6" w:rsidRPr="00A26534">
              <w:rPr>
                <w:rFonts w:ascii="Cambria" w:eastAsia="Times New Roman" w:hAnsi="Cambria"/>
                <w:sz w:val="24"/>
                <w:szCs w:val="24"/>
              </w:rPr>
              <w:t>meetings serve their intended purpose</w:t>
            </w:r>
            <w:r w:rsidRPr="00A26534">
              <w:rPr>
                <w:rFonts w:ascii="Cambria" w:eastAsia="Times New Roman" w:hAnsi="Cambria"/>
                <w:sz w:val="24"/>
                <w:szCs w:val="24"/>
              </w:rPr>
              <w:t xml:space="preserve">, the GCCG secretariat will </w:t>
            </w:r>
            <w:r w:rsidR="00B545D6" w:rsidRPr="00A26534">
              <w:rPr>
                <w:rFonts w:ascii="Cambria" w:eastAsia="Times New Roman" w:hAnsi="Cambria"/>
                <w:sz w:val="24"/>
                <w:szCs w:val="24"/>
              </w:rPr>
              <w:t xml:space="preserve">adjust the invitation to include only the Coordinators and their deputies (as opposed to sending invitation to the </w:t>
            </w:r>
            <w:r w:rsidR="00B545D6" w:rsidRPr="00A26534">
              <w:rPr>
                <w:rFonts w:ascii="Cambria" w:eastAsia="Times New Roman" w:hAnsi="Cambria"/>
                <w:sz w:val="24"/>
                <w:szCs w:val="24"/>
              </w:rPr>
              <w:lastRenderedPageBreak/>
              <w:t xml:space="preserve">entire mailing list), while any guests will be invited only for specific agenda items. Agendas and any background documents will initially (prior to the meeting) be shared only with Coordinators and their deputies. The agendas will subsequently be posted on the GCCG IASC website, together with meetings’ records. The GCCG Chair elaborated that </w:t>
            </w:r>
            <w:r w:rsidR="00AB2F8C" w:rsidRPr="00A26534">
              <w:rPr>
                <w:rFonts w:ascii="Cambria" w:eastAsia="Times New Roman" w:hAnsi="Cambria"/>
                <w:sz w:val="24"/>
                <w:szCs w:val="24"/>
              </w:rPr>
              <w:t>the GCCs would, of course, continue to be able to share the documents with their global and country team as they deem fit.</w:t>
            </w:r>
            <w:r w:rsidR="00B545D6" w:rsidRPr="00A26534">
              <w:rPr>
                <w:rFonts w:ascii="Cambria" w:eastAsia="Times New Roman" w:hAnsi="Cambria"/>
                <w:sz w:val="24"/>
                <w:szCs w:val="24"/>
              </w:rPr>
              <w:t xml:space="preserve"> </w:t>
            </w:r>
            <w:r w:rsidR="00AB2F8C" w:rsidRPr="00A26534">
              <w:rPr>
                <w:rFonts w:ascii="Cambria" w:eastAsia="Times New Roman" w:hAnsi="Cambria"/>
                <w:sz w:val="24"/>
                <w:szCs w:val="24"/>
                <w:u w:val="single"/>
              </w:rPr>
              <w:t>There was no objection by the GCCs to this new approach.</w:t>
            </w:r>
          </w:p>
          <w:p w14:paraId="564C8F74" w14:textId="52283D71" w:rsidR="00AB2F8C" w:rsidRPr="00A26534" w:rsidRDefault="00AB2F8C" w:rsidP="00260183">
            <w:pPr>
              <w:rPr>
                <w:rFonts w:ascii="Cambria" w:eastAsia="Times New Roman" w:hAnsi="Cambria"/>
                <w:sz w:val="24"/>
                <w:szCs w:val="24"/>
              </w:rPr>
            </w:pPr>
          </w:p>
          <w:p w14:paraId="6CC9EBE5" w14:textId="1DA7BB2D" w:rsidR="00AB2F8C" w:rsidRPr="00A26534" w:rsidRDefault="00AB2F8C" w:rsidP="00260183">
            <w:pPr>
              <w:rPr>
                <w:rFonts w:ascii="Cambria" w:eastAsia="Times New Roman" w:hAnsi="Cambria"/>
                <w:sz w:val="24"/>
                <w:szCs w:val="24"/>
                <w:u w:val="single"/>
              </w:rPr>
            </w:pPr>
            <w:r w:rsidRPr="00A26534">
              <w:rPr>
                <w:rFonts w:ascii="Cambria" w:eastAsia="Times New Roman" w:hAnsi="Cambria"/>
                <w:sz w:val="24"/>
                <w:szCs w:val="24"/>
                <w:u w:val="single"/>
              </w:rPr>
              <w:t>“Stepping back to look forward”:</w:t>
            </w:r>
          </w:p>
          <w:p w14:paraId="46C46A6A" w14:textId="78333FC4" w:rsidR="00AB2F8C" w:rsidRPr="00A26534" w:rsidRDefault="00AB2F8C" w:rsidP="00260183">
            <w:pPr>
              <w:rPr>
                <w:rFonts w:ascii="Cambria" w:eastAsia="Times New Roman" w:hAnsi="Cambria"/>
                <w:sz w:val="12"/>
                <w:szCs w:val="12"/>
                <w:u w:val="single"/>
              </w:rPr>
            </w:pPr>
          </w:p>
          <w:p w14:paraId="61224B8C" w14:textId="0A0BF3BA" w:rsidR="00AB2F8C" w:rsidRPr="00A26534" w:rsidRDefault="00AB2F8C" w:rsidP="00260183">
            <w:pPr>
              <w:rPr>
                <w:rFonts w:ascii="Cambria" w:eastAsia="Times New Roman" w:hAnsi="Cambria"/>
                <w:sz w:val="24"/>
                <w:szCs w:val="24"/>
              </w:rPr>
            </w:pPr>
            <w:r w:rsidRPr="00A26534">
              <w:rPr>
                <w:rFonts w:ascii="Cambria" w:eastAsia="Times New Roman" w:hAnsi="Cambria"/>
                <w:sz w:val="24"/>
                <w:szCs w:val="24"/>
              </w:rPr>
              <w:t xml:space="preserve">The GCCG Chair thanked Mr. Copland (Child Protection AOR) for his support with re-formulating the questions which will serve as basis for the Phase 1 of the exercise and informed that few additional adjustments were made to the list of co-leads for the 13 workstreams. She informed that Group that the GCCG secretariat would be shortly circulating a message which summarises all information related to taking </w:t>
            </w:r>
            <w:r w:rsidR="006B6273" w:rsidRPr="00A26534">
              <w:rPr>
                <w:rFonts w:ascii="Cambria" w:eastAsia="Times New Roman" w:hAnsi="Cambria"/>
                <w:sz w:val="24"/>
                <w:szCs w:val="24"/>
              </w:rPr>
              <w:t>this endeavour forward, including the agreed timelines.</w:t>
            </w:r>
          </w:p>
          <w:p w14:paraId="20840AC9" w14:textId="049E7BD8" w:rsidR="006B6273" w:rsidRPr="00A26534" w:rsidRDefault="006B6273" w:rsidP="00260183">
            <w:pPr>
              <w:rPr>
                <w:rFonts w:ascii="Cambria" w:eastAsia="Times New Roman" w:hAnsi="Cambria"/>
                <w:sz w:val="24"/>
                <w:szCs w:val="24"/>
              </w:rPr>
            </w:pPr>
          </w:p>
          <w:p w14:paraId="4F01B122" w14:textId="42B9DEFD" w:rsidR="006B6273" w:rsidRPr="00A26534" w:rsidRDefault="006B6273" w:rsidP="00260183">
            <w:pPr>
              <w:rPr>
                <w:rFonts w:ascii="Cambria" w:eastAsia="Times New Roman" w:hAnsi="Cambria"/>
                <w:sz w:val="24"/>
                <w:szCs w:val="24"/>
                <w:u w:val="single"/>
              </w:rPr>
            </w:pPr>
            <w:r w:rsidRPr="00A26534">
              <w:rPr>
                <w:rFonts w:ascii="Cambria" w:eastAsia="Times New Roman" w:hAnsi="Cambria"/>
                <w:sz w:val="24"/>
                <w:szCs w:val="24"/>
                <w:u w:val="single"/>
              </w:rPr>
              <w:t>Update from the Global CCCM Cluster:</w:t>
            </w:r>
          </w:p>
          <w:p w14:paraId="0E491D5A" w14:textId="25F7B6A0" w:rsidR="006B6273" w:rsidRPr="00A26534" w:rsidRDefault="006B6273" w:rsidP="00260183">
            <w:pPr>
              <w:rPr>
                <w:rFonts w:ascii="Cambria" w:eastAsia="Times New Roman" w:hAnsi="Cambria"/>
                <w:sz w:val="12"/>
                <w:szCs w:val="12"/>
                <w:u w:val="single"/>
              </w:rPr>
            </w:pPr>
          </w:p>
          <w:p w14:paraId="2B25E30E" w14:textId="3E45733F" w:rsidR="006B6273" w:rsidRPr="00A26534" w:rsidRDefault="006B6273" w:rsidP="00260183">
            <w:pPr>
              <w:rPr>
                <w:rFonts w:ascii="Cambria" w:eastAsia="Times New Roman" w:hAnsi="Cambria"/>
                <w:sz w:val="24"/>
                <w:szCs w:val="24"/>
              </w:rPr>
            </w:pPr>
            <w:r w:rsidRPr="00A26534">
              <w:rPr>
                <w:rFonts w:ascii="Cambria" w:eastAsia="Times New Roman" w:hAnsi="Cambria"/>
                <w:sz w:val="24"/>
                <w:szCs w:val="24"/>
              </w:rPr>
              <w:t xml:space="preserve">Ms. Sophonpanich informed the Group that the Global CCCM Cluster is undertaken this year a review of its strategy and might, as part of the process, seek best practices from other Global Clusters. </w:t>
            </w:r>
          </w:p>
          <w:p w14:paraId="0962FBC7" w14:textId="3561A423" w:rsidR="006B6273" w:rsidRPr="00A26534" w:rsidRDefault="006B6273" w:rsidP="00260183">
            <w:pPr>
              <w:rPr>
                <w:rFonts w:ascii="Cambria" w:eastAsia="Times New Roman" w:hAnsi="Cambria"/>
                <w:sz w:val="12"/>
                <w:szCs w:val="12"/>
              </w:rPr>
            </w:pPr>
          </w:p>
          <w:p w14:paraId="7DE297F2" w14:textId="48152E0C" w:rsidR="006B6273" w:rsidRPr="00A26534" w:rsidRDefault="006B6273" w:rsidP="00260183">
            <w:pPr>
              <w:rPr>
                <w:rFonts w:ascii="Cambria" w:eastAsia="Times New Roman" w:hAnsi="Cambria"/>
                <w:sz w:val="24"/>
                <w:szCs w:val="24"/>
              </w:rPr>
            </w:pPr>
            <w:r w:rsidRPr="00A26534">
              <w:rPr>
                <w:rFonts w:ascii="Cambria" w:eastAsia="Times New Roman" w:hAnsi="Cambria"/>
                <w:sz w:val="24"/>
                <w:szCs w:val="24"/>
              </w:rPr>
              <w:t xml:space="preserve">The Global CCCM Cluster Co-coordinator also informed that, for the past two years, the GC has been working on developing camp management standards, also working with the SPHERE Project. She encouraged her peers to provide their feedback either through Humanitarian Standards Partnership </w:t>
            </w:r>
            <w:r w:rsidR="00393B67" w:rsidRPr="00A26534">
              <w:rPr>
                <w:rFonts w:ascii="Cambria" w:eastAsia="Times New Roman" w:hAnsi="Cambria"/>
                <w:sz w:val="24"/>
                <w:szCs w:val="24"/>
              </w:rPr>
              <w:t xml:space="preserve">(survey can be find via link: </w:t>
            </w:r>
            <w:hyperlink r:id="rId8" w:history="1">
              <w:r w:rsidR="00393B67" w:rsidRPr="00A26534">
                <w:rPr>
                  <w:rStyle w:val="Hyperlink"/>
                  <w:rFonts w:ascii="Cambria" w:eastAsia="Times New Roman" w:hAnsi="Cambria"/>
                  <w:sz w:val="24"/>
                  <w:szCs w:val="24"/>
                </w:rPr>
                <w:t>https://diagnostics.phap.org/s3/CMStandardsValidation</w:t>
              </w:r>
            </w:hyperlink>
            <w:r w:rsidR="00393B67" w:rsidRPr="00A26534">
              <w:rPr>
                <w:rFonts w:ascii="Cambria" w:eastAsia="Times New Roman" w:hAnsi="Cambria"/>
                <w:sz w:val="24"/>
                <w:szCs w:val="24"/>
              </w:rPr>
              <w:t xml:space="preserve">) </w:t>
            </w:r>
            <w:r w:rsidRPr="00A26534">
              <w:rPr>
                <w:rFonts w:ascii="Cambria" w:eastAsia="Times New Roman" w:hAnsi="Cambria"/>
                <w:sz w:val="24"/>
                <w:szCs w:val="24"/>
              </w:rPr>
              <w:t>or by reaching directly to her.</w:t>
            </w:r>
          </w:p>
          <w:p w14:paraId="7BD10151" w14:textId="7D885966" w:rsidR="002C35AA" w:rsidRPr="00A26534" w:rsidRDefault="002C35AA" w:rsidP="00CF61EF">
            <w:pPr>
              <w:rPr>
                <w:rFonts w:ascii="Cambria" w:eastAsia="Times New Roman" w:hAnsi="Cambria" w:cs="Times New Roman"/>
                <w:sz w:val="12"/>
                <w:szCs w:val="12"/>
              </w:rPr>
            </w:pPr>
          </w:p>
        </w:tc>
        <w:tc>
          <w:tcPr>
            <w:tcW w:w="3119" w:type="dxa"/>
          </w:tcPr>
          <w:p w14:paraId="021B4DA0" w14:textId="77777777" w:rsidR="009936D5" w:rsidRPr="00A26534" w:rsidRDefault="009936D5" w:rsidP="005F5B4A">
            <w:pPr>
              <w:rPr>
                <w:rFonts w:ascii="Cambria" w:hAnsi="Cambria"/>
                <w:sz w:val="24"/>
                <w:szCs w:val="24"/>
              </w:rPr>
            </w:pPr>
            <w:bookmarkStart w:id="2" w:name="_GoBack"/>
            <w:bookmarkEnd w:id="2"/>
          </w:p>
          <w:p w14:paraId="65EE2F9A" w14:textId="77777777" w:rsidR="003A41A5" w:rsidRPr="00A26534" w:rsidRDefault="003A41A5" w:rsidP="005F5B4A">
            <w:pPr>
              <w:rPr>
                <w:rFonts w:ascii="Cambria" w:hAnsi="Cambria"/>
                <w:sz w:val="12"/>
                <w:szCs w:val="12"/>
              </w:rPr>
            </w:pPr>
          </w:p>
          <w:p w14:paraId="515A8A33" w14:textId="5F276C93" w:rsidR="001C474C" w:rsidRPr="00A26534" w:rsidRDefault="003A41A5" w:rsidP="005F5B4A">
            <w:pPr>
              <w:rPr>
                <w:rFonts w:ascii="Cambria" w:hAnsi="Cambria"/>
                <w:sz w:val="24"/>
                <w:szCs w:val="24"/>
              </w:rPr>
            </w:pPr>
            <w:r w:rsidRPr="00A26534">
              <w:rPr>
                <w:rFonts w:ascii="Cambria" w:hAnsi="Cambria"/>
                <w:sz w:val="24"/>
                <w:szCs w:val="24"/>
              </w:rPr>
              <w:t xml:space="preserve">i) </w:t>
            </w:r>
            <w:r w:rsidR="001C474C" w:rsidRPr="00A26534">
              <w:rPr>
                <w:rFonts w:ascii="Cambria" w:hAnsi="Cambria"/>
                <w:sz w:val="24"/>
                <w:szCs w:val="24"/>
              </w:rPr>
              <w:t xml:space="preserve">GNC and GPC Coordinators to propose a transition </w:t>
            </w:r>
            <w:r w:rsidR="00A26534" w:rsidRPr="00A26534">
              <w:rPr>
                <w:rFonts w:ascii="Cambria" w:hAnsi="Cambria"/>
                <w:sz w:val="24"/>
                <w:szCs w:val="24"/>
              </w:rPr>
              <w:t>timeline</w:t>
            </w:r>
            <w:r w:rsidR="001C474C" w:rsidRPr="00A26534">
              <w:rPr>
                <w:rFonts w:ascii="Cambria" w:hAnsi="Cambria"/>
                <w:sz w:val="24"/>
                <w:szCs w:val="24"/>
              </w:rPr>
              <w:t>;</w:t>
            </w:r>
          </w:p>
          <w:p w14:paraId="29C32D20" w14:textId="77777777" w:rsidR="001C474C" w:rsidRPr="00A26534" w:rsidRDefault="001C474C" w:rsidP="005F5B4A">
            <w:pPr>
              <w:rPr>
                <w:rFonts w:ascii="Cambria" w:hAnsi="Cambria"/>
                <w:sz w:val="12"/>
                <w:szCs w:val="12"/>
              </w:rPr>
            </w:pPr>
          </w:p>
          <w:p w14:paraId="1F50D6AC" w14:textId="599CBCDD" w:rsidR="003A41A5" w:rsidRPr="00A26534" w:rsidRDefault="001C474C" w:rsidP="005F5B4A">
            <w:pPr>
              <w:rPr>
                <w:rFonts w:ascii="Cambria" w:hAnsi="Cambria"/>
                <w:sz w:val="24"/>
                <w:szCs w:val="24"/>
              </w:rPr>
            </w:pPr>
            <w:r w:rsidRPr="00A26534">
              <w:rPr>
                <w:rFonts w:ascii="Cambria" w:hAnsi="Cambria"/>
                <w:sz w:val="24"/>
                <w:szCs w:val="24"/>
              </w:rPr>
              <w:t xml:space="preserve">ii) </w:t>
            </w:r>
            <w:r w:rsidR="003A41A5" w:rsidRPr="00A26534">
              <w:rPr>
                <w:rFonts w:ascii="Cambria" w:hAnsi="Cambria"/>
                <w:sz w:val="24"/>
                <w:szCs w:val="24"/>
              </w:rPr>
              <w:t>GCCs to volunteer to become Group’s Focal Points to the JIAG;</w:t>
            </w:r>
          </w:p>
          <w:p w14:paraId="1CE266AE" w14:textId="77777777" w:rsidR="003A41A5" w:rsidRPr="00A26534" w:rsidRDefault="003A41A5" w:rsidP="005F5B4A">
            <w:pPr>
              <w:rPr>
                <w:rFonts w:ascii="Cambria" w:hAnsi="Cambria"/>
                <w:sz w:val="12"/>
                <w:szCs w:val="12"/>
              </w:rPr>
            </w:pPr>
          </w:p>
          <w:p w14:paraId="051F5317" w14:textId="6D06568E" w:rsidR="003A41A5" w:rsidRPr="00A26534" w:rsidRDefault="003A41A5" w:rsidP="005F5B4A">
            <w:pPr>
              <w:rPr>
                <w:rFonts w:ascii="Cambria" w:hAnsi="Cambria"/>
                <w:sz w:val="24"/>
                <w:szCs w:val="24"/>
              </w:rPr>
            </w:pPr>
            <w:r w:rsidRPr="00A26534">
              <w:rPr>
                <w:rFonts w:ascii="Cambria" w:hAnsi="Cambria"/>
                <w:sz w:val="24"/>
                <w:szCs w:val="24"/>
              </w:rPr>
              <w:t>ii</w:t>
            </w:r>
            <w:r w:rsidR="001C474C" w:rsidRPr="00A26534">
              <w:rPr>
                <w:rFonts w:ascii="Cambria" w:hAnsi="Cambria"/>
                <w:sz w:val="24"/>
                <w:szCs w:val="24"/>
              </w:rPr>
              <w:t>i</w:t>
            </w:r>
            <w:r w:rsidRPr="00A26534">
              <w:rPr>
                <w:rFonts w:ascii="Cambria" w:hAnsi="Cambria"/>
                <w:sz w:val="24"/>
                <w:szCs w:val="24"/>
              </w:rPr>
              <w:t>) GCCG-S to send out a call for volunteers for JIAF FPs; and subsequently organise the selection poll;</w:t>
            </w:r>
          </w:p>
          <w:p w14:paraId="696A0D69" w14:textId="77777777" w:rsidR="003A41A5" w:rsidRPr="00A26534" w:rsidRDefault="003A41A5" w:rsidP="005F5B4A">
            <w:pPr>
              <w:rPr>
                <w:rFonts w:ascii="Cambria" w:hAnsi="Cambria"/>
                <w:sz w:val="24"/>
                <w:szCs w:val="24"/>
              </w:rPr>
            </w:pPr>
          </w:p>
          <w:p w14:paraId="77675602" w14:textId="77777777" w:rsidR="003A41A5" w:rsidRPr="00A26534" w:rsidRDefault="003A41A5" w:rsidP="005F5B4A">
            <w:pPr>
              <w:rPr>
                <w:rFonts w:ascii="Cambria" w:hAnsi="Cambria"/>
                <w:sz w:val="24"/>
                <w:szCs w:val="24"/>
              </w:rPr>
            </w:pPr>
          </w:p>
          <w:p w14:paraId="195007DA" w14:textId="77777777" w:rsidR="003A41A5" w:rsidRPr="00A26534" w:rsidRDefault="003A41A5" w:rsidP="005F5B4A">
            <w:pPr>
              <w:rPr>
                <w:rFonts w:ascii="Cambria" w:hAnsi="Cambria"/>
                <w:sz w:val="24"/>
                <w:szCs w:val="24"/>
              </w:rPr>
            </w:pPr>
          </w:p>
          <w:p w14:paraId="1C2C8BDF" w14:textId="525B72CD" w:rsidR="003A41A5" w:rsidRPr="00A26534" w:rsidRDefault="003A41A5" w:rsidP="005F5B4A">
            <w:pPr>
              <w:rPr>
                <w:rFonts w:ascii="Cambria" w:hAnsi="Cambria"/>
                <w:sz w:val="24"/>
                <w:szCs w:val="24"/>
              </w:rPr>
            </w:pPr>
          </w:p>
        </w:tc>
      </w:tr>
      <w:bookmarkEnd w:id="0"/>
    </w:tbl>
    <w:p w14:paraId="57C0BD53" w14:textId="50BB63EE" w:rsidR="00404A1A" w:rsidRPr="00A26534" w:rsidRDefault="00404A1A" w:rsidP="00D5519C">
      <w:pPr>
        <w:rPr>
          <w:rFonts w:ascii="Cambria" w:hAnsi="Cambria"/>
          <w:lang w:val="en-GB"/>
        </w:rPr>
      </w:pPr>
    </w:p>
    <w:sectPr w:rsidR="00404A1A" w:rsidRPr="00A26534" w:rsidSect="00404A1A">
      <w:headerReference w:type="default" r:id="rId9"/>
      <w:footerReference w:type="default" r:id="rId10"/>
      <w:pgSz w:w="16838" w:h="11906" w:orient="landscape"/>
      <w:pgMar w:top="187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2462" w14:textId="77777777" w:rsidR="0008568F" w:rsidRDefault="0008568F">
      <w:pPr>
        <w:spacing w:after="0" w:line="240" w:lineRule="auto"/>
      </w:pPr>
      <w:r>
        <w:separator/>
      </w:r>
    </w:p>
  </w:endnote>
  <w:endnote w:type="continuationSeparator" w:id="0">
    <w:p w14:paraId="636D24D3" w14:textId="77777777" w:rsidR="0008568F" w:rsidRDefault="0008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4783714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DECFD31" w14:textId="7B784BB1" w:rsidR="003A26B2" w:rsidRPr="00A32F39" w:rsidRDefault="003A26B2" w:rsidP="00404A1A">
            <w:pPr>
              <w:pStyle w:val="Footer"/>
              <w:jc w:val="center"/>
              <w:rPr>
                <w:sz w:val="18"/>
                <w:szCs w:val="18"/>
              </w:rPr>
            </w:pPr>
            <w:r w:rsidRPr="00A32F39">
              <w:rPr>
                <w:sz w:val="18"/>
                <w:szCs w:val="18"/>
              </w:rPr>
              <w:t xml:space="preserve">Page </w:t>
            </w:r>
            <w:r w:rsidRPr="00A32F39">
              <w:rPr>
                <w:bCs/>
                <w:sz w:val="18"/>
                <w:szCs w:val="18"/>
              </w:rPr>
              <w:fldChar w:fldCharType="begin"/>
            </w:r>
            <w:r w:rsidRPr="00A32F39">
              <w:rPr>
                <w:bCs/>
                <w:sz w:val="18"/>
                <w:szCs w:val="18"/>
              </w:rPr>
              <w:instrText xml:space="preserve"> PAGE </w:instrText>
            </w:r>
            <w:r w:rsidRPr="00A32F39">
              <w:rPr>
                <w:bCs/>
                <w:sz w:val="18"/>
                <w:szCs w:val="18"/>
              </w:rPr>
              <w:fldChar w:fldCharType="separate"/>
            </w:r>
            <w:r>
              <w:rPr>
                <w:bCs/>
                <w:noProof/>
                <w:sz w:val="18"/>
                <w:szCs w:val="18"/>
              </w:rPr>
              <w:t>1</w:t>
            </w:r>
            <w:r w:rsidRPr="00A32F39">
              <w:rPr>
                <w:bCs/>
                <w:sz w:val="18"/>
                <w:szCs w:val="18"/>
              </w:rPr>
              <w:fldChar w:fldCharType="end"/>
            </w:r>
            <w:r w:rsidRPr="00A32F39">
              <w:rPr>
                <w:sz w:val="18"/>
                <w:szCs w:val="18"/>
              </w:rPr>
              <w:t xml:space="preserve"> of </w:t>
            </w:r>
            <w:r w:rsidRPr="00A32F39">
              <w:rPr>
                <w:bCs/>
                <w:sz w:val="18"/>
                <w:szCs w:val="18"/>
              </w:rPr>
              <w:fldChar w:fldCharType="begin"/>
            </w:r>
            <w:r w:rsidRPr="00A32F39">
              <w:rPr>
                <w:bCs/>
                <w:sz w:val="18"/>
                <w:szCs w:val="18"/>
              </w:rPr>
              <w:instrText xml:space="preserve"> NUMPAGES  </w:instrText>
            </w:r>
            <w:r w:rsidRPr="00A32F39">
              <w:rPr>
                <w:bCs/>
                <w:sz w:val="18"/>
                <w:szCs w:val="18"/>
              </w:rPr>
              <w:fldChar w:fldCharType="separate"/>
            </w:r>
            <w:r>
              <w:rPr>
                <w:bCs/>
                <w:noProof/>
                <w:sz w:val="18"/>
                <w:szCs w:val="18"/>
              </w:rPr>
              <w:t>1</w:t>
            </w:r>
            <w:r w:rsidRPr="00A32F39">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916D" w14:textId="77777777" w:rsidR="0008568F" w:rsidRDefault="0008568F">
      <w:pPr>
        <w:spacing w:after="0" w:line="240" w:lineRule="auto"/>
      </w:pPr>
      <w:r>
        <w:separator/>
      </w:r>
    </w:p>
  </w:footnote>
  <w:footnote w:type="continuationSeparator" w:id="0">
    <w:p w14:paraId="1F5392F7" w14:textId="77777777" w:rsidR="0008568F" w:rsidRDefault="00085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F702" w14:textId="609275C3" w:rsidR="003A26B2" w:rsidRPr="005F5B4A" w:rsidRDefault="003A26B2" w:rsidP="00D62A34">
    <w:pPr>
      <w:spacing w:after="0" w:line="240" w:lineRule="auto"/>
      <w:jc w:val="center"/>
      <w:rPr>
        <w:rFonts w:ascii="Cambria" w:hAnsi="Cambria" w:cs="Times New Roman"/>
        <w:b/>
        <w:sz w:val="24"/>
        <w:szCs w:val="24"/>
      </w:rPr>
    </w:pPr>
    <w:r w:rsidRPr="005F5B4A">
      <w:rPr>
        <w:rFonts w:ascii="Cambria" w:hAnsi="Cambria" w:cs="Times New Roman"/>
        <w:b/>
        <w:sz w:val="24"/>
        <w:szCs w:val="24"/>
      </w:rPr>
      <w:t>Global Cluster Coordinators Group Meeting</w:t>
    </w:r>
  </w:p>
  <w:p w14:paraId="670AD533" w14:textId="613CC8F2" w:rsidR="003A26B2" w:rsidRPr="005F5B4A" w:rsidRDefault="003A26B2" w:rsidP="00404A1A">
    <w:pPr>
      <w:spacing w:after="0" w:line="240" w:lineRule="auto"/>
      <w:jc w:val="center"/>
      <w:rPr>
        <w:rFonts w:ascii="Cambria" w:hAnsi="Cambria" w:cs="Times New Roman"/>
        <w:b/>
        <w:sz w:val="24"/>
        <w:szCs w:val="24"/>
      </w:rPr>
    </w:pPr>
    <w:r>
      <w:rPr>
        <w:rFonts w:ascii="Cambria" w:hAnsi="Cambria" w:cs="Times New Roman"/>
        <w:b/>
        <w:sz w:val="24"/>
        <w:szCs w:val="24"/>
      </w:rPr>
      <w:t xml:space="preserve">DRAFT </w:t>
    </w:r>
    <w:r w:rsidRPr="005F5B4A">
      <w:rPr>
        <w:rFonts w:ascii="Cambria" w:hAnsi="Cambria" w:cs="Times New Roman"/>
        <w:b/>
        <w:sz w:val="24"/>
        <w:szCs w:val="24"/>
      </w:rPr>
      <w:t>Summary of Discussion and Action points</w:t>
    </w:r>
  </w:p>
  <w:p w14:paraId="25A1FEB0" w14:textId="28AEB1F4" w:rsidR="003A26B2" w:rsidRPr="005F5B4A" w:rsidRDefault="00CF61EF" w:rsidP="00350CE8">
    <w:pPr>
      <w:spacing w:after="0" w:line="240" w:lineRule="auto"/>
      <w:jc w:val="center"/>
      <w:rPr>
        <w:rFonts w:ascii="Cambria" w:hAnsi="Cambria" w:cs="Times New Roman"/>
        <w:b/>
        <w:sz w:val="24"/>
        <w:szCs w:val="24"/>
      </w:rPr>
    </w:pPr>
    <w:r>
      <w:rPr>
        <w:rFonts w:ascii="Cambria" w:hAnsi="Cambria" w:cs="Times New Roman"/>
        <w:b/>
        <w:sz w:val="24"/>
        <w:szCs w:val="24"/>
      </w:rPr>
      <w:t>16 September</w:t>
    </w:r>
    <w:r w:rsidR="003A26B2">
      <w:rPr>
        <w:rFonts w:ascii="Cambria" w:hAnsi="Cambria" w:cs="Times New Roman"/>
        <w:b/>
        <w:sz w:val="24"/>
        <w:szCs w:val="24"/>
      </w:rPr>
      <w:t xml:space="preserve"> 2020</w:t>
    </w:r>
  </w:p>
  <w:p w14:paraId="52B474C3" w14:textId="0A2CE23E" w:rsidR="003A26B2" w:rsidRPr="005F5B4A" w:rsidRDefault="003A26B2" w:rsidP="00FD4563">
    <w:pPr>
      <w:spacing w:after="0" w:line="240" w:lineRule="auto"/>
      <w:jc w:val="center"/>
      <w:rPr>
        <w:rFonts w:ascii="Cambria" w:hAnsi="Cambria"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E3F"/>
    <w:multiLevelType w:val="hybridMultilevel"/>
    <w:tmpl w:val="C7C6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B08FD"/>
    <w:multiLevelType w:val="hybridMultilevel"/>
    <w:tmpl w:val="1250E1C4"/>
    <w:lvl w:ilvl="0" w:tplc="C0061DFE">
      <w:start w:val="1"/>
      <w:numFmt w:val="bullet"/>
      <w:lvlText w:val="•"/>
      <w:lvlJc w:val="left"/>
      <w:pPr>
        <w:tabs>
          <w:tab w:val="num" w:pos="720"/>
        </w:tabs>
        <w:ind w:left="720" w:hanging="360"/>
      </w:pPr>
      <w:rPr>
        <w:rFonts w:ascii="Arial" w:hAnsi="Arial" w:hint="default"/>
      </w:rPr>
    </w:lvl>
    <w:lvl w:ilvl="1" w:tplc="130AAF74" w:tentative="1">
      <w:start w:val="1"/>
      <w:numFmt w:val="bullet"/>
      <w:lvlText w:val="•"/>
      <w:lvlJc w:val="left"/>
      <w:pPr>
        <w:tabs>
          <w:tab w:val="num" w:pos="1440"/>
        </w:tabs>
        <w:ind w:left="1440" w:hanging="360"/>
      </w:pPr>
      <w:rPr>
        <w:rFonts w:ascii="Arial" w:hAnsi="Arial" w:hint="default"/>
      </w:rPr>
    </w:lvl>
    <w:lvl w:ilvl="2" w:tplc="9C1C54A4" w:tentative="1">
      <w:start w:val="1"/>
      <w:numFmt w:val="bullet"/>
      <w:lvlText w:val="•"/>
      <w:lvlJc w:val="left"/>
      <w:pPr>
        <w:tabs>
          <w:tab w:val="num" w:pos="2160"/>
        </w:tabs>
        <w:ind w:left="2160" w:hanging="360"/>
      </w:pPr>
      <w:rPr>
        <w:rFonts w:ascii="Arial" w:hAnsi="Arial" w:hint="default"/>
      </w:rPr>
    </w:lvl>
    <w:lvl w:ilvl="3" w:tplc="7A98A5C6" w:tentative="1">
      <w:start w:val="1"/>
      <w:numFmt w:val="bullet"/>
      <w:lvlText w:val="•"/>
      <w:lvlJc w:val="left"/>
      <w:pPr>
        <w:tabs>
          <w:tab w:val="num" w:pos="2880"/>
        </w:tabs>
        <w:ind w:left="2880" w:hanging="360"/>
      </w:pPr>
      <w:rPr>
        <w:rFonts w:ascii="Arial" w:hAnsi="Arial" w:hint="default"/>
      </w:rPr>
    </w:lvl>
    <w:lvl w:ilvl="4" w:tplc="49A0F4F4" w:tentative="1">
      <w:start w:val="1"/>
      <w:numFmt w:val="bullet"/>
      <w:lvlText w:val="•"/>
      <w:lvlJc w:val="left"/>
      <w:pPr>
        <w:tabs>
          <w:tab w:val="num" w:pos="3600"/>
        </w:tabs>
        <w:ind w:left="3600" w:hanging="360"/>
      </w:pPr>
      <w:rPr>
        <w:rFonts w:ascii="Arial" w:hAnsi="Arial" w:hint="default"/>
      </w:rPr>
    </w:lvl>
    <w:lvl w:ilvl="5" w:tplc="FFF88E34" w:tentative="1">
      <w:start w:val="1"/>
      <w:numFmt w:val="bullet"/>
      <w:lvlText w:val="•"/>
      <w:lvlJc w:val="left"/>
      <w:pPr>
        <w:tabs>
          <w:tab w:val="num" w:pos="4320"/>
        </w:tabs>
        <w:ind w:left="4320" w:hanging="360"/>
      </w:pPr>
      <w:rPr>
        <w:rFonts w:ascii="Arial" w:hAnsi="Arial" w:hint="default"/>
      </w:rPr>
    </w:lvl>
    <w:lvl w:ilvl="6" w:tplc="00761374" w:tentative="1">
      <w:start w:val="1"/>
      <w:numFmt w:val="bullet"/>
      <w:lvlText w:val="•"/>
      <w:lvlJc w:val="left"/>
      <w:pPr>
        <w:tabs>
          <w:tab w:val="num" w:pos="5040"/>
        </w:tabs>
        <w:ind w:left="5040" w:hanging="360"/>
      </w:pPr>
      <w:rPr>
        <w:rFonts w:ascii="Arial" w:hAnsi="Arial" w:hint="default"/>
      </w:rPr>
    </w:lvl>
    <w:lvl w:ilvl="7" w:tplc="893E861E" w:tentative="1">
      <w:start w:val="1"/>
      <w:numFmt w:val="bullet"/>
      <w:lvlText w:val="•"/>
      <w:lvlJc w:val="left"/>
      <w:pPr>
        <w:tabs>
          <w:tab w:val="num" w:pos="5760"/>
        </w:tabs>
        <w:ind w:left="5760" w:hanging="360"/>
      </w:pPr>
      <w:rPr>
        <w:rFonts w:ascii="Arial" w:hAnsi="Arial" w:hint="default"/>
      </w:rPr>
    </w:lvl>
    <w:lvl w:ilvl="8" w:tplc="BE9CE7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E138DB"/>
    <w:multiLevelType w:val="hybridMultilevel"/>
    <w:tmpl w:val="912E2FF4"/>
    <w:lvl w:ilvl="0" w:tplc="F064D27C">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EA0611"/>
    <w:multiLevelType w:val="hybridMultilevel"/>
    <w:tmpl w:val="834C8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EC38CD"/>
    <w:multiLevelType w:val="hybridMultilevel"/>
    <w:tmpl w:val="ECD2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M2NzU0M7AwMDJQ0lEKTi0uzszPAykwNKsFAN2r0Z0tAAAA"/>
  </w:docVars>
  <w:rsids>
    <w:rsidRoot w:val="00810D9D"/>
    <w:rsid w:val="000023CD"/>
    <w:rsid w:val="000044DE"/>
    <w:rsid w:val="000055AA"/>
    <w:rsid w:val="0001148D"/>
    <w:rsid w:val="00013EB2"/>
    <w:rsid w:val="00015505"/>
    <w:rsid w:val="00016C46"/>
    <w:rsid w:val="000229DC"/>
    <w:rsid w:val="00023954"/>
    <w:rsid w:val="00024637"/>
    <w:rsid w:val="0002507F"/>
    <w:rsid w:val="0002640D"/>
    <w:rsid w:val="00026F06"/>
    <w:rsid w:val="00027565"/>
    <w:rsid w:val="00030823"/>
    <w:rsid w:val="00031549"/>
    <w:rsid w:val="000343CB"/>
    <w:rsid w:val="000345BB"/>
    <w:rsid w:val="00036427"/>
    <w:rsid w:val="00041995"/>
    <w:rsid w:val="000472F7"/>
    <w:rsid w:val="0005146A"/>
    <w:rsid w:val="0005151F"/>
    <w:rsid w:val="0005176C"/>
    <w:rsid w:val="00052102"/>
    <w:rsid w:val="00052BCB"/>
    <w:rsid w:val="00060D7E"/>
    <w:rsid w:val="00060E69"/>
    <w:rsid w:val="00061F3A"/>
    <w:rsid w:val="00063B8E"/>
    <w:rsid w:val="0006416C"/>
    <w:rsid w:val="000646A7"/>
    <w:rsid w:val="0006536E"/>
    <w:rsid w:val="00066AA4"/>
    <w:rsid w:val="00067CEA"/>
    <w:rsid w:val="000714FA"/>
    <w:rsid w:val="00071525"/>
    <w:rsid w:val="00072733"/>
    <w:rsid w:val="00074097"/>
    <w:rsid w:val="00075539"/>
    <w:rsid w:val="00075739"/>
    <w:rsid w:val="00080252"/>
    <w:rsid w:val="000802A6"/>
    <w:rsid w:val="00080617"/>
    <w:rsid w:val="00080D9D"/>
    <w:rsid w:val="00080E63"/>
    <w:rsid w:val="00081950"/>
    <w:rsid w:val="00082307"/>
    <w:rsid w:val="0008436E"/>
    <w:rsid w:val="0008568F"/>
    <w:rsid w:val="0008696D"/>
    <w:rsid w:val="000902B4"/>
    <w:rsid w:val="00090415"/>
    <w:rsid w:val="00095AB5"/>
    <w:rsid w:val="000961E3"/>
    <w:rsid w:val="000971E5"/>
    <w:rsid w:val="00097817"/>
    <w:rsid w:val="000A1C67"/>
    <w:rsid w:val="000A2266"/>
    <w:rsid w:val="000A2AF0"/>
    <w:rsid w:val="000A3655"/>
    <w:rsid w:val="000A46E7"/>
    <w:rsid w:val="000A69D8"/>
    <w:rsid w:val="000A6D66"/>
    <w:rsid w:val="000A6E7B"/>
    <w:rsid w:val="000A70C7"/>
    <w:rsid w:val="000B075B"/>
    <w:rsid w:val="000B2960"/>
    <w:rsid w:val="000B2DD7"/>
    <w:rsid w:val="000B3B4F"/>
    <w:rsid w:val="000B5213"/>
    <w:rsid w:val="000B7A21"/>
    <w:rsid w:val="000B7EBC"/>
    <w:rsid w:val="000C1A24"/>
    <w:rsid w:val="000C2EF7"/>
    <w:rsid w:val="000C340E"/>
    <w:rsid w:val="000C6C18"/>
    <w:rsid w:val="000C7D2D"/>
    <w:rsid w:val="000D0C22"/>
    <w:rsid w:val="000D1478"/>
    <w:rsid w:val="000D164D"/>
    <w:rsid w:val="000D2B29"/>
    <w:rsid w:val="000D388B"/>
    <w:rsid w:val="000D4D25"/>
    <w:rsid w:val="000D626E"/>
    <w:rsid w:val="000D6E4F"/>
    <w:rsid w:val="000E020D"/>
    <w:rsid w:val="000E0FD0"/>
    <w:rsid w:val="000E2B51"/>
    <w:rsid w:val="000E4D7D"/>
    <w:rsid w:val="000E5470"/>
    <w:rsid w:val="000E7EEC"/>
    <w:rsid w:val="000F0954"/>
    <w:rsid w:val="000F1C28"/>
    <w:rsid w:val="000F1F29"/>
    <w:rsid w:val="0010173E"/>
    <w:rsid w:val="0010198A"/>
    <w:rsid w:val="00104DE1"/>
    <w:rsid w:val="001060CE"/>
    <w:rsid w:val="001061BF"/>
    <w:rsid w:val="001116B4"/>
    <w:rsid w:val="00111EB0"/>
    <w:rsid w:val="0011222E"/>
    <w:rsid w:val="0011325B"/>
    <w:rsid w:val="0011419D"/>
    <w:rsid w:val="00116227"/>
    <w:rsid w:val="001173F5"/>
    <w:rsid w:val="001209ED"/>
    <w:rsid w:val="00120E1A"/>
    <w:rsid w:val="00120EC6"/>
    <w:rsid w:val="00121291"/>
    <w:rsid w:val="001226D9"/>
    <w:rsid w:val="00123F79"/>
    <w:rsid w:val="00123F8D"/>
    <w:rsid w:val="00124244"/>
    <w:rsid w:val="001243DA"/>
    <w:rsid w:val="00124691"/>
    <w:rsid w:val="00125DC0"/>
    <w:rsid w:val="00130B5C"/>
    <w:rsid w:val="0013129A"/>
    <w:rsid w:val="0013520C"/>
    <w:rsid w:val="0014070D"/>
    <w:rsid w:val="0014214D"/>
    <w:rsid w:val="0014280F"/>
    <w:rsid w:val="001432B8"/>
    <w:rsid w:val="00144F3D"/>
    <w:rsid w:val="001450C6"/>
    <w:rsid w:val="00146A2B"/>
    <w:rsid w:val="00150AAB"/>
    <w:rsid w:val="00152F10"/>
    <w:rsid w:val="00153060"/>
    <w:rsid w:val="00153117"/>
    <w:rsid w:val="001553F7"/>
    <w:rsid w:val="001572A4"/>
    <w:rsid w:val="001572EB"/>
    <w:rsid w:val="001576A0"/>
    <w:rsid w:val="001623E0"/>
    <w:rsid w:val="001633D5"/>
    <w:rsid w:val="001640F4"/>
    <w:rsid w:val="00165988"/>
    <w:rsid w:val="001666AF"/>
    <w:rsid w:val="00170677"/>
    <w:rsid w:val="00171B38"/>
    <w:rsid w:val="00171F2B"/>
    <w:rsid w:val="001732F2"/>
    <w:rsid w:val="00173F9F"/>
    <w:rsid w:val="00174C28"/>
    <w:rsid w:val="00175698"/>
    <w:rsid w:val="0017600B"/>
    <w:rsid w:val="0018046F"/>
    <w:rsid w:val="0018181F"/>
    <w:rsid w:val="00185B10"/>
    <w:rsid w:val="00187A2E"/>
    <w:rsid w:val="00187CD0"/>
    <w:rsid w:val="0019233C"/>
    <w:rsid w:val="0019331F"/>
    <w:rsid w:val="00194F12"/>
    <w:rsid w:val="0019521E"/>
    <w:rsid w:val="001957C8"/>
    <w:rsid w:val="00197118"/>
    <w:rsid w:val="0019779B"/>
    <w:rsid w:val="00197B33"/>
    <w:rsid w:val="001A0796"/>
    <w:rsid w:val="001A1447"/>
    <w:rsid w:val="001A1641"/>
    <w:rsid w:val="001A1A8F"/>
    <w:rsid w:val="001A2F52"/>
    <w:rsid w:val="001A4E2E"/>
    <w:rsid w:val="001B0AFC"/>
    <w:rsid w:val="001B0F94"/>
    <w:rsid w:val="001B103C"/>
    <w:rsid w:val="001B340A"/>
    <w:rsid w:val="001B43F4"/>
    <w:rsid w:val="001B46B1"/>
    <w:rsid w:val="001B72F9"/>
    <w:rsid w:val="001C02AB"/>
    <w:rsid w:val="001C0F30"/>
    <w:rsid w:val="001C0F57"/>
    <w:rsid w:val="001C18FA"/>
    <w:rsid w:val="001C1D38"/>
    <w:rsid w:val="001C474C"/>
    <w:rsid w:val="001C516C"/>
    <w:rsid w:val="001C70EE"/>
    <w:rsid w:val="001D1700"/>
    <w:rsid w:val="001D4613"/>
    <w:rsid w:val="001D4C0A"/>
    <w:rsid w:val="001D4EEA"/>
    <w:rsid w:val="001D7168"/>
    <w:rsid w:val="001E0C1B"/>
    <w:rsid w:val="001E1AE8"/>
    <w:rsid w:val="001E24E2"/>
    <w:rsid w:val="001E2C69"/>
    <w:rsid w:val="001E3073"/>
    <w:rsid w:val="001E322F"/>
    <w:rsid w:val="001E3CA3"/>
    <w:rsid w:val="001E60FC"/>
    <w:rsid w:val="001E6C1A"/>
    <w:rsid w:val="001E7483"/>
    <w:rsid w:val="001F1E80"/>
    <w:rsid w:val="001F2B38"/>
    <w:rsid w:val="001F370E"/>
    <w:rsid w:val="001F41BF"/>
    <w:rsid w:val="001F43EC"/>
    <w:rsid w:val="001F4779"/>
    <w:rsid w:val="001F4DC3"/>
    <w:rsid w:val="001F7FBA"/>
    <w:rsid w:val="002010A3"/>
    <w:rsid w:val="002024AB"/>
    <w:rsid w:val="00204C2A"/>
    <w:rsid w:val="00206193"/>
    <w:rsid w:val="0021075E"/>
    <w:rsid w:val="00210D44"/>
    <w:rsid w:val="00211CC5"/>
    <w:rsid w:val="00213220"/>
    <w:rsid w:val="002136CE"/>
    <w:rsid w:val="002153DE"/>
    <w:rsid w:val="00215C2F"/>
    <w:rsid w:val="00216054"/>
    <w:rsid w:val="0021640D"/>
    <w:rsid w:val="002168D8"/>
    <w:rsid w:val="002205BF"/>
    <w:rsid w:val="002254BA"/>
    <w:rsid w:val="00225DF6"/>
    <w:rsid w:val="00226F70"/>
    <w:rsid w:val="00231196"/>
    <w:rsid w:val="00232EAB"/>
    <w:rsid w:val="00236472"/>
    <w:rsid w:val="0024058B"/>
    <w:rsid w:val="00241955"/>
    <w:rsid w:val="00241DCA"/>
    <w:rsid w:val="0024285E"/>
    <w:rsid w:val="00243513"/>
    <w:rsid w:val="00243C9D"/>
    <w:rsid w:val="002456DB"/>
    <w:rsid w:val="0024636B"/>
    <w:rsid w:val="00247053"/>
    <w:rsid w:val="00253729"/>
    <w:rsid w:val="00253C26"/>
    <w:rsid w:val="00253E39"/>
    <w:rsid w:val="002545FB"/>
    <w:rsid w:val="00254A0F"/>
    <w:rsid w:val="00255BDA"/>
    <w:rsid w:val="0025795C"/>
    <w:rsid w:val="00257DC6"/>
    <w:rsid w:val="00257DF2"/>
    <w:rsid w:val="00260183"/>
    <w:rsid w:val="002620F7"/>
    <w:rsid w:val="002623B6"/>
    <w:rsid w:val="002635B2"/>
    <w:rsid w:val="00265867"/>
    <w:rsid w:val="00265F55"/>
    <w:rsid w:val="00266852"/>
    <w:rsid w:val="00266F70"/>
    <w:rsid w:val="00267CAD"/>
    <w:rsid w:val="00267E7F"/>
    <w:rsid w:val="002704D8"/>
    <w:rsid w:val="002731E2"/>
    <w:rsid w:val="00273403"/>
    <w:rsid w:val="00273DEE"/>
    <w:rsid w:val="00274437"/>
    <w:rsid w:val="00275F2C"/>
    <w:rsid w:val="0027670F"/>
    <w:rsid w:val="0027697A"/>
    <w:rsid w:val="00277BB9"/>
    <w:rsid w:val="002817ED"/>
    <w:rsid w:val="00283628"/>
    <w:rsid w:val="002842D1"/>
    <w:rsid w:val="002844BA"/>
    <w:rsid w:val="00284E34"/>
    <w:rsid w:val="00287272"/>
    <w:rsid w:val="00287369"/>
    <w:rsid w:val="00287C32"/>
    <w:rsid w:val="00291529"/>
    <w:rsid w:val="00292A14"/>
    <w:rsid w:val="002959B3"/>
    <w:rsid w:val="00297CC8"/>
    <w:rsid w:val="002A1D3A"/>
    <w:rsid w:val="002B001F"/>
    <w:rsid w:val="002B16E3"/>
    <w:rsid w:val="002B1D0D"/>
    <w:rsid w:val="002B277C"/>
    <w:rsid w:val="002B3D17"/>
    <w:rsid w:val="002B4898"/>
    <w:rsid w:val="002B60E6"/>
    <w:rsid w:val="002B7897"/>
    <w:rsid w:val="002B7B66"/>
    <w:rsid w:val="002C1769"/>
    <w:rsid w:val="002C35AA"/>
    <w:rsid w:val="002C6E3B"/>
    <w:rsid w:val="002C7BE6"/>
    <w:rsid w:val="002D129D"/>
    <w:rsid w:val="002D1440"/>
    <w:rsid w:val="002D16A8"/>
    <w:rsid w:val="002D1C94"/>
    <w:rsid w:val="002D29F9"/>
    <w:rsid w:val="002D5161"/>
    <w:rsid w:val="002D5F50"/>
    <w:rsid w:val="002D6AFC"/>
    <w:rsid w:val="002D7657"/>
    <w:rsid w:val="002E752C"/>
    <w:rsid w:val="002F19B9"/>
    <w:rsid w:val="002F3CEB"/>
    <w:rsid w:val="002F45AD"/>
    <w:rsid w:val="002F6928"/>
    <w:rsid w:val="00300F83"/>
    <w:rsid w:val="003015F4"/>
    <w:rsid w:val="00303762"/>
    <w:rsid w:val="00305FAB"/>
    <w:rsid w:val="00310120"/>
    <w:rsid w:val="003102E7"/>
    <w:rsid w:val="003118FD"/>
    <w:rsid w:val="00312A4B"/>
    <w:rsid w:val="0031538C"/>
    <w:rsid w:val="0031562E"/>
    <w:rsid w:val="00315DBA"/>
    <w:rsid w:val="00317EC9"/>
    <w:rsid w:val="00320F76"/>
    <w:rsid w:val="003219D1"/>
    <w:rsid w:val="0032215E"/>
    <w:rsid w:val="003241AC"/>
    <w:rsid w:val="00324529"/>
    <w:rsid w:val="00324B28"/>
    <w:rsid w:val="003275A7"/>
    <w:rsid w:val="00331B8C"/>
    <w:rsid w:val="0033445C"/>
    <w:rsid w:val="00335290"/>
    <w:rsid w:val="00336047"/>
    <w:rsid w:val="00336A24"/>
    <w:rsid w:val="00336AF3"/>
    <w:rsid w:val="00337BB7"/>
    <w:rsid w:val="00337F6B"/>
    <w:rsid w:val="0034037D"/>
    <w:rsid w:val="00340539"/>
    <w:rsid w:val="0034107D"/>
    <w:rsid w:val="003430E2"/>
    <w:rsid w:val="00344C10"/>
    <w:rsid w:val="00345400"/>
    <w:rsid w:val="0034581E"/>
    <w:rsid w:val="00350CE8"/>
    <w:rsid w:val="0035169B"/>
    <w:rsid w:val="00357278"/>
    <w:rsid w:val="00360A3D"/>
    <w:rsid w:val="00361709"/>
    <w:rsid w:val="00361B77"/>
    <w:rsid w:val="00362DA2"/>
    <w:rsid w:val="00363727"/>
    <w:rsid w:val="00364194"/>
    <w:rsid w:val="00370DE1"/>
    <w:rsid w:val="003714EF"/>
    <w:rsid w:val="00372643"/>
    <w:rsid w:val="003755E5"/>
    <w:rsid w:val="00381061"/>
    <w:rsid w:val="00382025"/>
    <w:rsid w:val="00384CC8"/>
    <w:rsid w:val="00387DCF"/>
    <w:rsid w:val="003907D1"/>
    <w:rsid w:val="003925A9"/>
    <w:rsid w:val="00393B67"/>
    <w:rsid w:val="003A26B2"/>
    <w:rsid w:val="003A41A5"/>
    <w:rsid w:val="003A5652"/>
    <w:rsid w:val="003B472F"/>
    <w:rsid w:val="003B4909"/>
    <w:rsid w:val="003B6822"/>
    <w:rsid w:val="003B6EAB"/>
    <w:rsid w:val="003B7AF1"/>
    <w:rsid w:val="003C2CAE"/>
    <w:rsid w:val="003C2E56"/>
    <w:rsid w:val="003C4436"/>
    <w:rsid w:val="003C4FB1"/>
    <w:rsid w:val="003C58F1"/>
    <w:rsid w:val="003C5961"/>
    <w:rsid w:val="003C6037"/>
    <w:rsid w:val="003C653D"/>
    <w:rsid w:val="003C6832"/>
    <w:rsid w:val="003C7145"/>
    <w:rsid w:val="003C7A4A"/>
    <w:rsid w:val="003D13AD"/>
    <w:rsid w:val="003D15CE"/>
    <w:rsid w:val="003D2051"/>
    <w:rsid w:val="003D3BE0"/>
    <w:rsid w:val="003D3E6A"/>
    <w:rsid w:val="003D65A2"/>
    <w:rsid w:val="003D6E8F"/>
    <w:rsid w:val="003E4146"/>
    <w:rsid w:val="003E592A"/>
    <w:rsid w:val="003E5DE8"/>
    <w:rsid w:val="003E6A91"/>
    <w:rsid w:val="003E736B"/>
    <w:rsid w:val="003E7D0C"/>
    <w:rsid w:val="003F0DAC"/>
    <w:rsid w:val="003F57AB"/>
    <w:rsid w:val="003F665F"/>
    <w:rsid w:val="003F66E8"/>
    <w:rsid w:val="003F67EC"/>
    <w:rsid w:val="003F6A05"/>
    <w:rsid w:val="003F6A31"/>
    <w:rsid w:val="003F6F6D"/>
    <w:rsid w:val="003F7757"/>
    <w:rsid w:val="00401C01"/>
    <w:rsid w:val="00401C7D"/>
    <w:rsid w:val="0040303E"/>
    <w:rsid w:val="004031B0"/>
    <w:rsid w:val="00403C45"/>
    <w:rsid w:val="00404837"/>
    <w:rsid w:val="00404A1A"/>
    <w:rsid w:val="00404AA2"/>
    <w:rsid w:val="00411F07"/>
    <w:rsid w:val="00414DA7"/>
    <w:rsid w:val="00416DE6"/>
    <w:rsid w:val="004217D6"/>
    <w:rsid w:val="00423A12"/>
    <w:rsid w:val="00425908"/>
    <w:rsid w:val="004259F3"/>
    <w:rsid w:val="0042665A"/>
    <w:rsid w:val="004271E8"/>
    <w:rsid w:val="004301DF"/>
    <w:rsid w:val="0043026A"/>
    <w:rsid w:val="00430744"/>
    <w:rsid w:val="004307A8"/>
    <w:rsid w:val="00434B8C"/>
    <w:rsid w:val="0043726F"/>
    <w:rsid w:val="00441095"/>
    <w:rsid w:val="00441972"/>
    <w:rsid w:val="00441ADE"/>
    <w:rsid w:val="0044200D"/>
    <w:rsid w:val="00443821"/>
    <w:rsid w:val="00445DED"/>
    <w:rsid w:val="0045358D"/>
    <w:rsid w:val="0045552F"/>
    <w:rsid w:val="0045570C"/>
    <w:rsid w:val="00456F74"/>
    <w:rsid w:val="00460124"/>
    <w:rsid w:val="00460EAB"/>
    <w:rsid w:val="00460F6C"/>
    <w:rsid w:val="00461051"/>
    <w:rsid w:val="00461942"/>
    <w:rsid w:val="00462A0E"/>
    <w:rsid w:val="0046405E"/>
    <w:rsid w:val="004646C4"/>
    <w:rsid w:val="004658E9"/>
    <w:rsid w:val="00465D23"/>
    <w:rsid w:val="0046725C"/>
    <w:rsid w:val="004717BE"/>
    <w:rsid w:val="00472356"/>
    <w:rsid w:val="0047463A"/>
    <w:rsid w:val="00475065"/>
    <w:rsid w:val="004769BF"/>
    <w:rsid w:val="0048055F"/>
    <w:rsid w:val="00480E16"/>
    <w:rsid w:val="0048253E"/>
    <w:rsid w:val="0048370F"/>
    <w:rsid w:val="00484C6B"/>
    <w:rsid w:val="00485896"/>
    <w:rsid w:val="00485EFA"/>
    <w:rsid w:val="00490249"/>
    <w:rsid w:val="0049074D"/>
    <w:rsid w:val="004912C9"/>
    <w:rsid w:val="00493148"/>
    <w:rsid w:val="00493151"/>
    <w:rsid w:val="004931E4"/>
    <w:rsid w:val="00494C55"/>
    <w:rsid w:val="00495321"/>
    <w:rsid w:val="00495BC6"/>
    <w:rsid w:val="00496FFB"/>
    <w:rsid w:val="00497A7B"/>
    <w:rsid w:val="004A0657"/>
    <w:rsid w:val="004A1F93"/>
    <w:rsid w:val="004A31FB"/>
    <w:rsid w:val="004A527F"/>
    <w:rsid w:val="004A67BF"/>
    <w:rsid w:val="004A718B"/>
    <w:rsid w:val="004A7A23"/>
    <w:rsid w:val="004B3D78"/>
    <w:rsid w:val="004B519F"/>
    <w:rsid w:val="004B527F"/>
    <w:rsid w:val="004B56D6"/>
    <w:rsid w:val="004B6351"/>
    <w:rsid w:val="004B6907"/>
    <w:rsid w:val="004B6D4E"/>
    <w:rsid w:val="004B7B7F"/>
    <w:rsid w:val="004C12E4"/>
    <w:rsid w:val="004C35D9"/>
    <w:rsid w:val="004C3F0C"/>
    <w:rsid w:val="004C490A"/>
    <w:rsid w:val="004C4AA0"/>
    <w:rsid w:val="004C56A9"/>
    <w:rsid w:val="004C6CC0"/>
    <w:rsid w:val="004D1062"/>
    <w:rsid w:val="004D21A8"/>
    <w:rsid w:val="004D4677"/>
    <w:rsid w:val="004D48C9"/>
    <w:rsid w:val="004D4DE2"/>
    <w:rsid w:val="004D704B"/>
    <w:rsid w:val="004E08A9"/>
    <w:rsid w:val="004E1C37"/>
    <w:rsid w:val="004E375B"/>
    <w:rsid w:val="004E3DB4"/>
    <w:rsid w:val="004E5378"/>
    <w:rsid w:val="004E6C85"/>
    <w:rsid w:val="004F053A"/>
    <w:rsid w:val="004F11D7"/>
    <w:rsid w:val="004F172A"/>
    <w:rsid w:val="004F21C9"/>
    <w:rsid w:val="004F2515"/>
    <w:rsid w:val="004F2653"/>
    <w:rsid w:val="004F2950"/>
    <w:rsid w:val="004F2B04"/>
    <w:rsid w:val="004F2F70"/>
    <w:rsid w:val="004F30E7"/>
    <w:rsid w:val="004F627A"/>
    <w:rsid w:val="004F6F09"/>
    <w:rsid w:val="005011FF"/>
    <w:rsid w:val="00501A13"/>
    <w:rsid w:val="00501EEA"/>
    <w:rsid w:val="00502783"/>
    <w:rsid w:val="0050331B"/>
    <w:rsid w:val="0050417F"/>
    <w:rsid w:val="0050465F"/>
    <w:rsid w:val="00507459"/>
    <w:rsid w:val="00507B5F"/>
    <w:rsid w:val="00507FB4"/>
    <w:rsid w:val="0051008C"/>
    <w:rsid w:val="00512ECB"/>
    <w:rsid w:val="005133B7"/>
    <w:rsid w:val="00514878"/>
    <w:rsid w:val="005154EA"/>
    <w:rsid w:val="00516A95"/>
    <w:rsid w:val="0051765D"/>
    <w:rsid w:val="00517DF1"/>
    <w:rsid w:val="00520D55"/>
    <w:rsid w:val="005211F5"/>
    <w:rsid w:val="005246A1"/>
    <w:rsid w:val="00525B16"/>
    <w:rsid w:val="00525DAD"/>
    <w:rsid w:val="00526AD4"/>
    <w:rsid w:val="00527687"/>
    <w:rsid w:val="005276CD"/>
    <w:rsid w:val="005303E5"/>
    <w:rsid w:val="0053081E"/>
    <w:rsid w:val="00531968"/>
    <w:rsid w:val="00532A37"/>
    <w:rsid w:val="00534556"/>
    <w:rsid w:val="0053472B"/>
    <w:rsid w:val="00541406"/>
    <w:rsid w:val="00541D4D"/>
    <w:rsid w:val="00541FFA"/>
    <w:rsid w:val="005438D4"/>
    <w:rsid w:val="00544399"/>
    <w:rsid w:val="00544CAA"/>
    <w:rsid w:val="00545E42"/>
    <w:rsid w:val="00546CA8"/>
    <w:rsid w:val="005501B0"/>
    <w:rsid w:val="00553EBA"/>
    <w:rsid w:val="0055769C"/>
    <w:rsid w:val="00557F7A"/>
    <w:rsid w:val="0056181B"/>
    <w:rsid w:val="00562EB6"/>
    <w:rsid w:val="00564306"/>
    <w:rsid w:val="005716B5"/>
    <w:rsid w:val="00572421"/>
    <w:rsid w:val="0057251A"/>
    <w:rsid w:val="00572C20"/>
    <w:rsid w:val="00582C76"/>
    <w:rsid w:val="00591586"/>
    <w:rsid w:val="00591886"/>
    <w:rsid w:val="00593650"/>
    <w:rsid w:val="005954EC"/>
    <w:rsid w:val="00597932"/>
    <w:rsid w:val="00597AAB"/>
    <w:rsid w:val="005A2B66"/>
    <w:rsid w:val="005A2FBB"/>
    <w:rsid w:val="005A2FCA"/>
    <w:rsid w:val="005A377C"/>
    <w:rsid w:val="005A3A57"/>
    <w:rsid w:val="005A4423"/>
    <w:rsid w:val="005A4AFB"/>
    <w:rsid w:val="005A6096"/>
    <w:rsid w:val="005A69DA"/>
    <w:rsid w:val="005A7088"/>
    <w:rsid w:val="005B17D5"/>
    <w:rsid w:val="005B322F"/>
    <w:rsid w:val="005C1777"/>
    <w:rsid w:val="005C1B24"/>
    <w:rsid w:val="005C2BB7"/>
    <w:rsid w:val="005C2FD8"/>
    <w:rsid w:val="005C3047"/>
    <w:rsid w:val="005C3544"/>
    <w:rsid w:val="005C3A66"/>
    <w:rsid w:val="005C4321"/>
    <w:rsid w:val="005C4342"/>
    <w:rsid w:val="005C6AC0"/>
    <w:rsid w:val="005D1881"/>
    <w:rsid w:val="005D1F77"/>
    <w:rsid w:val="005D2055"/>
    <w:rsid w:val="005D3233"/>
    <w:rsid w:val="005D40BA"/>
    <w:rsid w:val="005D42D3"/>
    <w:rsid w:val="005D4D7A"/>
    <w:rsid w:val="005E01CD"/>
    <w:rsid w:val="005E1B2A"/>
    <w:rsid w:val="005E3888"/>
    <w:rsid w:val="005E6381"/>
    <w:rsid w:val="005E7001"/>
    <w:rsid w:val="005F24C0"/>
    <w:rsid w:val="005F5B4A"/>
    <w:rsid w:val="005F5D52"/>
    <w:rsid w:val="005F5E69"/>
    <w:rsid w:val="005F6977"/>
    <w:rsid w:val="005F7C47"/>
    <w:rsid w:val="00602A7E"/>
    <w:rsid w:val="006038CA"/>
    <w:rsid w:val="00604018"/>
    <w:rsid w:val="00604CA9"/>
    <w:rsid w:val="00605D29"/>
    <w:rsid w:val="0060606F"/>
    <w:rsid w:val="00606897"/>
    <w:rsid w:val="006079AA"/>
    <w:rsid w:val="006079C4"/>
    <w:rsid w:val="00610908"/>
    <w:rsid w:val="0061248D"/>
    <w:rsid w:val="00615B44"/>
    <w:rsid w:val="00621B92"/>
    <w:rsid w:val="00621B9C"/>
    <w:rsid w:val="00621EAE"/>
    <w:rsid w:val="0062601A"/>
    <w:rsid w:val="0062669E"/>
    <w:rsid w:val="0062717A"/>
    <w:rsid w:val="006279DF"/>
    <w:rsid w:val="00630A53"/>
    <w:rsid w:val="00631060"/>
    <w:rsid w:val="00631438"/>
    <w:rsid w:val="006330D8"/>
    <w:rsid w:val="0063756F"/>
    <w:rsid w:val="00640064"/>
    <w:rsid w:val="00640169"/>
    <w:rsid w:val="00640428"/>
    <w:rsid w:val="006428A0"/>
    <w:rsid w:val="0064552C"/>
    <w:rsid w:val="006458B3"/>
    <w:rsid w:val="00646872"/>
    <w:rsid w:val="00646E2B"/>
    <w:rsid w:val="006476FD"/>
    <w:rsid w:val="00647944"/>
    <w:rsid w:val="00650B5A"/>
    <w:rsid w:val="00651D70"/>
    <w:rsid w:val="006526CE"/>
    <w:rsid w:val="006552C1"/>
    <w:rsid w:val="006558F5"/>
    <w:rsid w:val="00657D97"/>
    <w:rsid w:val="00657ED2"/>
    <w:rsid w:val="0066024D"/>
    <w:rsid w:val="006624D4"/>
    <w:rsid w:val="00663D1F"/>
    <w:rsid w:val="006716CD"/>
    <w:rsid w:val="0067265A"/>
    <w:rsid w:val="00673672"/>
    <w:rsid w:val="006748E7"/>
    <w:rsid w:val="006751D4"/>
    <w:rsid w:val="0067718E"/>
    <w:rsid w:val="00681520"/>
    <w:rsid w:val="00681B59"/>
    <w:rsid w:val="00681D56"/>
    <w:rsid w:val="00682330"/>
    <w:rsid w:val="00683007"/>
    <w:rsid w:val="0068400C"/>
    <w:rsid w:val="00690C6C"/>
    <w:rsid w:val="006922EC"/>
    <w:rsid w:val="00692331"/>
    <w:rsid w:val="0069424E"/>
    <w:rsid w:val="00695883"/>
    <w:rsid w:val="00697B7F"/>
    <w:rsid w:val="00697FFA"/>
    <w:rsid w:val="006A1F9B"/>
    <w:rsid w:val="006A21B9"/>
    <w:rsid w:val="006A234A"/>
    <w:rsid w:val="006A2D28"/>
    <w:rsid w:val="006A6126"/>
    <w:rsid w:val="006B1A68"/>
    <w:rsid w:val="006B20FE"/>
    <w:rsid w:val="006B3625"/>
    <w:rsid w:val="006B4759"/>
    <w:rsid w:val="006B4A41"/>
    <w:rsid w:val="006B4B3B"/>
    <w:rsid w:val="006B54D5"/>
    <w:rsid w:val="006B6273"/>
    <w:rsid w:val="006C174E"/>
    <w:rsid w:val="006C2198"/>
    <w:rsid w:val="006C28CC"/>
    <w:rsid w:val="006C2B8D"/>
    <w:rsid w:val="006C3985"/>
    <w:rsid w:val="006C3B15"/>
    <w:rsid w:val="006C453F"/>
    <w:rsid w:val="006C6690"/>
    <w:rsid w:val="006C680A"/>
    <w:rsid w:val="006C6B64"/>
    <w:rsid w:val="006D027D"/>
    <w:rsid w:val="006D1A43"/>
    <w:rsid w:val="006D2DB1"/>
    <w:rsid w:val="006D2EAF"/>
    <w:rsid w:val="006D5BAF"/>
    <w:rsid w:val="006D5EF3"/>
    <w:rsid w:val="006E1081"/>
    <w:rsid w:val="006E3662"/>
    <w:rsid w:val="006F0E6F"/>
    <w:rsid w:val="006F1639"/>
    <w:rsid w:val="006F3636"/>
    <w:rsid w:val="006F38E0"/>
    <w:rsid w:val="006F4508"/>
    <w:rsid w:val="006F4CD5"/>
    <w:rsid w:val="006F7600"/>
    <w:rsid w:val="006F78B9"/>
    <w:rsid w:val="007020A0"/>
    <w:rsid w:val="00702E3C"/>
    <w:rsid w:val="00706537"/>
    <w:rsid w:val="007065D0"/>
    <w:rsid w:val="007067D6"/>
    <w:rsid w:val="00706C3C"/>
    <w:rsid w:val="007071BB"/>
    <w:rsid w:val="00707257"/>
    <w:rsid w:val="00710D6E"/>
    <w:rsid w:val="007116C0"/>
    <w:rsid w:val="007124CB"/>
    <w:rsid w:val="00712513"/>
    <w:rsid w:val="00713A1B"/>
    <w:rsid w:val="00713CB2"/>
    <w:rsid w:val="00715AA5"/>
    <w:rsid w:val="00717B4C"/>
    <w:rsid w:val="00720025"/>
    <w:rsid w:val="00721633"/>
    <w:rsid w:val="0072485F"/>
    <w:rsid w:val="0072620D"/>
    <w:rsid w:val="00726DCB"/>
    <w:rsid w:val="00727C02"/>
    <w:rsid w:val="00730CE5"/>
    <w:rsid w:val="00732E33"/>
    <w:rsid w:val="00733087"/>
    <w:rsid w:val="0073336F"/>
    <w:rsid w:val="0073774A"/>
    <w:rsid w:val="00737CE6"/>
    <w:rsid w:val="0074096A"/>
    <w:rsid w:val="00740E07"/>
    <w:rsid w:val="007431AD"/>
    <w:rsid w:val="00745D80"/>
    <w:rsid w:val="00747DA8"/>
    <w:rsid w:val="00750D7E"/>
    <w:rsid w:val="007518CA"/>
    <w:rsid w:val="00755610"/>
    <w:rsid w:val="007577B2"/>
    <w:rsid w:val="00757D05"/>
    <w:rsid w:val="00762C21"/>
    <w:rsid w:val="0076379F"/>
    <w:rsid w:val="00763BDB"/>
    <w:rsid w:val="00764BD0"/>
    <w:rsid w:val="00765B8C"/>
    <w:rsid w:val="007673B1"/>
    <w:rsid w:val="00770E14"/>
    <w:rsid w:val="00772432"/>
    <w:rsid w:val="007729B6"/>
    <w:rsid w:val="00773071"/>
    <w:rsid w:val="007752BA"/>
    <w:rsid w:val="00777494"/>
    <w:rsid w:val="00780858"/>
    <w:rsid w:val="00781F38"/>
    <w:rsid w:val="00784414"/>
    <w:rsid w:val="00786EF4"/>
    <w:rsid w:val="007877F4"/>
    <w:rsid w:val="00791899"/>
    <w:rsid w:val="00791C48"/>
    <w:rsid w:val="0079320A"/>
    <w:rsid w:val="0079414E"/>
    <w:rsid w:val="007952DE"/>
    <w:rsid w:val="00795BCC"/>
    <w:rsid w:val="007961E4"/>
    <w:rsid w:val="00797515"/>
    <w:rsid w:val="00797675"/>
    <w:rsid w:val="00797699"/>
    <w:rsid w:val="00797779"/>
    <w:rsid w:val="007A045F"/>
    <w:rsid w:val="007A0709"/>
    <w:rsid w:val="007A0DD5"/>
    <w:rsid w:val="007A1AA4"/>
    <w:rsid w:val="007A1F87"/>
    <w:rsid w:val="007B1303"/>
    <w:rsid w:val="007B2598"/>
    <w:rsid w:val="007B27AB"/>
    <w:rsid w:val="007B2D03"/>
    <w:rsid w:val="007B4130"/>
    <w:rsid w:val="007B45E0"/>
    <w:rsid w:val="007B4E5D"/>
    <w:rsid w:val="007B72CF"/>
    <w:rsid w:val="007B78D8"/>
    <w:rsid w:val="007C2827"/>
    <w:rsid w:val="007C35DE"/>
    <w:rsid w:val="007C69E4"/>
    <w:rsid w:val="007C713B"/>
    <w:rsid w:val="007D192F"/>
    <w:rsid w:val="007D43A2"/>
    <w:rsid w:val="007D53C4"/>
    <w:rsid w:val="007D7CB1"/>
    <w:rsid w:val="007E1A2F"/>
    <w:rsid w:val="007E1AAB"/>
    <w:rsid w:val="007E3D0C"/>
    <w:rsid w:val="007E508C"/>
    <w:rsid w:val="007E5EAE"/>
    <w:rsid w:val="007E76BA"/>
    <w:rsid w:val="007F25FF"/>
    <w:rsid w:val="007F63C7"/>
    <w:rsid w:val="007F7BBA"/>
    <w:rsid w:val="00803188"/>
    <w:rsid w:val="00803930"/>
    <w:rsid w:val="008040F6"/>
    <w:rsid w:val="00805C3F"/>
    <w:rsid w:val="00805F76"/>
    <w:rsid w:val="00806768"/>
    <w:rsid w:val="00806874"/>
    <w:rsid w:val="00807E27"/>
    <w:rsid w:val="00810D9D"/>
    <w:rsid w:val="008125DD"/>
    <w:rsid w:val="00815591"/>
    <w:rsid w:val="00815B34"/>
    <w:rsid w:val="00815F4C"/>
    <w:rsid w:val="00816169"/>
    <w:rsid w:val="008164A5"/>
    <w:rsid w:val="008177A3"/>
    <w:rsid w:val="008207D8"/>
    <w:rsid w:val="008218BC"/>
    <w:rsid w:val="0082465D"/>
    <w:rsid w:val="00826EE0"/>
    <w:rsid w:val="008273BC"/>
    <w:rsid w:val="008278E2"/>
    <w:rsid w:val="008301EF"/>
    <w:rsid w:val="008302DD"/>
    <w:rsid w:val="00830E0A"/>
    <w:rsid w:val="008332A3"/>
    <w:rsid w:val="00834CFE"/>
    <w:rsid w:val="00834D35"/>
    <w:rsid w:val="00834D85"/>
    <w:rsid w:val="008367E6"/>
    <w:rsid w:val="00836EE8"/>
    <w:rsid w:val="00837E4F"/>
    <w:rsid w:val="00840AF0"/>
    <w:rsid w:val="00840BF6"/>
    <w:rsid w:val="008424F5"/>
    <w:rsid w:val="008427A2"/>
    <w:rsid w:val="008427B3"/>
    <w:rsid w:val="008427BF"/>
    <w:rsid w:val="008433A1"/>
    <w:rsid w:val="0084416D"/>
    <w:rsid w:val="00845B0A"/>
    <w:rsid w:val="00845BEC"/>
    <w:rsid w:val="0084733B"/>
    <w:rsid w:val="00847496"/>
    <w:rsid w:val="00847A41"/>
    <w:rsid w:val="008518D0"/>
    <w:rsid w:val="00851CB7"/>
    <w:rsid w:val="00852064"/>
    <w:rsid w:val="00852624"/>
    <w:rsid w:val="0085271F"/>
    <w:rsid w:val="00852D92"/>
    <w:rsid w:val="0085375C"/>
    <w:rsid w:val="00853776"/>
    <w:rsid w:val="008545EC"/>
    <w:rsid w:val="00855BAC"/>
    <w:rsid w:val="00861642"/>
    <w:rsid w:val="0086174B"/>
    <w:rsid w:val="008624BB"/>
    <w:rsid w:val="00862C3F"/>
    <w:rsid w:val="008647F8"/>
    <w:rsid w:val="00864D41"/>
    <w:rsid w:val="00866C19"/>
    <w:rsid w:val="008670A6"/>
    <w:rsid w:val="008678CA"/>
    <w:rsid w:val="00871893"/>
    <w:rsid w:val="0087214C"/>
    <w:rsid w:val="00873911"/>
    <w:rsid w:val="00873A20"/>
    <w:rsid w:val="00874E22"/>
    <w:rsid w:val="00875A2D"/>
    <w:rsid w:val="008806F8"/>
    <w:rsid w:val="00880982"/>
    <w:rsid w:val="008818F3"/>
    <w:rsid w:val="008819A6"/>
    <w:rsid w:val="00890064"/>
    <w:rsid w:val="00891A09"/>
    <w:rsid w:val="00892BE1"/>
    <w:rsid w:val="00894062"/>
    <w:rsid w:val="0089698B"/>
    <w:rsid w:val="008A08FC"/>
    <w:rsid w:val="008A1913"/>
    <w:rsid w:val="008A2D41"/>
    <w:rsid w:val="008A4B39"/>
    <w:rsid w:val="008A599E"/>
    <w:rsid w:val="008A5A29"/>
    <w:rsid w:val="008A7D4C"/>
    <w:rsid w:val="008A7EDB"/>
    <w:rsid w:val="008B066A"/>
    <w:rsid w:val="008B0A9A"/>
    <w:rsid w:val="008B1FE5"/>
    <w:rsid w:val="008B20A1"/>
    <w:rsid w:val="008B31BD"/>
    <w:rsid w:val="008B3258"/>
    <w:rsid w:val="008B4F63"/>
    <w:rsid w:val="008B530D"/>
    <w:rsid w:val="008B5A38"/>
    <w:rsid w:val="008C1128"/>
    <w:rsid w:val="008C3B74"/>
    <w:rsid w:val="008C49CF"/>
    <w:rsid w:val="008C7524"/>
    <w:rsid w:val="008C7B22"/>
    <w:rsid w:val="008D1092"/>
    <w:rsid w:val="008D16BA"/>
    <w:rsid w:val="008D2E0D"/>
    <w:rsid w:val="008D3569"/>
    <w:rsid w:val="008D5A4E"/>
    <w:rsid w:val="008D5AE7"/>
    <w:rsid w:val="008D6577"/>
    <w:rsid w:val="008D72E0"/>
    <w:rsid w:val="008E023D"/>
    <w:rsid w:val="008E066B"/>
    <w:rsid w:val="008E0A03"/>
    <w:rsid w:val="008E1ED0"/>
    <w:rsid w:val="008E284A"/>
    <w:rsid w:val="008E41CD"/>
    <w:rsid w:val="008E7161"/>
    <w:rsid w:val="008E7B1F"/>
    <w:rsid w:val="008F07AC"/>
    <w:rsid w:val="008F1951"/>
    <w:rsid w:val="008F1FA6"/>
    <w:rsid w:val="008F5E98"/>
    <w:rsid w:val="008F6571"/>
    <w:rsid w:val="008F6A00"/>
    <w:rsid w:val="008F7DE2"/>
    <w:rsid w:val="00900A04"/>
    <w:rsid w:val="009029D9"/>
    <w:rsid w:val="009034BD"/>
    <w:rsid w:val="00904F01"/>
    <w:rsid w:val="00906385"/>
    <w:rsid w:val="00907AD0"/>
    <w:rsid w:val="009105AB"/>
    <w:rsid w:val="00911F7A"/>
    <w:rsid w:val="009123A0"/>
    <w:rsid w:val="00912522"/>
    <w:rsid w:val="00913FC9"/>
    <w:rsid w:val="00915AD9"/>
    <w:rsid w:val="009215B0"/>
    <w:rsid w:val="009231D4"/>
    <w:rsid w:val="00924B12"/>
    <w:rsid w:val="00926042"/>
    <w:rsid w:val="00927357"/>
    <w:rsid w:val="009273E6"/>
    <w:rsid w:val="00930A31"/>
    <w:rsid w:val="00933A83"/>
    <w:rsid w:val="009354DC"/>
    <w:rsid w:val="00935984"/>
    <w:rsid w:val="009364AA"/>
    <w:rsid w:val="00936CA2"/>
    <w:rsid w:val="0093704B"/>
    <w:rsid w:val="009421E3"/>
    <w:rsid w:val="00943725"/>
    <w:rsid w:val="00944594"/>
    <w:rsid w:val="0094530D"/>
    <w:rsid w:val="00946C03"/>
    <w:rsid w:val="00947715"/>
    <w:rsid w:val="00947BCF"/>
    <w:rsid w:val="00952C54"/>
    <w:rsid w:val="009539F4"/>
    <w:rsid w:val="00954412"/>
    <w:rsid w:val="00954972"/>
    <w:rsid w:val="0095512D"/>
    <w:rsid w:val="00955A50"/>
    <w:rsid w:val="009565EC"/>
    <w:rsid w:val="009602A7"/>
    <w:rsid w:val="009603A6"/>
    <w:rsid w:val="00961E8D"/>
    <w:rsid w:val="009627F6"/>
    <w:rsid w:val="00962FD0"/>
    <w:rsid w:val="0096597D"/>
    <w:rsid w:val="00966583"/>
    <w:rsid w:val="0096684F"/>
    <w:rsid w:val="009668F5"/>
    <w:rsid w:val="009673D3"/>
    <w:rsid w:val="00971166"/>
    <w:rsid w:val="00972AC4"/>
    <w:rsid w:val="00972D2A"/>
    <w:rsid w:val="0097602C"/>
    <w:rsid w:val="009773F2"/>
    <w:rsid w:val="009816E1"/>
    <w:rsid w:val="00984356"/>
    <w:rsid w:val="00984FD1"/>
    <w:rsid w:val="00985AF0"/>
    <w:rsid w:val="00987B39"/>
    <w:rsid w:val="00987C06"/>
    <w:rsid w:val="009906D0"/>
    <w:rsid w:val="00991837"/>
    <w:rsid w:val="009936D5"/>
    <w:rsid w:val="00993F57"/>
    <w:rsid w:val="009975C5"/>
    <w:rsid w:val="00997973"/>
    <w:rsid w:val="009A0459"/>
    <w:rsid w:val="009A3E0D"/>
    <w:rsid w:val="009A6807"/>
    <w:rsid w:val="009A7BEF"/>
    <w:rsid w:val="009B00DE"/>
    <w:rsid w:val="009B160E"/>
    <w:rsid w:val="009B54E1"/>
    <w:rsid w:val="009C0FE3"/>
    <w:rsid w:val="009C1920"/>
    <w:rsid w:val="009C1D08"/>
    <w:rsid w:val="009C419B"/>
    <w:rsid w:val="009C61C2"/>
    <w:rsid w:val="009C6817"/>
    <w:rsid w:val="009C71A6"/>
    <w:rsid w:val="009D187A"/>
    <w:rsid w:val="009D366C"/>
    <w:rsid w:val="009D44BE"/>
    <w:rsid w:val="009D5038"/>
    <w:rsid w:val="009E06BA"/>
    <w:rsid w:val="009E0ABB"/>
    <w:rsid w:val="009E1756"/>
    <w:rsid w:val="009E182F"/>
    <w:rsid w:val="009E3169"/>
    <w:rsid w:val="009E354D"/>
    <w:rsid w:val="009E3793"/>
    <w:rsid w:val="009E4322"/>
    <w:rsid w:val="009E5553"/>
    <w:rsid w:val="009E7484"/>
    <w:rsid w:val="009E7C1C"/>
    <w:rsid w:val="009F1286"/>
    <w:rsid w:val="009F16A2"/>
    <w:rsid w:val="009F69C3"/>
    <w:rsid w:val="009F7164"/>
    <w:rsid w:val="009F75E9"/>
    <w:rsid w:val="009F7E0A"/>
    <w:rsid w:val="00A0123F"/>
    <w:rsid w:val="00A0211D"/>
    <w:rsid w:val="00A02AB8"/>
    <w:rsid w:val="00A02D53"/>
    <w:rsid w:val="00A0416D"/>
    <w:rsid w:val="00A06A93"/>
    <w:rsid w:val="00A06E41"/>
    <w:rsid w:val="00A07F64"/>
    <w:rsid w:val="00A116B1"/>
    <w:rsid w:val="00A11EAC"/>
    <w:rsid w:val="00A121E9"/>
    <w:rsid w:val="00A13CC7"/>
    <w:rsid w:val="00A14A76"/>
    <w:rsid w:val="00A1732D"/>
    <w:rsid w:val="00A174CC"/>
    <w:rsid w:val="00A17FF3"/>
    <w:rsid w:val="00A23EF7"/>
    <w:rsid w:val="00A24198"/>
    <w:rsid w:val="00A2602F"/>
    <w:rsid w:val="00A26534"/>
    <w:rsid w:val="00A277D9"/>
    <w:rsid w:val="00A326AD"/>
    <w:rsid w:val="00A3273A"/>
    <w:rsid w:val="00A32B4E"/>
    <w:rsid w:val="00A32EA5"/>
    <w:rsid w:val="00A33347"/>
    <w:rsid w:val="00A33F43"/>
    <w:rsid w:val="00A34F66"/>
    <w:rsid w:val="00A35287"/>
    <w:rsid w:val="00A35DC8"/>
    <w:rsid w:val="00A37214"/>
    <w:rsid w:val="00A37B21"/>
    <w:rsid w:val="00A41701"/>
    <w:rsid w:val="00A42C69"/>
    <w:rsid w:val="00A44862"/>
    <w:rsid w:val="00A45E1C"/>
    <w:rsid w:val="00A45ED4"/>
    <w:rsid w:val="00A4664C"/>
    <w:rsid w:val="00A46CA0"/>
    <w:rsid w:val="00A46D1A"/>
    <w:rsid w:val="00A47323"/>
    <w:rsid w:val="00A47566"/>
    <w:rsid w:val="00A47A2A"/>
    <w:rsid w:val="00A50961"/>
    <w:rsid w:val="00A5162F"/>
    <w:rsid w:val="00A536BA"/>
    <w:rsid w:val="00A555FF"/>
    <w:rsid w:val="00A6107C"/>
    <w:rsid w:val="00A617D0"/>
    <w:rsid w:val="00A61C0F"/>
    <w:rsid w:val="00A622B8"/>
    <w:rsid w:val="00A64573"/>
    <w:rsid w:val="00A649E8"/>
    <w:rsid w:val="00A64CF6"/>
    <w:rsid w:val="00A64D39"/>
    <w:rsid w:val="00A65212"/>
    <w:rsid w:val="00A658E4"/>
    <w:rsid w:val="00A66B5D"/>
    <w:rsid w:val="00A71122"/>
    <w:rsid w:val="00A71254"/>
    <w:rsid w:val="00A72637"/>
    <w:rsid w:val="00A72FB2"/>
    <w:rsid w:val="00A73C9D"/>
    <w:rsid w:val="00A742B2"/>
    <w:rsid w:val="00A7522E"/>
    <w:rsid w:val="00A753D1"/>
    <w:rsid w:val="00A76F30"/>
    <w:rsid w:val="00A779D8"/>
    <w:rsid w:val="00A817EA"/>
    <w:rsid w:val="00A84C0D"/>
    <w:rsid w:val="00A850C3"/>
    <w:rsid w:val="00A8594A"/>
    <w:rsid w:val="00A86DD9"/>
    <w:rsid w:val="00A8784F"/>
    <w:rsid w:val="00A90370"/>
    <w:rsid w:val="00A937BD"/>
    <w:rsid w:val="00A9468C"/>
    <w:rsid w:val="00A97C0F"/>
    <w:rsid w:val="00AA0FAB"/>
    <w:rsid w:val="00AA169B"/>
    <w:rsid w:val="00AA1C5D"/>
    <w:rsid w:val="00AA3F49"/>
    <w:rsid w:val="00AB2F8C"/>
    <w:rsid w:val="00AB331C"/>
    <w:rsid w:val="00AB402E"/>
    <w:rsid w:val="00AB4537"/>
    <w:rsid w:val="00AB6F8E"/>
    <w:rsid w:val="00AB7D2A"/>
    <w:rsid w:val="00AC0587"/>
    <w:rsid w:val="00AC0BBA"/>
    <w:rsid w:val="00AC0DFC"/>
    <w:rsid w:val="00AC15B2"/>
    <w:rsid w:val="00AC2CE9"/>
    <w:rsid w:val="00AC4AB0"/>
    <w:rsid w:val="00AC5447"/>
    <w:rsid w:val="00AC58E2"/>
    <w:rsid w:val="00AC637F"/>
    <w:rsid w:val="00AC65BC"/>
    <w:rsid w:val="00AC7360"/>
    <w:rsid w:val="00AD14BB"/>
    <w:rsid w:val="00AD1670"/>
    <w:rsid w:val="00AD3872"/>
    <w:rsid w:val="00AD3B4C"/>
    <w:rsid w:val="00AD6B8F"/>
    <w:rsid w:val="00AD700B"/>
    <w:rsid w:val="00AE0883"/>
    <w:rsid w:val="00AE0946"/>
    <w:rsid w:val="00AE2887"/>
    <w:rsid w:val="00AE51E1"/>
    <w:rsid w:val="00AF0279"/>
    <w:rsid w:val="00AF1933"/>
    <w:rsid w:val="00AF73C8"/>
    <w:rsid w:val="00AF7BB8"/>
    <w:rsid w:val="00B002F3"/>
    <w:rsid w:val="00B01F14"/>
    <w:rsid w:val="00B04FAB"/>
    <w:rsid w:val="00B05C2F"/>
    <w:rsid w:val="00B10D61"/>
    <w:rsid w:val="00B115F6"/>
    <w:rsid w:val="00B12324"/>
    <w:rsid w:val="00B123EF"/>
    <w:rsid w:val="00B1410D"/>
    <w:rsid w:val="00B14B97"/>
    <w:rsid w:val="00B1669E"/>
    <w:rsid w:val="00B167F7"/>
    <w:rsid w:val="00B2206D"/>
    <w:rsid w:val="00B23EBC"/>
    <w:rsid w:val="00B24C64"/>
    <w:rsid w:val="00B2530A"/>
    <w:rsid w:val="00B31958"/>
    <w:rsid w:val="00B31A01"/>
    <w:rsid w:val="00B36C5A"/>
    <w:rsid w:val="00B36DA7"/>
    <w:rsid w:val="00B37666"/>
    <w:rsid w:val="00B37F6C"/>
    <w:rsid w:val="00B40927"/>
    <w:rsid w:val="00B40C1C"/>
    <w:rsid w:val="00B40C5D"/>
    <w:rsid w:val="00B43353"/>
    <w:rsid w:val="00B4650C"/>
    <w:rsid w:val="00B46B3B"/>
    <w:rsid w:val="00B46DE2"/>
    <w:rsid w:val="00B47DE0"/>
    <w:rsid w:val="00B50016"/>
    <w:rsid w:val="00B500D6"/>
    <w:rsid w:val="00B50649"/>
    <w:rsid w:val="00B50BC6"/>
    <w:rsid w:val="00B51D27"/>
    <w:rsid w:val="00B520B5"/>
    <w:rsid w:val="00B527AE"/>
    <w:rsid w:val="00B536CC"/>
    <w:rsid w:val="00B545D6"/>
    <w:rsid w:val="00B57A37"/>
    <w:rsid w:val="00B61E61"/>
    <w:rsid w:val="00B62892"/>
    <w:rsid w:val="00B63B41"/>
    <w:rsid w:val="00B665D1"/>
    <w:rsid w:val="00B66B6F"/>
    <w:rsid w:val="00B71180"/>
    <w:rsid w:val="00B7279F"/>
    <w:rsid w:val="00B73CE1"/>
    <w:rsid w:val="00B751C7"/>
    <w:rsid w:val="00B7623D"/>
    <w:rsid w:val="00B76676"/>
    <w:rsid w:val="00B772E4"/>
    <w:rsid w:val="00B77E92"/>
    <w:rsid w:val="00B80818"/>
    <w:rsid w:val="00B80D09"/>
    <w:rsid w:val="00B80DFB"/>
    <w:rsid w:val="00B8304F"/>
    <w:rsid w:val="00B857D1"/>
    <w:rsid w:val="00B86A41"/>
    <w:rsid w:val="00B92B47"/>
    <w:rsid w:val="00B9459B"/>
    <w:rsid w:val="00B95D3E"/>
    <w:rsid w:val="00B96B3A"/>
    <w:rsid w:val="00BA53C6"/>
    <w:rsid w:val="00BA7174"/>
    <w:rsid w:val="00BB0919"/>
    <w:rsid w:val="00BB0AFA"/>
    <w:rsid w:val="00BB0C67"/>
    <w:rsid w:val="00BB11D4"/>
    <w:rsid w:val="00BB173F"/>
    <w:rsid w:val="00BB2E30"/>
    <w:rsid w:val="00BB3DDF"/>
    <w:rsid w:val="00BB3E97"/>
    <w:rsid w:val="00BB4360"/>
    <w:rsid w:val="00BB5DAD"/>
    <w:rsid w:val="00BC236D"/>
    <w:rsid w:val="00BC3DAF"/>
    <w:rsid w:val="00BC40DE"/>
    <w:rsid w:val="00BC46E4"/>
    <w:rsid w:val="00BC4CFA"/>
    <w:rsid w:val="00BC5AD7"/>
    <w:rsid w:val="00BD316C"/>
    <w:rsid w:val="00BD410D"/>
    <w:rsid w:val="00BD5723"/>
    <w:rsid w:val="00BD631D"/>
    <w:rsid w:val="00BE009C"/>
    <w:rsid w:val="00BE35F8"/>
    <w:rsid w:val="00BE4DB1"/>
    <w:rsid w:val="00BE575E"/>
    <w:rsid w:val="00BE7B19"/>
    <w:rsid w:val="00BF20C9"/>
    <w:rsid w:val="00BF2454"/>
    <w:rsid w:val="00BF49DF"/>
    <w:rsid w:val="00BF598B"/>
    <w:rsid w:val="00BF62AE"/>
    <w:rsid w:val="00BF63C8"/>
    <w:rsid w:val="00BF7120"/>
    <w:rsid w:val="00C00250"/>
    <w:rsid w:val="00C02597"/>
    <w:rsid w:val="00C030B0"/>
    <w:rsid w:val="00C05E7D"/>
    <w:rsid w:val="00C06C33"/>
    <w:rsid w:val="00C07B32"/>
    <w:rsid w:val="00C129A7"/>
    <w:rsid w:val="00C12D17"/>
    <w:rsid w:val="00C13C36"/>
    <w:rsid w:val="00C14ECA"/>
    <w:rsid w:val="00C16814"/>
    <w:rsid w:val="00C16CC0"/>
    <w:rsid w:val="00C22397"/>
    <w:rsid w:val="00C234D8"/>
    <w:rsid w:val="00C242D8"/>
    <w:rsid w:val="00C24848"/>
    <w:rsid w:val="00C3017D"/>
    <w:rsid w:val="00C303CA"/>
    <w:rsid w:val="00C31185"/>
    <w:rsid w:val="00C32331"/>
    <w:rsid w:val="00C33C96"/>
    <w:rsid w:val="00C34254"/>
    <w:rsid w:val="00C34D9F"/>
    <w:rsid w:val="00C359FC"/>
    <w:rsid w:val="00C36ACC"/>
    <w:rsid w:val="00C36F47"/>
    <w:rsid w:val="00C36F83"/>
    <w:rsid w:val="00C373ED"/>
    <w:rsid w:val="00C37A4A"/>
    <w:rsid w:val="00C41039"/>
    <w:rsid w:val="00C41C2C"/>
    <w:rsid w:val="00C44A55"/>
    <w:rsid w:val="00C4668C"/>
    <w:rsid w:val="00C51188"/>
    <w:rsid w:val="00C57811"/>
    <w:rsid w:val="00C61DC8"/>
    <w:rsid w:val="00C62554"/>
    <w:rsid w:val="00C62F44"/>
    <w:rsid w:val="00C643DD"/>
    <w:rsid w:val="00C648C0"/>
    <w:rsid w:val="00C65DFC"/>
    <w:rsid w:val="00C721F3"/>
    <w:rsid w:val="00C7240B"/>
    <w:rsid w:val="00C726B9"/>
    <w:rsid w:val="00C77666"/>
    <w:rsid w:val="00C7778C"/>
    <w:rsid w:val="00C842BF"/>
    <w:rsid w:val="00C87089"/>
    <w:rsid w:val="00C91B28"/>
    <w:rsid w:val="00C92C29"/>
    <w:rsid w:val="00C93824"/>
    <w:rsid w:val="00C96D94"/>
    <w:rsid w:val="00C975FB"/>
    <w:rsid w:val="00CA269A"/>
    <w:rsid w:val="00CA3C72"/>
    <w:rsid w:val="00CA4966"/>
    <w:rsid w:val="00CA49D7"/>
    <w:rsid w:val="00CA6E27"/>
    <w:rsid w:val="00CB64CF"/>
    <w:rsid w:val="00CB79E4"/>
    <w:rsid w:val="00CC04EF"/>
    <w:rsid w:val="00CC2FE6"/>
    <w:rsid w:val="00CC34E7"/>
    <w:rsid w:val="00CC6BBD"/>
    <w:rsid w:val="00CD0DE0"/>
    <w:rsid w:val="00CD1A99"/>
    <w:rsid w:val="00CD20CB"/>
    <w:rsid w:val="00CD245F"/>
    <w:rsid w:val="00CD3545"/>
    <w:rsid w:val="00CD3A95"/>
    <w:rsid w:val="00CD54AB"/>
    <w:rsid w:val="00CD62C1"/>
    <w:rsid w:val="00CD7896"/>
    <w:rsid w:val="00CE3767"/>
    <w:rsid w:val="00CE3F1A"/>
    <w:rsid w:val="00CE43AB"/>
    <w:rsid w:val="00CE5032"/>
    <w:rsid w:val="00CE51BB"/>
    <w:rsid w:val="00CE54A8"/>
    <w:rsid w:val="00CE583E"/>
    <w:rsid w:val="00CE6352"/>
    <w:rsid w:val="00CE6D23"/>
    <w:rsid w:val="00CE7173"/>
    <w:rsid w:val="00CE7251"/>
    <w:rsid w:val="00CF121B"/>
    <w:rsid w:val="00CF323A"/>
    <w:rsid w:val="00CF476B"/>
    <w:rsid w:val="00CF61EF"/>
    <w:rsid w:val="00CF6ED0"/>
    <w:rsid w:val="00D0025A"/>
    <w:rsid w:val="00D008C6"/>
    <w:rsid w:val="00D01536"/>
    <w:rsid w:val="00D015A1"/>
    <w:rsid w:val="00D02E08"/>
    <w:rsid w:val="00D03E3B"/>
    <w:rsid w:val="00D04D37"/>
    <w:rsid w:val="00D056B4"/>
    <w:rsid w:val="00D11334"/>
    <w:rsid w:val="00D126A8"/>
    <w:rsid w:val="00D14719"/>
    <w:rsid w:val="00D14963"/>
    <w:rsid w:val="00D15689"/>
    <w:rsid w:val="00D16EE1"/>
    <w:rsid w:val="00D216CE"/>
    <w:rsid w:val="00D21FBD"/>
    <w:rsid w:val="00D22628"/>
    <w:rsid w:val="00D24B4A"/>
    <w:rsid w:val="00D25A60"/>
    <w:rsid w:val="00D26859"/>
    <w:rsid w:val="00D26BB3"/>
    <w:rsid w:val="00D27186"/>
    <w:rsid w:val="00D27898"/>
    <w:rsid w:val="00D31191"/>
    <w:rsid w:val="00D31BC5"/>
    <w:rsid w:val="00D32549"/>
    <w:rsid w:val="00D356EF"/>
    <w:rsid w:val="00D359C6"/>
    <w:rsid w:val="00D368A2"/>
    <w:rsid w:val="00D416AA"/>
    <w:rsid w:val="00D46670"/>
    <w:rsid w:val="00D4783A"/>
    <w:rsid w:val="00D50313"/>
    <w:rsid w:val="00D50F49"/>
    <w:rsid w:val="00D50FC9"/>
    <w:rsid w:val="00D54F03"/>
    <w:rsid w:val="00D5519C"/>
    <w:rsid w:val="00D5589C"/>
    <w:rsid w:val="00D55C6A"/>
    <w:rsid w:val="00D576CB"/>
    <w:rsid w:val="00D6168C"/>
    <w:rsid w:val="00D61910"/>
    <w:rsid w:val="00D61AA5"/>
    <w:rsid w:val="00D62A34"/>
    <w:rsid w:val="00D64053"/>
    <w:rsid w:val="00D644E2"/>
    <w:rsid w:val="00D70AF4"/>
    <w:rsid w:val="00D74C9E"/>
    <w:rsid w:val="00D75F96"/>
    <w:rsid w:val="00D7693E"/>
    <w:rsid w:val="00D769AD"/>
    <w:rsid w:val="00D76BBB"/>
    <w:rsid w:val="00D82A41"/>
    <w:rsid w:val="00D82DF3"/>
    <w:rsid w:val="00D83033"/>
    <w:rsid w:val="00D8313B"/>
    <w:rsid w:val="00D8318D"/>
    <w:rsid w:val="00D83E72"/>
    <w:rsid w:val="00D84585"/>
    <w:rsid w:val="00D8493D"/>
    <w:rsid w:val="00D91361"/>
    <w:rsid w:val="00D916AD"/>
    <w:rsid w:val="00D9229F"/>
    <w:rsid w:val="00D924A4"/>
    <w:rsid w:val="00D966FD"/>
    <w:rsid w:val="00DA023B"/>
    <w:rsid w:val="00DA3557"/>
    <w:rsid w:val="00DA3F8C"/>
    <w:rsid w:val="00DA656A"/>
    <w:rsid w:val="00DA71E4"/>
    <w:rsid w:val="00DA73A0"/>
    <w:rsid w:val="00DA7FC5"/>
    <w:rsid w:val="00DB0EE4"/>
    <w:rsid w:val="00DB309D"/>
    <w:rsid w:val="00DB3A8E"/>
    <w:rsid w:val="00DB410B"/>
    <w:rsid w:val="00DB7262"/>
    <w:rsid w:val="00DC0816"/>
    <w:rsid w:val="00DC0824"/>
    <w:rsid w:val="00DC24B8"/>
    <w:rsid w:val="00DC2A5C"/>
    <w:rsid w:val="00DC39B8"/>
    <w:rsid w:val="00DC7281"/>
    <w:rsid w:val="00DC77E5"/>
    <w:rsid w:val="00DD1519"/>
    <w:rsid w:val="00DD34AF"/>
    <w:rsid w:val="00DD61AC"/>
    <w:rsid w:val="00DD6726"/>
    <w:rsid w:val="00DD6DC6"/>
    <w:rsid w:val="00DD7430"/>
    <w:rsid w:val="00DE1458"/>
    <w:rsid w:val="00DE22A6"/>
    <w:rsid w:val="00DE2444"/>
    <w:rsid w:val="00DE2F3D"/>
    <w:rsid w:val="00DE4A9C"/>
    <w:rsid w:val="00DE6A44"/>
    <w:rsid w:val="00DF098F"/>
    <w:rsid w:val="00DF2D40"/>
    <w:rsid w:val="00DF4D0B"/>
    <w:rsid w:val="00DF60B3"/>
    <w:rsid w:val="00DF677C"/>
    <w:rsid w:val="00E002CC"/>
    <w:rsid w:val="00E00636"/>
    <w:rsid w:val="00E020EC"/>
    <w:rsid w:val="00E0233D"/>
    <w:rsid w:val="00E031A6"/>
    <w:rsid w:val="00E0380F"/>
    <w:rsid w:val="00E03CE9"/>
    <w:rsid w:val="00E03DA2"/>
    <w:rsid w:val="00E06F10"/>
    <w:rsid w:val="00E10C2E"/>
    <w:rsid w:val="00E1113D"/>
    <w:rsid w:val="00E147BD"/>
    <w:rsid w:val="00E14A0D"/>
    <w:rsid w:val="00E15F09"/>
    <w:rsid w:val="00E16324"/>
    <w:rsid w:val="00E2072F"/>
    <w:rsid w:val="00E20FD5"/>
    <w:rsid w:val="00E21E82"/>
    <w:rsid w:val="00E22376"/>
    <w:rsid w:val="00E234E7"/>
    <w:rsid w:val="00E32CA9"/>
    <w:rsid w:val="00E3476B"/>
    <w:rsid w:val="00E40499"/>
    <w:rsid w:val="00E40B32"/>
    <w:rsid w:val="00E42BB7"/>
    <w:rsid w:val="00E47D28"/>
    <w:rsid w:val="00E52E62"/>
    <w:rsid w:val="00E56D01"/>
    <w:rsid w:val="00E62A05"/>
    <w:rsid w:val="00E631B6"/>
    <w:rsid w:val="00E63425"/>
    <w:rsid w:val="00E63CC3"/>
    <w:rsid w:val="00E6429E"/>
    <w:rsid w:val="00E647DC"/>
    <w:rsid w:val="00E651B3"/>
    <w:rsid w:val="00E65ADA"/>
    <w:rsid w:val="00E670F5"/>
    <w:rsid w:val="00E72284"/>
    <w:rsid w:val="00E74A1B"/>
    <w:rsid w:val="00E803E8"/>
    <w:rsid w:val="00E807D6"/>
    <w:rsid w:val="00E815D2"/>
    <w:rsid w:val="00E850F1"/>
    <w:rsid w:val="00E851A1"/>
    <w:rsid w:val="00E86009"/>
    <w:rsid w:val="00E8601E"/>
    <w:rsid w:val="00E90EE0"/>
    <w:rsid w:val="00E90F0C"/>
    <w:rsid w:val="00E92833"/>
    <w:rsid w:val="00E929EC"/>
    <w:rsid w:val="00E956F9"/>
    <w:rsid w:val="00E95B86"/>
    <w:rsid w:val="00E963F0"/>
    <w:rsid w:val="00EA1C71"/>
    <w:rsid w:val="00EA228E"/>
    <w:rsid w:val="00EA2B7B"/>
    <w:rsid w:val="00EA5F2E"/>
    <w:rsid w:val="00EA70E1"/>
    <w:rsid w:val="00EA7133"/>
    <w:rsid w:val="00EA7F64"/>
    <w:rsid w:val="00EB0591"/>
    <w:rsid w:val="00EB2316"/>
    <w:rsid w:val="00EB3A4D"/>
    <w:rsid w:val="00EB406E"/>
    <w:rsid w:val="00EB52F9"/>
    <w:rsid w:val="00EB5B62"/>
    <w:rsid w:val="00EB78DE"/>
    <w:rsid w:val="00EC2D09"/>
    <w:rsid w:val="00EC6E12"/>
    <w:rsid w:val="00ED033B"/>
    <w:rsid w:val="00ED2873"/>
    <w:rsid w:val="00ED3348"/>
    <w:rsid w:val="00ED3438"/>
    <w:rsid w:val="00ED3F3F"/>
    <w:rsid w:val="00ED42E7"/>
    <w:rsid w:val="00ED447C"/>
    <w:rsid w:val="00ED458E"/>
    <w:rsid w:val="00ED5454"/>
    <w:rsid w:val="00ED712E"/>
    <w:rsid w:val="00ED793F"/>
    <w:rsid w:val="00EE0AAF"/>
    <w:rsid w:val="00EE3DF5"/>
    <w:rsid w:val="00EE451C"/>
    <w:rsid w:val="00EE60E6"/>
    <w:rsid w:val="00EE7A29"/>
    <w:rsid w:val="00EE7C5A"/>
    <w:rsid w:val="00EF1476"/>
    <w:rsid w:val="00EF20E6"/>
    <w:rsid w:val="00EF2290"/>
    <w:rsid w:val="00EF33CE"/>
    <w:rsid w:val="00EF3AC6"/>
    <w:rsid w:val="00EF5295"/>
    <w:rsid w:val="00EF5E6D"/>
    <w:rsid w:val="00EF6EE8"/>
    <w:rsid w:val="00EF7A08"/>
    <w:rsid w:val="00EF7C80"/>
    <w:rsid w:val="00EF7EF8"/>
    <w:rsid w:val="00EF7F61"/>
    <w:rsid w:val="00F00984"/>
    <w:rsid w:val="00F00A19"/>
    <w:rsid w:val="00F00C4B"/>
    <w:rsid w:val="00F00C7D"/>
    <w:rsid w:val="00F01C64"/>
    <w:rsid w:val="00F06FF1"/>
    <w:rsid w:val="00F074A8"/>
    <w:rsid w:val="00F110BB"/>
    <w:rsid w:val="00F12B90"/>
    <w:rsid w:val="00F13AD1"/>
    <w:rsid w:val="00F1485B"/>
    <w:rsid w:val="00F15910"/>
    <w:rsid w:val="00F20A77"/>
    <w:rsid w:val="00F20E45"/>
    <w:rsid w:val="00F21CFF"/>
    <w:rsid w:val="00F228AD"/>
    <w:rsid w:val="00F22B89"/>
    <w:rsid w:val="00F230D2"/>
    <w:rsid w:val="00F23707"/>
    <w:rsid w:val="00F244BE"/>
    <w:rsid w:val="00F25C2C"/>
    <w:rsid w:val="00F26541"/>
    <w:rsid w:val="00F26596"/>
    <w:rsid w:val="00F27357"/>
    <w:rsid w:val="00F321E4"/>
    <w:rsid w:val="00F34DA6"/>
    <w:rsid w:val="00F35D72"/>
    <w:rsid w:val="00F37B83"/>
    <w:rsid w:val="00F37E7E"/>
    <w:rsid w:val="00F37EE6"/>
    <w:rsid w:val="00F41AE4"/>
    <w:rsid w:val="00F41BF8"/>
    <w:rsid w:val="00F42E9F"/>
    <w:rsid w:val="00F43030"/>
    <w:rsid w:val="00F43DD3"/>
    <w:rsid w:val="00F449F3"/>
    <w:rsid w:val="00F44E7A"/>
    <w:rsid w:val="00F511BA"/>
    <w:rsid w:val="00F517F4"/>
    <w:rsid w:val="00F52828"/>
    <w:rsid w:val="00F52DAD"/>
    <w:rsid w:val="00F532EC"/>
    <w:rsid w:val="00F55158"/>
    <w:rsid w:val="00F61556"/>
    <w:rsid w:val="00F61C91"/>
    <w:rsid w:val="00F63600"/>
    <w:rsid w:val="00F65A0A"/>
    <w:rsid w:val="00F66CED"/>
    <w:rsid w:val="00F7402B"/>
    <w:rsid w:val="00F76305"/>
    <w:rsid w:val="00F7676D"/>
    <w:rsid w:val="00F77342"/>
    <w:rsid w:val="00F811F5"/>
    <w:rsid w:val="00F81AB9"/>
    <w:rsid w:val="00F8314B"/>
    <w:rsid w:val="00F8330D"/>
    <w:rsid w:val="00F856BA"/>
    <w:rsid w:val="00F8594D"/>
    <w:rsid w:val="00F91947"/>
    <w:rsid w:val="00F92BD1"/>
    <w:rsid w:val="00F934E4"/>
    <w:rsid w:val="00F93C14"/>
    <w:rsid w:val="00F959A8"/>
    <w:rsid w:val="00FA04AE"/>
    <w:rsid w:val="00FA0773"/>
    <w:rsid w:val="00FA1FD1"/>
    <w:rsid w:val="00FA238E"/>
    <w:rsid w:val="00FA241A"/>
    <w:rsid w:val="00FA2BEB"/>
    <w:rsid w:val="00FA318B"/>
    <w:rsid w:val="00FA58C0"/>
    <w:rsid w:val="00FA5A58"/>
    <w:rsid w:val="00FB5894"/>
    <w:rsid w:val="00FB6CD1"/>
    <w:rsid w:val="00FC03B7"/>
    <w:rsid w:val="00FC0450"/>
    <w:rsid w:val="00FC3269"/>
    <w:rsid w:val="00FC3A47"/>
    <w:rsid w:val="00FC4D83"/>
    <w:rsid w:val="00FC4E34"/>
    <w:rsid w:val="00FC4F98"/>
    <w:rsid w:val="00FC644C"/>
    <w:rsid w:val="00FC7CB1"/>
    <w:rsid w:val="00FD1C56"/>
    <w:rsid w:val="00FD3DC3"/>
    <w:rsid w:val="00FD4563"/>
    <w:rsid w:val="00FD6B2B"/>
    <w:rsid w:val="00FD7F47"/>
    <w:rsid w:val="00FE1378"/>
    <w:rsid w:val="00FE3F45"/>
    <w:rsid w:val="00FE41FA"/>
    <w:rsid w:val="00FE44FB"/>
    <w:rsid w:val="00FE48C3"/>
    <w:rsid w:val="00FF0F25"/>
    <w:rsid w:val="00FF25D3"/>
    <w:rsid w:val="00FF26C9"/>
    <w:rsid w:val="00FF42D5"/>
    <w:rsid w:val="00FF500B"/>
    <w:rsid w:val="00FF5445"/>
    <w:rsid w:val="00FF70BB"/>
    <w:rsid w:val="00FF71B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7454B"/>
  <w15:docId w15:val="{B9FE9CC0-4C0C-4E6B-8A3A-8C8D55A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415"/>
  </w:style>
  <w:style w:type="paragraph" w:styleId="Footer">
    <w:name w:val="footer"/>
    <w:basedOn w:val="Normal"/>
    <w:link w:val="FooterChar"/>
    <w:uiPriority w:val="99"/>
    <w:unhideWhenUsed/>
    <w:rsid w:val="00090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415"/>
  </w:style>
  <w:style w:type="table" w:styleId="TableGrid">
    <w:name w:val="Table Grid"/>
    <w:basedOn w:val="TableNormal"/>
    <w:uiPriority w:val="39"/>
    <w:rsid w:val="000904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415"/>
    <w:pPr>
      <w:ind w:left="720"/>
      <w:contextualSpacing/>
    </w:pPr>
  </w:style>
  <w:style w:type="paragraph" w:styleId="BalloonText">
    <w:name w:val="Balloon Text"/>
    <w:basedOn w:val="Normal"/>
    <w:link w:val="BalloonTextChar"/>
    <w:uiPriority w:val="99"/>
    <w:semiHidden/>
    <w:unhideWhenUsed/>
    <w:rsid w:val="00AC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47"/>
    <w:rPr>
      <w:rFonts w:ascii="Tahoma" w:hAnsi="Tahoma" w:cs="Tahoma"/>
      <w:sz w:val="16"/>
      <w:szCs w:val="16"/>
    </w:rPr>
  </w:style>
  <w:style w:type="character" w:styleId="CommentReference">
    <w:name w:val="annotation reference"/>
    <w:basedOn w:val="DefaultParagraphFont"/>
    <w:uiPriority w:val="99"/>
    <w:semiHidden/>
    <w:unhideWhenUsed/>
    <w:rsid w:val="000E2B51"/>
    <w:rPr>
      <w:sz w:val="16"/>
      <w:szCs w:val="16"/>
    </w:rPr>
  </w:style>
  <w:style w:type="paragraph" w:styleId="CommentText">
    <w:name w:val="annotation text"/>
    <w:basedOn w:val="Normal"/>
    <w:link w:val="CommentTextChar"/>
    <w:uiPriority w:val="99"/>
    <w:semiHidden/>
    <w:unhideWhenUsed/>
    <w:rsid w:val="000E2B51"/>
    <w:pPr>
      <w:spacing w:line="240" w:lineRule="auto"/>
    </w:pPr>
    <w:rPr>
      <w:sz w:val="20"/>
      <w:szCs w:val="20"/>
    </w:rPr>
  </w:style>
  <w:style w:type="character" w:customStyle="1" w:styleId="CommentTextChar">
    <w:name w:val="Comment Text Char"/>
    <w:basedOn w:val="DefaultParagraphFont"/>
    <w:link w:val="CommentText"/>
    <w:uiPriority w:val="99"/>
    <w:semiHidden/>
    <w:rsid w:val="000E2B51"/>
    <w:rPr>
      <w:sz w:val="20"/>
      <w:szCs w:val="20"/>
    </w:rPr>
  </w:style>
  <w:style w:type="paragraph" w:styleId="CommentSubject">
    <w:name w:val="annotation subject"/>
    <w:basedOn w:val="CommentText"/>
    <w:next w:val="CommentText"/>
    <w:link w:val="CommentSubjectChar"/>
    <w:uiPriority w:val="99"/>
    <w:semiHidden/>
    <w:unhideWhenUsed/>
    <w:rsid w:val="000E2B51"/>
    <w:rPr>
      <w:b/>
      <w:bCs/>
    </w:rPr>
  </w:style>
  <w:style w:type="character" w:customStyle="1" w:styleId="CommentSubjectChar">
    <w:name w:val="Comment Subject Char"/>
    <w:basedOn w:val="CommentTextChar"/>
    <w:link w:val="CommentSubject"/>
    <w:uiPriority w:val="99"/>
    <w:semiHidden/>
    <w:rsid w:val="000E2B51"/>
    <w:rPr>
      <w:b/>
      <w:bCs/>
      <w:sz w:val="20"/>
      <w:szCs w:val="20"/>
    </w:rPr>
  </w:style>
  <w:style w:type="character" w:styleId="Hyperlink">
    <w:name w:val="Hyperlink"/>
    <w:basedOn w:val="DefaultParagraphFont"/>
    <w:uiPriority w:val="99"/>
    <w:unhideWhenUsed/>
    <w:rsid w:val="009E7484"/>
    <w:rPr>
      <w:color w:val="0563C1" w:themeColor="hyperlink"/>
      <w:u w:val="single"/>
    </w:rPr>
  </w:style>
  <w:style w:type="character" w:customStyle="1" w:styleId="UnresolvedMention1">
    <w:name w:val="Unresolved Mention1"/>
    <w:basedOn w:val="DefaultParagraphFont"/>
    <w:uiPriority w:val="99"/>
    <w:semiHidden/>
    <w:unhideWhenUsed/>
    <w:rsid w:val="00FA0773"/>
    <w:rPr>
      <w:color w:val="605E5C"/>
      <w:shd w:val="clear" w:color="auto" w:fill="E1DFDD"/>
    </w:rPr>
  </w:style>
  <w:style w:type="character" w:styleId="Emphasis">
    <w:name w:val="Emphasis"/>
    <w:basedOn w:val="DefaultParagraphFont"/>
    <w:uiPriority w:val="20"/>
    <w:qFormat/>
    <w:rsid w:val="006B4B3B"/>
    <w:rPr>
      <w:i/>
      <w:iCs/>
    </w:rPr>
  </w:style>
  <w:style w:type="paragraph" w:customStyle="1" w:styleId="Default">
    <w:name w:val="Default"/>
    <w:rsid w:val="009F1286"/>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2">
    <w:name w:val="Unresolved Mention2"/>
    <w:basedOn w:val="DefaultParagraphFont"/>
    <w:uiPriority w:val="99"/>
    <w:semiHidden/>
    <w:unhideWhenUsed/>
    <w:rsid w:val="000C6C18"/>
    <w:rPr>
      <w:color w:val="605E5C"/>
      <w:shd w:val="clear" w:color="auto" w:fill="E1DFDD"/>
    </w:rPr>
  </w:style>
  <w:style w:type="character" w:styleId="UnresolvedMention">
    <w:name w:val="Unresolved Mention"/>
    <w:basedOn w:val="DefaultParagraphFont"/>
    <w:uiPriority w:val="99"/>
    <w:semiHidden/>
    <w:unhideWhenUsed/>
    <w:rsid w:val="009421E3"/>
    <w:rPr>
      <w:color w:val="605E5C"/>
      <w:shd w:val="clear" w:color="auto" w:fill="E1DFDD"/>
    </w:rPr>
  </w:style>
  <w:style w:type="paragraph" w:customStyle="1" w:styleId="xmsonormal">
    <w:name w:val="x_msonormal"/>
    <w:basedOn w:val="Normal"/>
    <w:rsid w:val="00CD7896"/>
    <w:pPr>
      <w:spacing w:after="0" w:line="240" w:lineRule="auto"/>
    </w:pPr>
    <w:rPr>
      <w:rFonts w:ascii="Calibri" w:eastAsiaTheme="minorEastAsia" w:hAnsi="Calibri" w:cs="Calibri"/>
      <w:lang w:val="en-US" w:eastAsia="zh-CN"/>
    </w:rPr>
  </w:style>
  <w:style w:type="paragraph" w:styleId="NormalWeb">
    <w:name w:val="Normal (Web)"/>
    <w:basedOn w:val="Normal"/>
    <w:uiPriority w:val="99"/>
    <w:unhideWhenUsed/>
    <w:rsid w:val="00615B44"/>
    <w:rPr>
      <w:rFonts w:ascii="Times New Roman" w:hAnsi="Times New Roman" w:cs="Times New Roman"/>
      <w:sz w:val="24"/>
      <w:szCs w:val="24"/>
    </w:rPr>
  </w:style>
  <w:style w:type="paragraph" w:styleId="PlainText">
    <w:name w:val="Plain Text"/>
    <w:basedOn w:val="Normal"/>
    <w:link w:val="PlainTextChar"/>
    <w:uiPriority w:val="99"/>
    <w:unhideWhenUsed/>
    <w:rsid w:val="00350CE8"/>
    <w:pPr>
      <w:spacing w:after="0" w:line="240" w:lineRule="auto"/>
    </w:pPr>
    <w:rPr>
      <w:rFonts w:ascii="Consolas" w:eastAsiaTheme="minorEastAsia" w:hAnsi="Consolas"/>
      <w:sz w:val="21"/>
      <w:szCs w:val="21"/>
      <w:lang w:val="en-US" w:eastAsia="zh-CN"/>
    </w:rPr>
  </w:style>
  <w:style w:type="character" w:customStyle="1" w:styleId="PlainTextChar">
    <w:name w:val="Plain Text Char"/>
    <w:basedOn w:val="DefaultParagraphFont"/>
    <w:link w:val="PlainText"/>
    <w:uiPriority w:val="99"/>
    <w:rsid w:val="00350CE8"/>
    <w:rPr>
      <w:rFonts w:ascii="Consolas" w:eastAsiaTheme="minorEastAsia" w:hAnsi="Consolas"/>
      <w:sz w:val="21"/>
      <w:szCs w:val="21"/>
      <w:lang w:val="en-US" w:eastAsia="zh-CN"/>
    </w:rPr>
  </w:style>
  <w:style w:type="character" w:styleId="FollowedHyperlink">
    <w:name w:val="FollowedHyperlink"/>
    <w:basedOn w:val="DefaultParagraphFont"/>
    <w:uiPriority w:val="99"/>
    <w:semiHidden/>
    <w:unhideWhenUsed/>
    <w:rsid w:val="00F511BA"/>
    <w:rPr>
      <w:color w:val="954F72" w:themeColor="followedHyperlink"/>
      <w:u w:val="single"/>
    </w:rPr>
  </w:style>
  <w:style w:type="paragraph" w:styleId="Revision">
    <w:name w:val="Revision"/>
    <w:hidden/>
    <w:uiPriority w:val="99"/>
    <w:semiHidden/>
    <w:rsid w:val="009D5038"/>
    <w:pPr>
      <w:spacing w:after="0" w:line="240" w:lineRule="auto"/>
    </w:pPr>
  </w:style>
  <w:style w:type="paragraph" w:customStyle="1" w:styleId="xmsolistparagraph">
    <w:name w:val="x_msolistparagraph"/>
    <w:basedOn w:val="Normal"/>
    <w:rsid w:val="00146A2B"/>
    <w:pPr>
      <w:spacing w:after="200" w:line="288" w:lineRule="auto"/>
      <w:ind w:left="720"/>
    </w:pPr>
    <w:rPr>
      <w:rFonts w:ascii="SimSun" w:eastAsia="SimSun" w:hAnsi="SimSun" w:cs="Calibri"/>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8836">
      <w:bodyDiv w:val="1"/>
      <w:marLeft w:val="0"/>
      <w:marRight w:val="0"/>
      <w:marTop w:val="0"/>
      <w:marBottom w:val="0"/>
      <w:divBdr>
        <w:top w:val="none" w:sz="0" w:space="0" w:color="auto"/>
        <w:left w:val="none" w:sz="0" w:space="0" w:color="auto"/>
        <w:bottom w:val="none" w:sz="0" w:space="0" w:color="auto"/>
        <w:right w:val="none" w:sz="0" w:space="0" w:color="auto"/>
      </w:divBdr>
    </w:div>
    <w:div w:id="80026973">
      <w:bodyDiv w:val="1"/>
      <w:marLeft w:val="0"/>
      <w:marRight w:val="0"/>
      <w:marTop w:val="0"/>
      <w:marBottom w:val="0"/>
      <w:divBdr>
        <w:top w:val="none" w:sz="0" w:space="0" w:color="auto"/>
        <w:left w:val="none" w:sz="0" w:space="0" w:color="auto"/>
        <w:bottom w:val="none" w:sz="0" w:space="0" w:color="auto"/>
        <w:right w:val="none" w:sz="0" w:space="0" w:color="auto"/>
      </w:divBdr>
    </w:div>
    <w:div w:id="93019685">
      <w:bodyDiv w:val="1"/>
      <w:marLeft w:val="0"/>
      <w:marRight w:val="0"/>
      <w:marTop w:val="0"/>
      <w:marBottom w:val="0"/>
      <w:divBdr>
        <w:top w:val="none" w:sz="0" w:space="0" w:color="auto"/>
        <w:left w:val="none" w:sz="0" w:space="0" w:color="auto"/>
        <w:bottom w:val="none" w:sz="0" w:space="0" w:color="auto"/>
        <w:right w:val="none" w:sz="0" w:space="0" w:color="auto"/>
      </w:divBdr>
      <w:divsChild>
        <w:div w:id="1513180768">
          <w:marLeft w:val="547"/>
          <w:marRight w:val="0"/>
          <w:marTop w:val="0"/>
          <w:marBottom w:val="0"/>
          <w:divBdr>
            <w:top w:val="none" w:sz="0" w:space="0" w:color="auto"/>
            <w:left w:val="none" w:sz="0" w:space="0" w:color="auto"/>
            <w:bottom w:val="none" w:sz="0" w:space="0" w:color="auto"/>
            <w:right w:val="none" w:sz="0" w:space="0" w:color="auto"/>
          </w:divBdr>
        </w:div>
        <w:div w:id="431366798">
          <w:marLeft w:val="547"/>
          <w:marRight w:val="0"/>
          <w:marTop w:val="0"/>
          <w:marBottom w:val="0"/>
          <w:divBdr>
            <w:top w:val="none" w:sz="0" w:space="0" w:color="auto"/>
            <w:left w:val="none" w:sz="0" w:space="0" w:color="auto"/>
            <w:bottom w:val="none" w:sz="0" w:space="0" w:color="auto"/>
            <w:right w:val="none" w:sz="0" w:space="0" w:color="auto"/>
          </w:divBdr>
        </w:div>
        <w:div w:id="394469179">
          <w:marLeft w:val="547"/>
          <w:marRight w:val="0"/>
          <w:marTop w:val="0"/>
          <w:marBottom w:val="0"/>
          <w:divBdr>
            <w:top w:val="none" w:sz="0" w:space="0" w:color="auto"/>
            <w:left w:val="none" w:sz="0" w:space="0" w:color="auto"/>
            <w:bottom w:val="none" w:sz="0" w:space="0" w:color="auto"/>
            <w:right w:val="none" w:sz="0" w:space="0" w:color="auto"/>
          </w:divBdr>
        </w:div>
        <w:div w:id="1200437959">
          <w:marLeft w:val="547"/>
          <w:marRight w:val="0"/>
          <w:marTop w:val="0"/>
          <w:marBottom w:val="0"/>
          <w:divBdr>
            <w:top w:val="none" w:sz="0" w:space="0" w:color="auto"/>
            <w:left w:val="none" w:sz="0" w:space="0" w:color="auto"/>
            <w:bottom w:val="none" w:sz="0" w:space="0" w:color="auto"/>
            <w:right w:val="none" w:sz="0" w:space="0" w:color="auto"/>
          </w:divBdr>
        </w:div>
        <w:div w:id="881555474">
          <w:marLeft w:val="547"/>
          <w:marRight w:val="0"/>
          <w:marTop w:val="0"/>
          <w:marBottom w:val="0"/>
          <w:divBdr>
            <w:top w:val="none" w:sz="0" w:space="0" w:color="auto"/>
            <w:left w:val="none" w:sz="0" w:space="0" w:color="auto"/>
            <w:bottom w:val="none" w:sz="0" w:space="0" w:color="auto"/>
            <w:right w:val="none" w:sz="0" w:space="0" w:color="auto"/>
          </w:divBdr>
        </w:div>
        <w:div w:id="578905706">
          <w:marLeft w:val="547"/>
          <w:marRight w:val="0"/>
          <w:marTop w:val="0"/>
          <w:marBottom w:val="0"/>
          <w:divBdr>
            <w:top w:val="none" w:sz="0" w:space="0" w:color="auto"/>
            <w:left w:val="none" w:sz="0" w:space="0" w:color="auto"/>
            <w:bottom w:val="none" w:sz="0" w:space="0" w:color="auto"/>
            <w:right w:val="none" w:sz="0" w:space="0" w:color="auto"/>
          </w:divBdr>
        </w:div>
      </w:divsChild>
    </w:div>
    <w:div w:id="153574346">
      <w:bodyDiv w:val="1"/>
      <w:marLeft w:val="0"/>
      <w:marRight w:val="0"/>
      <w:marTop w:val="0"/>
      <w:marBottom w:val="0"/>
      <w:divBdr>
        <w:top w:val="none" w:sz="0" w:space="0" w:color="auto"/>
        <w:left w:val="none" w:sz="0" w:space="0" w:color="auto"/>
        <w:bottom w:val="none" w:sz="0" w:space="0" w:color="auto"/>
        <w:right w:val="none" w:sz="0" w:space="0" w:color="auto"/>
      </w:divBdr>
    </w:div>
    <w:div w:id="167061517">
      <w:bodyDiv w:val="1"/>
      <w:marLeft w:val="0"/>
      <w:marRight w:val="0"/>
      <w:marTop w:val="0"/>
      <w:marBottom w:val="0"/>
      <w:divBdr>
        <w:top w:val="none" w:sz="0" w:space="0" w:color="auto"/>
        <w:left w:val="none" w:sz="0" w:space="0" w:color="auto"/>
        <w:bottom w:val="none" w:sz="0" w:space="0" w:color="auto"/>
        <w:right w:val="none" w:sz="0" w:space="0" w:color="auto"/>
      </w:divBdr>
    </w:div>
    <w:div w:id="178549863">
      <w:bodyDiv w:val="1"/>
      <w:marLeft w:val="0"/>
      <w:marRight w:val="0"/>
      <w:marTop w:val="0"/>
      <w:marBottom w:val="0"/>
      <w:divBdr>
        <w:top w:val="none" w:sz="0" w:space="0" w:color="auto"/>
        <w:left w:val="none" w:sz="0" w:space="0" w:color="auto"/>
        <w:bottom w:val="none" w:sz="0" w:space="0" w:color="auto"/>
        <w:right w:val="none" w:sz="0" w:space="0" w:color="auto"/>
      </w:divBdr>
    </w:div>
    <w:div w:id="196357309">
      <w:bodyDiv w:val="1"/>
      <w:marLeft w:val="0"/>
      <w:marRight w:val="0"/>
      <w:marTop w:val="0"/>
      <w:marBottom w:val="0"/>
      <w:divBdr>
        <w:top w:val="none" w:sz="0" w:space="0" w:color="auto"/>
        <w:left w:val="none" w:sz="0" w:space="0" w:color="auto"/>
        <w:bottom w:val="none" w:sz="0" w:space="0" w:color="auto"/>
        <w:right w:val="none" w:sz="0" w:space="0" w:color="auto"/>
      </w:divBdr>
    </w:div>
    <w:div w:id="216628032">
      <w:bodyDiv w:val="1"/>
      <w:marLeft w:val="0"/>
      <w:marRight w:val="0"/>
      <w:marTop w:val="0"/>
      <w:marBottom w:val="0"/>
      <w:divBdr>
        <w:top w:val="none" w:sz="0" w:space="0" w:color="auto"/>
        <w:left w:val="none" w:sz="0" w:space="0" w:color="auto"/>
        <w:bottom w:val="none" w:sz="0" w:space="0" w:color="auto"/>
        <w:right w:val="none" w:sz="0" w:space="0" w:color="auto"/>
      </w:divBdr>
    </w:div>
    <w:div w:id="247037449">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sChild>
        <w:div w:id="2145538728">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
    <w:div w:id="378821382">
      <w:bodyDiv w:val="1"/>
      <w:marLeft w:val="0"/>
      <w:marRight w:val="0"/>
      <w:marTop w:val="0"/>
      <w:marBottom w:val="0"/>
      <w:divBdr>
        <w:top w:val="none" w:sz="0" w:space="0" w:color="auto"/>
        <w:left w:val="none" w:sz="0" w:space="0" w:color="auto"/>
        <w:bottom w:val="none" w:sz="0" w:space="0" w:color="auto"/>
        <w:right w:val="none" w:sz="0" w:space="0" w:color="auto"/>
      </w:divBdr>
    </w:div>
    <w:div w:id="383412416">
      <w:bodyDiv w:val="1"/>
      <w:marLeft w:val="0"/>
      <w:marRight w:val="0"/>
      <w:marTop w:val="0"/>
      <w:marBottom w:val="0"/>
      <w:divBdr>
        <w:top w:val="none" w:sz="0" w:space="0" w:color="auto"/>
        <w:left w:val="none" w:sz="0" w:space="0" w:color="auto"/>
        <w:bottom w:val="none" w:sz="0" w:space="0" w:color="auto"/>
        <w:right w:val="none" w:sz="0" w:space="0" w:color="auto"/>
      </w:divBdr>
      <w:divsChild>
        <w:div w:id="240261835">
          <w:marLeft w:val="360"/>
          <w:marRight w:val="0"/>
          <w:marTop w:val="200"/>
          <w:marBottom w:val="0"/>
          <w:divBdr>
            <w:top w:val="none" w:sz="0" w:space="0" w:color="auto"/>
            <w:left w:val="none" w:sz="0" w:space="0" w:color="auto"/>
            <w:bottom w:val="none" w:sz="0" w:space="0" w:color="auto"/>
            <w:right w:val="none" w:sz="0" w:space="0" w:color="auto"/>
          </w:divBdr>
        </w:div>
        <w:div w:id="859006680">
          <w:marLeft w:val="360"/>
          <w:marRight w:val="0"/>
          <w:marTop w:val="200"/>
          <w:marBottom w:val="0"/>
          <w:divBdr>
            <w:top w:val="none" w:sz="0" w:space="0" w:color="auto"/>
            <w:left w:val="none" w:sz="0" w:space="0" w:color="auto"/>
            <w:bottom w:val="none" w:sz="0" w:space="0" w:color="auto"/>
            <w:right w:val="none" w:sz="0" w:space="0" w:color="auto"/>
          </w:divBdr>
        </w:div>
      </w:divsChild>
    </w:div>
    <w:div w:id="384253558">
      <w:bodyDiv w:val="1"/>
      <w:marLeft w:val="0"/>
      <w:marRight w:val="0"/>
      <w:marTop w:val="0"/>
      <w:marBottom w:val="0"/>
      <w:divBdr>
        <w:top w:val="none" w:sz="0" w:space="0" w:color="auto"/>
        <w:left w:val="none" w:sz="0" w:space="0" w:color="auto"/>
        <w:bottom w:val="none" w:sz="0" w:space="0" w:color="auto"/>
        <w:right w:val="none" w:sz="0" w:space="0" w:color="auto"/>
      </w:divBdr>
    </w:div>
    <w:div w:id="391004234">
      <w:bodyDiv w:val="1"/>
      <w:marLeft w:val="0"/>
      <w:marRight w:val="0"/>
      <w:marTop w:val="0"/>
      <w:marBottom w:val="0"/>
      <w:divBdr>
        <w:top w:val="none" w:sz="0" w:space="0" w:color="auto"/>
        <w:left w:val="none" w:sz="0" w:space="0" w:color="auto"/>
        <w:bottom w:val="none" w:sz="0" w:space="0" w:color="auto"/>
        <w:right w:val="none" w:sz="0" w:space="0" w:color="auto"/>
      </w:divBdr>
    </w:div>
    <w:div w:id="423262718">
      <w:bodyDiv w:val="1"/>
      <w:marLeft w:val="0"/>
      <w:marRight w:val="0"/>
      <w:marTop w:val="0"/>
      <w:marBottom w:val="0"/>
      <w:divBdr>
        <w:top w:val="none" w:sz="0" w:space="0" w:color="auto"/>
        <w:left w:val="none" w:sz="0" w:space="0" w:color="auto"/>
        <w:bottom w:val="none" w:sz="0" w:space="0" w:color="auto"/>
        <w:right w:val="none" w:sz="0" w:space="0" w:color="auto"/>
      </w:divBdr>
    </w:div>
    <w:div w:id="440879757">
      <w:bodyDiv w:val="1"/>
      <w:marLeft w:val="0"/>
      <w:marRight w:val="0"/>
      <w:marTop w:val="0"/>
      <w:marBottom w:val="0"/>
      <w:divBdr>
        <w:top w:val="none" w:sz="0" w:space="0" w:color="auto"/>
        <w:left w:val="none" w:sz="0" w:space="0" w:color="auto"/>
        <w:bottom w:val="none" w:sz="0" w:space="0" w:color="auto"/>
        <w:right w:val="none" w:sz="0" w:space="0" w:color="auto"/>
      </w:divBdr>
      <w:divsChild>
        <w:div w:id="2117290343">
          <w:marLeft w:val="0"/>
          <w:marRight w:val="0"/>
          <w:marTop w:val="0"/>
          <w:marBottom w:val="0"/>
          <w:divBdr>
            <w:top w:val="none" w:sz="0" w:space="0" w:color="auto"/>
            <w:left w:val="none" w:sz="0" w:space="0" w:color="auto"/>
            <w:bottom w:val="none" w:sz="0" w:space="0" w:color="auto"/>
            <w:right w:val="none" w:sz="0" w:space="0" w:color="auto"/>
          </w:divBdr>
        </w:div>
      </w:divsChild>
    </w:div>
    <w:div w:id="482477543">
      <w:bodyDiv w:val="1"/>
      <w:marLeft w:val="0"/>
      <w:marRight w:val="0"/>
      <w:marTop w:val="0"/>
      <w:marBottom w:val="0"/>
      <w:divBdr>
        <w:top w:val="none" w:sz="0" w:space="0" w:color="auto"/>
        <w:left w:val="none" w:sz="0" w:space="0" w:color="auto"/>
        <w:bottom w:val="none" w:sz="0" w:space="0" w:color="auto"/>
        <w:right w:val="none" w:sz="0" w:space="0" w:color="auto"/>
      </w:divBdr>
    </w:div>
    <w:div w:id="552423680">
      <w:bodyDiv w:val="1"/>
      <w:marLeft w:val="0"/>
      <w:marRight w:val="0"/>
      <w:marTop w:val="0"/>
      <w:marBottom w:val="0"/>
      <w:divBdr>
        <w:top w:val="none" w:sz="0" w:space="0" w:color="auto"/>
        <w:left w:val="none" w:sz="0" w:space="0" w:color="auto"/>
        <w:bottom w:val="none" w:sz="0" w:space="0" w:color="auto"/>
        <w:right w:val="none" w:sz="0" w:space="0" w:color="auto"/>
      </w:divBdr>
    </w:div>
    <w:div w:id="568536383">
      <w:bodyDiv w:val="1"/>
      <w:marLeft w:val="0"/>
      <w:marRight w:val="0"/>
      <w:marTop w:val="0"/>
      <w:marBottom w:val="0"/>
      <w:divBdr>
        <w:top w:val="none" w:sz="0" w:space="0" w:color="auto"/>
        <w:left w:val="none" w:sz="0" w:space="0" w:color="auto"/>
        <w:bottom w:val="none" w:sz="0" w:space="0" w:color="auto"/>
        <w:right w:val="none" w:sz="0" w:space="0" w:color="auto"/>
      </w:divBdr>
      <w:divsChild>
        <w:div w:id="1808548903">
          <w:marLeft w:val="547"/>
          <w:marRight w:val="0"/>
          <w:marTop w:val="96"/>
          <w:marBottom w:val="0"/>
          <w:divBdr>
            <w:top w:val="none" w:sz="0" w:space="0" w:color="auto"/>
            <w:left w:val="none" w:sz="0" w:space="0" w:color="auto"/>
            <w:bottom w:val="none" w:sz="0" w:space="0" w:color="auto"/>
            <w:right w:val="none" w:sz="0" w:space="0" w:color="auto"/>
          </w:divBdr>
        </w:div>
      </w:divsChild>
    </w:div>
    <w:div w:id="614824821">
      <w:bodyDiv w:val="1"/>
      <w:marLeft w:val="0"/>
      <w:marRight w:val="0"/>
      <w:marTop w:val="0"/>
      <w:marBottom w:val="0"/>
      <w:divBdr>
        <w:top w:val="none" w:sz="0" w:space="0" w:color="auto"/>
        <w:left w:val="none" w:sz="0" w:space="0" w:color="auto"/>
        <w:bottom w:val="none" w:sz="0" w:space="0" w:color="auto"/>
        <w:right w:val="none" w:sz="0" w:space="0" w:color="auto"/>
      </w:divBdr>
    </w:div>
    <w:div w:id="640885673">
      <w:bodyDiv w:val="1"/>
      <w:marLeft w:val="0"/>
      <w:marRight w:val="0"/>
      <w:marTop w:val="0"/>
      <w:marBottom w:val="0"/>
      <w:divBdr>
        <w:top w:val="none" w:sz="0" w:space="0" w:color="auto"/>
        <w:left w:val="none" w:sz="0" w:space="0" w:color="auto"/>
        <w:bottom w:val="none" w:sz="0" w:space="0" w:color="auto"/>
        <w:right w:val="none" w:sz="0" w:space="0" w:color="auto"/>
      </w:divBdr>
    </w:div>
    <w:div w:id="674455765">
      <w:bodyDiv w:val="1"/>
      <w:marLeft w:val="0"/>
      <w:marRight w:val="0"/>
      <w:marTop w:val="0"/>
      <w:marBottom w:val="0"/>
      <w:divBdr>
        <w:top w:val="none" w:sz="0" w:space="0" w:color="auto"/>
        <w:left w:val="none" w:sz="0" w:space="0" w:color="auto"/>
        <w:bottom w:val="none" w:sz="0" w:space="0" w:color="auto"/>
        <w:right w:val="none" w:sz="0" w:space="0" w:color="auto"/>
      </w:divBdr>
    </w:div>
    <w:div w:id="731540208">
      <w:bodyDiv w:val="1"/>
      <w:marLeft w:val="0"/>
      <w:marRight w:val="0"/>
      <w:marTop w:val="0"/>
      <w:marBottom w:val="0"/>
      <w:divBdr>
        <w:top w:val="none" w:sz="0" w:space="0" w:color="auto"/>
        <w:left w:val="none" w:sz="0" w:space="0" w:color="auto"/>
        <w:bottom w:val="none" w:sz="0" w:space="0" w:color="auto"/>
        <w:right w:val="none" w:sz="0" w:space="0" w:color="auto"/>
      </w:divBdr>
    </w:div>
    <w:div w:id="744647622">
      <w:bodyDiv w:val="1"/>
      <w:marLeft w:val="0"/>
      <w:marRight w:val="0"/>
      <w:marTop w:val="0"/>
      <w:marBottom w:val="0"/>
      <w:divBdr>
        <w:top w:val="none" w:sz="0" w:space="0" w:color="auto"/>
        <w:left w:val="none" w:sz="0" w:space="0" w:color="auto"/>
        <w:bottom w:val="none" w:sz="0" w:space="0" w:color="auto"/>
        <w:right w:val="none" w:sz="0" w:space="0" w:color="auto"/>
      </w:divBdr>
    </w:div>
    <w:div w:id="867455183">
      <w:bodyDiv w:val="1"/>
      <w:marLeft w:val="0"/>
      <w:marRight w:val="0"/>
      <w:marTop w:val="0"/>
      <w:marBottom w:val="0"/>
      <w:divBdr>
        <w:top w:val="none" w:sz="0" w:space="0" w:color="auto"/>
        <w:left w:val="none" w:sz="0" w:space="0" w:color="auto"/>
        <w:bottom w:val="none" w:sz="0" w:space="0" w:color="auto"/>
        <w:right w:val="none" w:sz="0" w:space="0" w:color="auto"/>
      </w:divBdr>
    </w:div>
    <w:div w:id="960458063">
      <w:bodyDiv w:val="1"/>
      <w:marLeft w:val="0"/>
      <w:marRight w:val="0"/>
      <w:marTop w:val="0"/>
      <w:marBottom w:val="0"/>
      <w:divBdr>
        <w:top w:val="none" w:sz="0" w:space="0" w:color="auto"/>
        <w:left w:val="none" w:sz="0" w:space="0" w:color="auto"/>
        <w:bottom w:val="none" w:sz="0" w:space="0" w:color="auto"/>
        <w:right w:val="none" w:sz="0" w:space="0" w:color="auto"/>
      </w:divBdr>
    </w:div>
    <w:div w:id="1029453261">
      <w:bodyDiv w:val="1"/>
      <w:marLeft w:val="0"/>
      <w:marRight w:val="0"/>
      <w:marTop w:val="0"/>
      <w:marBottom w:val="0"/>
      <w:divBdr>
        <w:top w:val="none" w:sz="0" w:space="0" w:color="auto"/>
        <w:left w:val="none" w:sz="0" w:space="0" w:color="auto"/>
        <w:bottom w:val="none" w:sz="0" w:space="0" w:color="auto"/>
        <w:right w:val="none" w:sz="0" w:space="0" w:color="auto"/>
      </w:divBdr>
    </w:div>
    <w:div w:id="1060789568">
      <w:bodyDiv w:val="1"/>
      <w:marLeft w:val="0"/>
      <w:marRight w:val="0"/>
      <w:marTop w:val="0"/>
      <w:marBottom w:val="0"/>
      <w:divBdr>
        <w:top w:val="none" w:sz="0" w:space="0" w:color="auto"/>
        <w:left w:val="none" w:sz="0" w:space="0" w:color="auto"/>
        <w:bottom w:val="none" w:sz="0" w:space="0" w:color="auto"/>
        <w:right w:val="none" w:sz="0" w:space="0" w:color="auto"/>
      </w:divBdr>
    </w:div>
    <w:div w:id="1071346086">
      <w:bodyDiv w:val="1"/>
      <w:marLeft w:val="0"/>
      <w:marRight w:val="0"/>
      <w:marTop w:val="0"/>
      <w:marBottom w:val="0"/>
      <w:divBdr>
        <w:top w:val="none" w:sz="0" w:space="0" w:color="auto"/>
        <w:left w:val="none" w:sz="0" w:space="0" w:color="auto"/>
        <w:bottom w:val="none" w:sz="0" w:space="0" w:color="auto"/>
        <w:right w:val="none" w:sz="0" w:space="0" w:color="auto"/>
      </w:divBdr>
    </w:div>
    <w:div w:id="1119956546">
      <w:bodyDiv w:val="1"/>
      <w:marLeft w:val="0"/>
      <w:marRight w:val="0"/>
      <w:marTop w:val="0"/>
      <w:marBottom w:val="0"/>
      <w:divBdr>
        <w:top w:val="none" w:sz="0" w:space="0" w:color="auto"/>
        <w:left w:val="none" w:sz="0" w:space="0" w:color="auto"/>
        <w:bottom w:val="none" w:sz="0" w:space="0" w:color="auto"/>
        <w:right w:val="none" w:sz="0" w:space="0" w:color="auto"/>
      </w:divBdr>
    </w:div>
    <w:div w:id="1126387445">
      <w:bodyDiv w:val="1"/>
      <w:marLeft w:val="0"/>
      <w:marRight w:val="0"/>
      <w:marTop w:val="0"/>
      <w:marBottom w:val="0"/>
      <w:divBdr>
        <w:top w:val="none" w:sz="0" w:space="0" w:color="auto"/>
        <w:left w:val="none" w:sz="0" w:space="0" w:color="auto"/>
        <w:bottom w:val="none" w:sz="0" w:space="0" w:color="auto"/>
        <w:right w:val="none" w:sz="0" w:space="0" w:color="auto"/>
      </w:divBdr>
    </w:div>
    <w:div w:id="1128358277">
      <w:bodyDiv w:val="1"/>
      <w:marLeft w:val="0"/>
      <w:marRight w:val="0"/>
      <w:marTop w:val="0"/>
      <w:marBottom w:val="0"/>
      <w:divBdr>
        <w:top w:val="none" w:sz="0" w:space="0" w:color="auto"/>
        <w:left w:val="none" w:sz="0" w:space="0" w:color="auto"/>
        <w:bottom w:val="none" w:sz="0" w:space="0" w:color="auto"/>
        <w:right w:val="none" w:sz="0" w:space="0" w:color="auto"/>
      </w:divBdr>
      <w:divsChild>
        <w:div w:id="1951431450">
          <w:marLeft w:val="0"/>
          <w:marRight w:val="0"/>
          <w:marTop w:val="0"/>
          <w:marBottom w:val="0"/>
          <w:divBdr>
            <w:top w:val="none" w:sz="0" w:space="0" w:color="auto"/>
            <w:left w:val="none" w:sz="0" w:space="0" w:color="auto"/>
            <w:bottom w:val="none" w:sz="0" w:space="0" w:color="auto"/>
            <w:right w:val="none" w:sz="0" w:space="0" w:color="auto"/>
          </w:divBdr>
        </w:div>
      </w:divsChild>
    </w:div>
    <w:div w:id="1176992070">
      <w:bodyDiv w:val="1"/>
      <w:marLeft w:val="0"/>
      <w:marRight w:val="0"/>
      <w:marTop w:val="0"/>
      <w:marBottom w:val="0"/>
      <w:divBdr>
        <w:top w:val="none" w:sz="0" w:space="0" w:color="auto"/>
        <w:left w:val="none" w:sz="0" w:space="0" w:color="auto"/>
        <w:bottom w:val="none" w:sz="0" w:space="0" w:color="auto"/>
        <w:right w:val="none" w:sz="0" w:space="0" w:color="auto"/>
      </w:divBdr>
    </w:div>
    <w:div w:id="1184250486">
      <w:bodyDiv w:val="1"/>
      <w:marLeft w:val="0"/>
      <w:marRight w:val="0"/>
      <w:marTop w:val="0"/>
      <w:marBottom w:val="0"/>
      <w:divBdr>
        <w:top w:val="none" w:sz="0" w:space="0" w:color="auto"/>
        <w:left w:val="none" w:sz="0" w:space="0" w:color="auto"/>
        <w:bottom w:val="none" w:sz="0" w:space="0" w:color="auto"/>
        <w:right w:val="none" w:sz="0" w:space="0" w:color="auto"/>
      </w:divBdr>
    </w:div>
    <w:div w:id="1202400956">
      <w:bodyDiv w:val="1"/>
      <w:marLeft w:val="0"/>
      <w:marRight w:val="0"/>
      <w:marTop w:val="0"/>
      <w:marBottom w:val="0"/>
      <w:divBdr>
        <w:top w:val="none" w:sz="0" w:space="0" w:color="auto"/>
        <w:left w:val="none" w:sz="0" w:space="0" w:color="auto"/>
        <w:bottom w:val="none" w:sz="0" w:space="0" w:color="auto"/>
        <w:right w:val="none" w:sz="0" w:space="0" w:color="auto"/>
      </w:divBdr>
    </w:div>
    <w:div w:id="1215042818">
      <w:bodyDiv w:val="1"/>
      <w:marLeft w:val="0"/>
      <w:marRight w:val="0"/>
      <w:marTop w:val="0"/>
      <w:marBottom w:val="0"/>
      <w:divBdr>
        <w:top w:val="none" w:sz="0" w:space="0" w:color="auto"/>
        <w:left w:val="none" w:sz="0" w:space="0" w:color="auto"/>
        <w:bottom w:val="none" w:sz="0" w:space="0" w:color="auto"/>
        <w:right w:val="none" w:sz="0" w:space="0" w:color="auto"/>
      </w:divBdr>
    </w:div>
    <w:div w:id="1263801180">
      <w:bodyDiv w:val="1"/>
      <w:marLeft w:val="0"/>
      <w:marRight w:val="0"/>
      <w:marTop w:val="0"/>
      <w:marBottom w:val="0"/>
      <w:divBdr>
        <w:top w:val="none" w:sz="0" w:space="0" w:color="auto"/>
        <w:left w:val="none" w:sz="0" w:space="0" w:color="auto"/>
        <w:bottom w:val="none" w:sz="0" w:space="0" w:color="auto"/>
        <w:right w:val="none" w:sz="0" w:space="0" w:color="auto"/>
      </w:divBdr>
    </w:div>
    <w:div w:id="1314220879">
      <w:bodyDiv w:val="1"/>
      <w:marLeft w:val="0"/>
      <w:marRight w:val="0"/>
      <w:marTop w:val="0"/>
      <w:marBottom w:val="0"/>
      <w:divBdr>
        <w:top w:val="none" w:sz="0" w:space="0" w:color="auto"/>
        <w:left w:val="none" w:sz="0" w:space="0" w:color="auto"/>
        <w:bottom w:val="none" w:sz="0" w:space="0" w:color="auto"/>
        <w:right w:val="none" w:sz="0" w:space="0" w:color="auto"/>
      </w:divBdr>
    </w:div>
    <w:div w:id="1412316374">
      <w:bodyDiv w:val="1"/>
      <w:marLeft w:val="0"/>
      <w:marRight w:val="0"/>
      <w:marTop w:val="0"/>
      <w:marBottom w:val="0"/>
      <w:divBdr>
        <w:top w:val="none" w:sz="0" w:space="0" w:color="auto"/>
        <w:left w:val="none" w:sz="0" w:space="0" w:color="auto"/>
        <w:bottom w:val="none" w:sz="0" w:space="0" w:color="auto"/>
        <w:right w:val="none" w:sz="0" w:space="0" w:color="auto"/>
      </w:divBdr>
    </w:div>
    <w:div w:id="1429809892">
      <w:bodyDiv w:val="1"/>
      <w:marLeft w:val="0"/>
      <w:marRight w:val="0"/>
      <w:marTop w:val="0"/>
      <w:marBottom w:val="0"/>
      <w:divBdr>
        <w:top w:val="none" w:sz="0" w:space="0" w:color="auto"/>
        <w:left w:val="none" w:sz="0" w:space="0" w:color="auto"/>
        <w:bottom w:val="none" w:sz="0" w:space="0" w:color="auto"/>
        <w:right w:val="none" w:sz="0" w:space="0" w:color="auto"/>
      </w:divBdr>
    </w:div>
    <w:div w:id="1441031554">
      <w:bodyDiv w:val="1"/>
      <w:marLeft w:val="0"/>
      <w:marRight w:val="0"/>
      <w:marTop w:val="0"/>
      <w:marBottom w:val="0"/>
      <w:divBdr>
        <w:top w:val="none" w:sz="0" w:space="0" w:color="auto"/>
        <w:left w:val="none" w:sz="0" w:space="0" w:color="auto"/>
        <w:bottom w:val="none" w:sz="0" w:space="0" w:color="auto"/>
        <w:right w:val="none" w:sz="0" w:space="0" w:color="auto"/>
      </w:divBdr>
    </w:div>
    <w:div w:id="1444569764">
      <w:bodyDiv w:val="1"/>
      <w:marLeft w:val="0"/>
      <w:marRight w:val="0"/>
      <w:marTop w:val="0"/>
      <w:marBottom w:val="0"/>
      <w:divBdr>
        <w:top w:val="none" w:sz="0" w:space="0" w:color="auto"/>
        <w:left w:val="none" w:sz="0" w:space="0" w:color="auto"/>
        <w:bottom w:val="none" w:sz="0" w:space="0" w:color="auto"/>
        <w:right w:val="none" w:sz="0" w:space="0" w:color="auto"/>
      </w:divBdr>
    </w:div>
    <w:div w:id="1449159616">
      <w:bodyDiv w:val="1"/>
      <w:marLeft w:val="0"/>
      <w:marRight w:val="0"/>
      <w:marTop w:val="0"/>
      <w:marBottom w:val="0"/>
      <w:divBdr>
        <w:top w:val="none" w:sz="0" w:space="0" w:color="auto"/>
        <w:left w:val="none" w:sz="0" w:space="0" w:color="auto"/>
        <w:bottom w:val="none" w:sz="0" w:space="0" w:color="auto"/>
        <w:right w:val="none" w:sz="0" w:space="0" w:color="auto"/>
      </w:divBdr>
    </w:div>
    <w:div w:id="1453669445">
      <w:bodyDiv w:val="1"/>
      <w:marLeft w:val="0"/>
      <w:marRight w:val="0"/>
      <w:marTop w:val="0"/>
      <w:marBottom w:val="0"/>
      <w:divBdr>
        <w:top w:val="none" w:sz="0" w:space="0" w:color="auto"/>
        <w:left w:val="none" w:sz="0" w:space="0" w:color="auto"/>
        <w:bottom w:val="none" w:sz="0" w:space="0" w:color="auto"/>
        <w:right w:val="none" w:sz="0" w:space="0" w:color="auto"/>
      </w:divBdr>
    </w:div>
    <w:div w:id="1498686891">
      <w:bodyDiv w:val="1"/>
      <w:marLeft w:val="0"/>
      <w:marRight w:val="0"/>
      <w:marTop w:val="0"/>
      <w:marBottom w:val="0"/>
      <w:divBdr>
        <w:top w:val="none" w:sz="0" w:space="0" w:color="auto"/>
        <w:left w:val="none" w:sz="0" w:space="0" w:color="auto"/>
        <w:bottom w:val="none" w:sz="0" w:space="0" w:color="auto"/>
        <w:right w:val="none" w:sz="0" w:space="0" w:color="auto"/>
      </w:divBdr>
    </w:div>
    <w:div w:id="1500074349">
      <w:bodyDiv w:val="1"/>
      <w:marLeft w:val="0"/>
      <w:marRight w:val="0"/>
      <w:marTop w:val="0"/>
      <w:marBottom w:val="0"/>
      <w:divBdr>
        <w:top w:val="none" w:sz="0" w:space="0" w:color="auto"/>
        <w:left w:val="none" w:sz="0" w:space="0" w:color="auto"/>
        <w:bottom w:val="none" w:sz="0" w:space="0" w:color="auto"/>
        <w:right w:val="none" w:sz="0" w:space="0" w:color="auto"/>
      </w:divBdr>
    </w:div>
    <w:div w:id="1533760268">
      <w:bodyDiv w:val="1"/>
      <w:marLeft w:val="0"/>
      <w:marRight w:val="0"/>
      <w:marTop w:val="0"/>
      <w:marBottom w:val="0"/>
      <w:divBdr>
        <w:top w:val="none" w:sz="0" w:space="0" w:color="auto"/>
        <w:left w:val="none" w:sz="0" w:space="0" w:color="auto"/>
        <w:bottom w:val="none" w:sz="0" w:space="0" w:color="auto"/>
        <w:right w:val="none" w:sz="0" w:space="0" w:color="auto"/>
      </w:divBdr>
    </w:div>
    <w:div w:id="1545829183">
      <w:bodyDiv w:val="1"/>
      <w:marLeft w:val="0"/>
      <w:marRight w:val="0"/>
      <w:marTop w:val="0"/>
      <w:marBottom w:val="0"/>
      <w:divBdr>
        <w:top w:val="none" w:sz="0" w:space="0" w:color="auto"/>
        <w:left w:val="none" w:sz="0" w:space="0" w:color="auto"/>
        <w:bottom w:val="none" w:sz="0" w:space="0" w:color="auto"/>
        <w:right w:val="none" w:sz="0" w:space="0" w:color="auto"/>
      </w:divBdr>
    </w:div>
    <w:div w:id="1603296479">
      <w:bodyDiv w:val="1"/>
      <w:marLeft w:val="0"/>
      <w:marRight w:val="0"/>
      <w:marTop w:val="0"/>
      <w:marBottom w:val="0"/>
      <w:divBdr>
        <w:top w:val="none" w:sz="0" w:space="0" w:color="auto"/>
        <w:left w:val="none" w:sz="0" w:space="0" w:color="auto"/>
        <w:bottom w:val="none" w:sz="0" w:space="0" w:color="auto"/>
        <w:right w:val="none" w:sz="0" w:space="0" w:color="auto"/>
      </w:divBdr>
    </w:div>
    <w:div w:id="1633487267">
      <w:bodyDiv w:val="1"/>
      <w:marLeft w:val="0"/>
      <w:marRight w:val="0"/>
      <w:marTop w:val="0"/>
      <w:marBottom w:val="0"/>
      <w:divBdr>
        <w:top w:val="none" w:sz="0" w:space="0" w:color="auto"/>
        <w:left w:val="none" w:sz="0" w:space="0" w:color="auto"/>
        <w:bottom w:val="none" w:sz="0" w:space="0" w:color="auto"/>
        <w:right w:val="none" w:sz="0" w:space="0" w:color="auto"/>
      </w:divBdr>
    </w:div>
    <w:div w:id="1655838337">
      <w:bodyDiv w:val="1"/>
      <w:marLeft w:val="0"/>
      <w:marRight w:val="0"/>
      <w:marTop w:val="0"/>
      <w:marBottom w:val="0"/>
      <w:divBdr>
        <w:top w:val="none" w:sz="0" w:space="0" w:color="auto"/>
        <w:left w:val="none" w:sz="0" w:space="0" w:color="auto"/>
        <w:bottom w:val="none" w:sz="0" w:space="0" w:color="auto"/>
        <w:right w:val="none" w:sz="0" w:space="0" w:color="auto"/>
      </w:divBdr>
    </w:div>
    <w:div w:id="1663466989">
      <w:bodyDiv w:val="1"/>
      <w:marLeft w:val="0"/>
      <w:marRight w:val="0"/>
      <w:marTop w:val="0"/>
      <w:marBottom w:val="0"/>
      <w:divBdr>
        <w:top w:val="none" w:sz="0" w:space="0" w:color="auto"/>
        <w:left w:val="none" w:sz="0" w:space="0" w:color="auto"/>
        <w:bottom w:val="none" w:sz="0" w:space="0" w:color="auto"/>
        <w:right w:val="none" w:sz="0" w:space="0" w:color="auto"/>
      </w:divBdr>
    </w:div>
    <w:div w:id="1741248609">
      <w:bodyDiv w:val="1"/>
      <w:marLeft w:val="0"/>
      <w:marRight w:val="0"/>
      <w:marTop w:val="0"/>
      <w:marBottom w:val="0"/>
      <w:divBdr>
        <w:top w:val="none" w:sz="0" w:space="0" w:color="auto"/>
        <w:left w:val="none" w:sz="0" w:space="0" w:color="auto"/>
        <w:bottom w:val="none" w:sz="0" w:space="0" w:color="auto"/>
        <w:right w:val="none" w:sz="0" w:space="0" w:color="auto"/>
      </w:divBdr>
    </w:div>
    <w:div w:id="1743214188">
      <w:bodyDiv w:val="1"/>
      <w:marLeft w:val="0"/>
      <w:marRight w:val="0"/>
      <w:marTop w:val="0"/>
      <w:marBottom w:val="0"/>
      <w:divBdr>
        <w:top w:val="none" w:sz="0" w:space="0" w:color="auto"/>
        <w:left w:val="none" w:sz="0" w:space="0" w:color="auto"/>
        <w:bottom w:val="none" w:sz="0" w:space="0" w:color="auto"/>
        <w:right w:val="none" w:sz="0" w:space="0" w:color="auto"/>
      </w:divBdr>
    </w:div>
    <w:div w:id="1788157044">
      <w:bodyDiv w:val="1"/>
      <w:marLeft w:val="0"/>
      <w:marRight w:val="0"/>
      <w:marTop w:val="0"/>
      <w:marBottom w:val="0"/>
      <w:divBdr>
        <w:top w:val="none" w:sz="0" w:space="0" w:color="auto"/>
        <w:left w:val="none" w:sz="0" w:space="0" w:color="auto"/>
        <w:bottom w:val="none" w:sz="0" w:space="0" w:color="auto"/>
        <w:right w:val="none" w:sz="0" w:space="0" w:color="auto"/>
      </w:divBdr>
    </w:div>
    <w:div w:id="1843354767">
      <w:bodyDiv w:val="1"/>
      <w:marLeft w:val="0"/>
      <w:marRight w:val="0"/>
      <w:marTop w:val="0"/>
      <w:marBottom w:val="0"/>
      <w:divBdr>
        <w:top w:val="none" w:sz="0" w:space="0" w:color="auto"/>
        <w:left w:val="none" w:sz="0" w:space="0" w:color="auto"/>
        <w:bottom w:val="none" w:sz="0" w:space="0" w:color="auto"/>
        <w:right w:val="none" w:sz="0" w:space="0" w:color="auto"/>
      </w:divBdr>
      <w:divsChild>
        <w:div w:id="820654643">
          <w:marLeft w:val="0"/>
          <w:marRight w:val="0"/>
          <w:marTop w:val="0"/>
          <w:marBottom w:val="0"/>
          <w:divBdr>
            <w:top w:val="none" w:sz="0" w:space="0" w:color="auto"/>
            <w:left w:val="none" w:sz="0" w:space="0" w:color="auto"/>
            <w:bottom w:val="none" w:sz="0" w:space="0" w:color="auto"/>
            <w:right w:val="none" w:sz="0" w:space="0" w:color="auto"/>
          </w:divBdr>
        </w:div>
      </w:divsChild>
    </w:div>
    <w:div w:id="1853035566">
      <w:bodyDiv w:val="1"/>
      <w:marLeft w:val="0"/>
      <w:marRight w:val="0"/>
      <w:marTop w:val="0"/>
      <w:marBottom w:val="0"/>
      <w:divBdr>
        <w:top w:val="none" w:sz="0" w:space="0" w:color="auto"/>
        <w:left w:val="none" w:sz="0" w:space="0" w:color="auto"/>
        <w:bottom w:val="none" w:sz="0" w:space="0" w:color="auto"/>
        <w:right w:val="none" w:sz="0" w:space="0" w:color="auto"/>
      </w:divBdr>
    </w:div>
    <w:div w:id="1887177751">
      <w:bodyDiv w:val="1"/>
      <w:marLeft w:val="0"/>
      <w:marRight w:val="0"/>
      <w:marTop w:val="0"/>
      <w:marBottom w:val="0"/>
      <w:divBdr>
        <w:top w:val="none" w:sz="0" w:space="0" w:color="auto"/>
        <w:left w:val="none" w:sz="0" w:space="0" w:color="auto"/>
        <w:bottom w:val="none" w:sz="0" w:space="0" w:color="auto"/>
        <w:right w:val="none" w:sz="0" w:space="0" w:color="auto"/>
      </w:divBdr>
    </w:div>
    <w:div w:id="1911504939">
      <w:bodyDiv w:val="1"/>
      <w:marLeft w:val="0"/>
      <w:marRight w:val="0"/>
      <w:marTop w:val="0"/>
      <w:marBottom w:val="0"/>
      <w:divBdr>
        <w:top w:val="none" w:sz="0" w:space="0" w:color="auto"/>
        <w:left w:val="none" w:sz="0" w:space="0" w:color="auto"/>
        <w:bottom w:val="none" w:sz="0" w:space="0" w:color="auto"/>
        <w:right w:val="none" w:sz="0" w:space="0" w:color="auto"/>
      </w:divBdr>
      <w:divsChild>
        <w:div w:id="158271455">
          <w:marLeft w:val="547"/>
          <w:marRight w:val="0"/>
          <w:marTop w:val="86"/>
          <w:marBottom w:val="0"/>
          <w:divBdr>
            <w:top w:val="none" w:sz="0" w:space="0" w:color="auto"/>
            <w:left w:val="none" w:sz="0" w:space="0" w:color="auto"/>
            <w:bottom w:val="none" w:sz="0" w:space="0" w:color="auto"/>
            <w:right w:val="none" w:sz="0" w:space="0" w:color="auto"/>
          </w:divBdr>
        </w:div>
        <w:div w:id="164976776">
          <w:marLeft w:val="547"/>
          <w:marRight w:val="0"/>
          <w:marTop w:val="86"/>
          <w:marBottom w:val="0"/>
          <w:divBdr>
            <w:top w:val="none" w:sz="0" w:space="0" w:color="auto"/>
            <w:left w:val="none" w:sz="0" w:space="0" w:color="auto"/>
            <w:bottom w:val="none" w:sz="0" w:space="0" w:color="auto"/>
            <w:right w:val="none" w:sz="0" w:space="0" w:color="auto"/>
          </w:divBdr>
        </w:div>
        <w:div w:id="178785935">
          <w:marLeft w:val="547"/>
          <w:marRight w:val="0"/>
          <w:marTop w:val="86"/>
          <w:marBottom w:val="0"/>
          <w:divBdr>
            <w:top w:val="none" w:sz="0" w:space="0" w:color="auto"/>
            <w:left w:val="none" w:sz="0" w:space="0" w:color="auto"/>
            <w:bottom w:val="none" w:sz="0" w:space="0" w:color="auto"/>
            <w:right w:val="none" w:sz="0" w:space="0" w:color="auto"/>
          </w:divBdr>
        </w:div>
        <w:div w:id="430392691">
          <w:marLeft w:val="547"/>
          <w:marRight w:val="0"/>
          <w:marTop w:val="86"/>
          <w:marBottom w:val="0"/>
          <w:divBdr>
            <w:top w:val="none" w:sz="0" w:space="0" w:color="auto"/>
            <w:left w:val="none" w:sz="0" w:space="0" w:color="auto"/>
            <w:bottom w:val="none" w:sz="0" w:space="0" w:color="auto"/>
            <w:right w:val="none" w:sz="0" w:space="0" w:color="auto"/>
          </w:divBdr>
        </w:div>
        <w:div w:id="823668999">
          <w:marLeft w:val="547"/>
          <w:marRight w:val="0"/>
          <w:marTop w:val="86"/>
          <w:marBottom w:val="0"/>
          <w:divBdr>
            <w:top w:val="none" w:sz="0" w:space="0" w:color="auto"/>
            <w:left w:val="none" w:sz="0" w:space="0" w:color="auto"/>
            <w:bottom w:val="none" w:sz="0" w:space="0" w:color="auto"/>
            <w:right w:val="none" w:sz="0" w:space="0" w:color="auto"/>
          </w:divBdr>
        </w:div>
        <w:div w:id="1171486379">
          <w:marLeft w:val="547"/>
          <w:marRight w:val="0"/>
          <w:marTop w:val="86"/>
          <w:marBottom w:val="0"/>
          <w:divBdr>
            <w:top w:val="none" w:sz="0" w:space="0" w:color="auto"/>
            <w:left w:val="none" w:sz="0" w:space="0" w:color="auto"/>
            <w:bottom w:val="none" w:sz="0" w:space="0" w:color="auto"/>
            <w:right w:val="none" w:sz="0" w:space="0" w:color="auto"/>
          </w:divBdr>
        </w:div>
        <w:div w:id="1268196146">
          <w:marLeft w:val="547"/>
          <w:marRight w:val="0"/>
          <w:marTop w:val="86"/>
          <w:marBottom w:val="0"/>
          <w:divBdr>
            <w:top w:val="none" w:sz="0" w:space="0" w:color="auto"/>
            <w:left w:val="none" w:sz="0" w:space="0" w:color="auto"/>
            <w:bottom w:val="none" w:sz="0" w:space="0" w:color="auto"/>
            <w:right w:val="none" w:sz="0" w:space="0" w:color="auto"/>
          </w:divBdr>
        </w:div>
        <w:div w:id="1967544306">
          <w:marLeft w:val="547"/>
          <w:marRight w:val="0"/>
          <w:marTop w:val="86"/>
          <w:marBottom w:val="0"/>
          <w:divBdr>
            <w:top w:val="none" w:sz="0" w:space="0" w:color="auto"/>
            <w:left w:val="none" w:sz="0" w:space="0" w:color="auto"/>
            <w:bottom w:val="none" w:sz="0" w:space="0" w:color="auto"/>
            <w:right w:val="none" w:sz="0" w:space="0" w:color="auto"/>
          </w:divBdr>
        </w:div>
        <w:div w:id="1996689184">
          <w:marLeft w:val="547"/>
          <w:marRight w:val="0"/>
          <w:marTop w:val="86"/>
          <w:marBottom w:val="0"/>
          <w:divBdr>
            <w:top w:val="none" w:sz="0" w:space="0" w:color="auto"/>
            <w:left w:val="none" w:sz="0" w:space="0" w:color="auto"/>
            <w:bottom w:val="none" w:sz="0" w:space="0" w:color="auto"/>
            <w:right w:val="none" w:sz="0" w:space="0" w:color="auto"/>
          </w:divBdr>
        </w:div>
        <w:div w:id="2079084422">
          <w:marLeft w:val="547"/>
          <w:marRight w:val="0"/>
          <w:marTop w:val="86"/>
          <w:marBottom w:val="0"/>
          <w:divBdr>
            <w:top w:val="none" w:sz="0" w:space="0" w:color="auto"/>
            <w:left w:val="none" w:sz="0" w:space="0" w:color="auto"/>
            <w:bottom w:val="none" w:sz="0" w:space="0" w:color="auto"/>
            <w:right w:val="none" w:sz="0" w:space="0" w:color="auto"/>
          </w:divBdr>
        </w:div>
        <w:div w:id="2099211398">
          <w:marLeft w:val="547"/>
          <w:marRight w:val="0"/>
          <w:marTop w:val="86"/>
          <w:marBottom w:val="0"/>
          <w:divBdr>
            <w:top w:val="none" w:sz="0" w:space="0" w:color="auto"/>
            <w:left w:val="none" w:sz="0" w:space="0" w:color="auto"/>
            <w:bottom w:val="none" w:sz="0" w:space="0" w:color="auto"/>
            <w:right w:val="none" w:sz="0" w:space="0" w:color="auto"/>
          </w:divBdr>
        </w:div>
        <w:div w:id="2110081273">
          <w:marLeft w:val="547"/>
          <w:marRight w:val="0"/>
          <w:marTop w:val="86"/>
          <w:marBottom w:val="0"/>
          <w:divBdr>
            <w:top w:val="none" w:sz="0" w:space="0" w:color="auto"/>
            <w:left w:val="none" w:sz="0" w:space="0" w:color="auto"/>
            <w:bottom w:val="none" w:sz="0" w:space="0" w:color="auto"/>
            <w:right w:val="none" w:sz="0" w:space="0" w:color="auto"/>
          </w:divBdr>
        </w:div>
      </w:divsChild>
    </w:div>
    <w:div w:id="2022276225">
      <w:bodyDiv w:val="1"/>
      <w:marLeft w:val="0"/>
      <w:marRight w:val="0"/>
      <w:marTop w:val="0"/>
      <w:marBottom w:val="0"/>
      <w:divBdr>
        <w:top w:val="none" w:sz="0" w:space="0" w:color="auto"/>
        <w:left w:val="none" w:sz="0" w:space="0" w:color="auto"/>
        <w:bottom w:val="none" w:sz="0" w:space="0" w:color="auto"/>
        <w:right w:val="none" w:sz="0" w:space="0" w:color="auto"/>
      </w:divBdr>
    </w:div>
    <w:div w:id="2050448088">
      <w:bodyDiv w:val="1"/>
      <w:marLeft w:val="0"/>
      <w:marRight w:val="0"/>
      <w:marTop w:val="0"/>
      <w:marBottom w:val="0"/>
      <w:divBdr>
        <w:top w:val="none" w:sz="0" w:space="0" w:color="auto"/>
        <w:left w:val="none" w:sz="0" w:space="0" w:color="auto"/>
        <w:bottom w:val="none" w:sz="0" w:space="0" w:color="auto"/>
        <w:right w:val="none" w:sz="0" w:space="0" w:color="auto"/>
      </w:divBdr>
    </w:div>
    <w:div w:id="21331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gnostics.phap.org/s3/CMStandardsValid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EC65-E430-4D44-91FA-DCE1B4A3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2962</Words>
  <Characters>16888</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gokpinar</dc:creator>
  <cp:keywords/>
  <dc:description/>
  <cp:lastModifiedBy>Leszek BARCZAK</cp:lastModifiedBy>
  <cp:revision>2</cp:revision>
  <cp:lastPrinted>2020-02-27T09:06:00Z</cp:lastPrinted>
  <dcterms:created xsi:type="dcterms:W3CDTF">2020-09-21T15:41:00Z</dcterms:created>
  <dcterms:modified xsi:type="dcterms:W3CDTF">2020-09-21T15:41:00Z</dcterms:modified>
</cp:coreProperties>
</file>