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078F" w:rsidRDefault="006E1DA5">
      <w:pPr>
        <w:widowControl w:val="0"/>
        <w:spacing w:line="240" w:lineRule="auto"/>
        <w:jc w:val="center"/>
        <w:rPr>
          <w:rFonts w:ascii="Open Sans" w:eastAsia="Open Sans" w:hAnsi="Open Sans" w:cs="Open Sans"/>
          <w:b/>
        </w:rPr>
      </w:pPr>
      <w:r>
        <w:rPr>
          <w:rFonts w:ascii="Open Sans" w:eastAsia="Open Sans" w:hAnsi="Open Sans" w:cs="Open Sans"/>
          <w:b/>
        </w:rPr>
        <w:t>Global Cash Advisory Group (gCAG)</w:t>
      </w:r>
    </w:p>
    <w:p w14:paraId="00000002" w14:textId="77777777" w:rsidR="00B9078F" w:rsidRDefault="006E1DA5">
      <w:pPr>
        <w:widowControl w:val="0"/>
        <w:spacing w:line="240" w:lineRule="auto"/>
        <w:jc w:val="center"/>
        <w:rPr>
          <w:rFonts w:ascii="Open Sans" w:eastAsia="Open Sans" w:hAnsi="Open Sans" w:cs="Open Sans"/>
          <w:b/>
        </w:rPr>
      </w:pPr>
      <w:r>
        <w:rPr>
          <w:rFonts w:ascii="Open Sans" w:eastAsia="Open Sans" w:hAnsi="Open Sans" w:cs="Open Sans"/>
          <w:b/>
        </w:rPr>
        <w:t>Cash Working Group (CWG) Co-Chair Terms of Reference (TOR)</w:t>
      </w:r>
    </w:p>
    <w:p w14:paraId="00000003" w14:textId="6D73010C" w:rsidR="00B9078F" w:rsidRDefault="00CF6493" w:rsidP="00092A9F">
      <w:pPr>
        <w:widowControl w:val="0"/>
        <w:spacing w:line="240" w:lineRule="auto"/>
        <w:jc w:val="center"/>
        <w:rPr>
          <w:rFonts w:ascii="Open Sans" w:eastAsia="Open Sans" w:hAnsi="Open Sans" w:cs="Open Sans"/>
          <w:b/>
        </w:rPr>
      </w:pPr>
      <w:r>
        <w:rPr>
          <w:rFonts w:ascii="Open Sans" w:eastAsia="Open Sans" w:hAnsi="Open Sans" w:cs="Open Sans"/>
          <w:b/>
        </w:rPr>
        <w:t>DRAFT</w:t>
      </w:r>
      <w:r w:rsidR="006E1DA5">
        <w:rPr>
          <w:rFonts w:ascii="Open Sans" w:eastAsia="Open Sans" w:hAnsi="Open Sans" w:cs="Open Sans"/>
          <w:b/>
        </w:rPr>
        <w:t xml:space="preserve"> Version</w:t>
      </w:r>
    </w:p>
    <w:p w14:paraId="00000004" w14:textId="77777777" w:rsidR="00B9078F" w:rsidRDefault="00B9078F">
      <w:pPr>
        <w:widowControl w:val="0"/>
        <w:spacing w:line="240" w:lineRule="auto"/>
        <w:jc w:val="center"/>
        <w:rPr>
          <w:rFonts w:ascii="Open Sans" w:eastAsia="Open Sans" w:hAnsi="Open Sans" w:cs="Open Sans"/>
          <w:b/>
        </w:rPr>
      </w:pPr>
    </w:p>
    <w:p w14:paraId="79FD04F7" w14:textId="77777777" w:rsidR="00A82CC7" w:rsidRDefault="006E1DA5">
      <w:pPr>
        <w:widowControl w:val="0"/>
        <w:spacing w:line="240" w:lineRule="auto"/>
        <w:rPr>
          <w:rFonts w:ascii="Open Sans" w:eastAsia="Open Sans" w:hAnsi="Open Sans" w:cs="Open Sans"/>
          <w:i/>
          <w:sz w:val="20"/>
          <w:szCs w:val="20"/>
        </w:rPr>
      </w:pPr>
      <w:r>
        <w:rPr>
          <w:rFonts w:ascii="Open Sans" w:eastAsia="Open Sans" w:hAnsi="Open Sans" w:cs="Open Sans"/>
          <w:i/>
          <w:sz w:val="20"/>
          <w:szCs w:val="20"/>
        </w:rPr>
        <w:t>Disclaimer: This TOR outlines the responsibilities of programmatic and non-programmatic (applicable in IASC and mixed settings) co-chairs. It can be contextualized and adapted to the specific response and used as a job description (JD) to facilitate recruitment. Programmatic co-chairs are selected for their operational presence and technical expertise; non-programmatic co-chairs (not applicable in refugee contexts) bring coordination experience. Only IASC and mixed contexts will have both. National and local co-chairs should be prioritized, whenever possible</w:t>
      </w:r>
      <w:r w:rsidR="00A82CC7">
        <w:rPr>
          <w:rFonts w:ascii="Open Sans" w:eastAsia="Open Sans" w:hAnsi="Open Sans" w:cs="Open Sans"/>
          <w:i/>
          <w:sz w:val="20"/>
          <w:szCs w:val="20"/>
        </w:rPr>
        <w:t xml:space="preserve">, though this TOR </w:t>
      </w:r>
      <w:r>
        <w:rPr>
          <w:rFonts w:ascii="Open Sans" w:eastAsia="Open Sans" w:hAnsi="Open Sans" w:cs="Open Sans"/>
          <w:i/>
          <w:sz w:val="20"/>
          <w:szCs w:val="20"/>
        </w:rPr>
        <w:t xml:space="preserve">may not apply to government co-chairs. </w:t>
      </w:r>
    </w:p>
    <w:p w14:paraId="00000006" w14:textId="2D2B8794" w:rsidR="00B9078F" w:rsidRDefault="00B9078F">
      <w:pPr>
        <w:widowControl w:val="0"/>
        <w:spacing w:line="240" w:lineRule="auto"/>
        <w:rPr>
          <w:rFonts w:ascii="Open Sans" w:eastAsia="Open Sans" w:hAnsi="Open Sans" w:cs="Open Sans"/>
          <w:sz w:val="20"/>
          <w:szCs w:val="20"/>
        </w:rPr>
      </w:pPr>
    </w:p>
    <w:p w14:paraId="00000007" w14:textId="77777777" w:rsidR="00B9078F" w:rsidRDefault="006E1DA5">
      <w:pPr>
        <w:widowControl w:val="0"/>
        <w:numPr>
          <w:ilvl w:val="0"/>
          <w:numId w:val="1"/>
        </w:numPr>
        <w:spacing w:line="240" w:lineRule="auto"/>
        <w:rPr>
          <w:rFonts w:ascii="Open Sans" w:eastAsia="Open Sans" w:hAnsi="Open Sans" w:cs="Open Sans"/>
          <w:b/>
          <w:sz w:val="20"/>
          <w:szCs w:val="20"/>
        </w:rPr>
      </w:pPr>
      <w:r>
        <w:rPr>
          <w:rFonts w:ascii="Open Sans" w:eastAsia="Open Sans" w:hAnsi="Open Sans" w:cs="Open Sans"/>
          <w:b/>
          <w:sz w:val="20"/>
          <w:szCs w:val="20"/>
        </w:rPr>
        <w:t>Position Title</w:t>
      </w:r>
    </w:p>
    <w:p w14:paraId="00000008" w14:textId="77777777" w:rsidR="00B9078F" w:rsidRDefault="006E1DA5">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Cash Working Group (CWG) Non-Programmatic Co-Chair and/ or Programmatic Co-Chair(s).</w:t>
      </w:r>
    </w:p>
    <w:p w14:paraId="00000009" w14:textId="77777777" w:rsidR="00B9078F" w:rsidRDefault="006E1DA5">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w:t>
      </w:r>
    </w:p>
    <w:p w14:paraId="0000000A" w14:textId="77777777" w:rsidR="00B9078F" w:rsidRDefault="006E1DA5">
      <w:pPr>
        <w:widowControl w:val="0"/>
        <w:numPr>
          <w:ilvl w:val="0"/>
          <w:numId w:val="1"/>
        </w:numPr>
        <w:pBdr>
          <w:top w:val="nil"/>
          <w:left w:val="nil"/>
          <w:bottom w:val="nil"/>
          <w:right w:val="nil"/>
          <w:between w:val="nil"/>
        </w:pBdr>
        <w:spacing w:line="240" w:lineRule="auto"/>
        <w:rPr>
          <w:rFonts w:ascii="Open Sans" w:eastAsia="Open Sans" w:hAnsi="Open Sans" w:cs="Open Sans"/>
          <w:b/>
          <w:sz w:val="20"/>
          <w:szCs w:val="20"/>
        </w:rPr>
      </w:pPr>
      <w:r>
        <w:rPr>
          <w:rFonts w:ascii="Open Sans" w:eastAsia="Open Sans" w:hAnsi="Open Sans" w:cs="Open Sans"/>
          <w:b/>
          <w:sz w:val="20"/>
          <w:szCs w:val="20"/>
        </w:rPr>
        <w:t>Location and Operational Context</w:t>
      </w:r>
    </w:p>
    <w:p w14:paraId="0000000B" w14:textId="77777777" w:rsidR="00B9078F" w:rsidRDefault="006E1DA5">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Location of CWG (e.g. country, region, response) and affected people’s needs, use of cash assistance.</w:t>
      </w:r>
    </w:p>
    <w:p w14:paraId="0000000C" w14:textId="77777777" w:rsidR="00B9078F" w:rsidRDefault="006E1DA5">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0000000D" w14:textId="77777777" w:rsidR="00B9078F" w:rsidRDefault="006E1DA5">
      <w:pPr>
        <w:widowControl w:val="0"/>
        <w:numPr>
          <w:ilvl w:val="0"/>
          <w:numId w:val="1"/>
        </w:numPr>
        <w:pBdr>
          <w:top w:val="nil"/>
          <w:left w:val="nil"/>
          <w:bottom w:val="nil"/>
          <w:right w:val="nil"/>
          <w:between w:val="nil"/>
        </w:pBdr>
        <w:spacing w:line="240" w:lineRule="auto"/>
        <w:rPr>
          <w:rFonts w:ascii="Open Sans" w:eastAsia="Open Sans" w:hAnsi="Open Sans" w:cs="Open Sans"/>
          <w:b/>
          <w:sz w:val="20"/>
          <w:szCs w:val="20"/>
        </w:rPr>
      </w:pPr>
      <w:r>
        <w:rPr>
          <w:rFonts w:ascii="Open Sans" w:eastAsia="Open Sans" w:hAnsi="Open Sans" w:cs="Open Sans"/>
          <w:b/>
          <w:sz w:val="20"/>
          <w:szCs w:val="20"/>
        </w:rPr>
        <w:t>Objective</w:t>
      </w:r>
    </w:p>
    <w:p w14:paraId="0000000E" w14:textId="57127EDE" w:rsidR="00B9078F" w:rsidRDefault="006E1DA5">
      <w:pPr>
        <w:widowControl w:val="0"/>
        <w:spacing w:line="240" w:lineRule="auto"/>
        <w:rPr>
          <w:rFonts w:ascii="Open Sans" w:eastAsia="Open Sans" w:hAnsi="Open Sans" w:cs="Open Sans"/>
          <w:b/>
          <w:sz w:val="20"/>
          <w:szCs w:val="20"/>
        </w:rPr>
      </w:pPr>
      <w:r>
        <w:rPr>
          <w:rFonts w:ascii="Open Sans" w:eastAsia="Open Sans" w:hAnsi="Open Sans" w:cs="Open Sans"/>
          <w:sz w:val="20"/>
          <w:szCs w:val="20"/>
        </w:rPr>
        <w:t>Co-chairs enable predictable, effective</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 xml:space="preserve"> and accountable cash coordination. They support coordination, engage actors delivering (or interested </w:t>
      </w:r>
      <w:r w:rsidR="00CF6493">
        <w:rPr>
          <w:rFonts w:ascii="Open Sans" w:eastAsia="Open Sans" w:hAnsi="Open Sans" w:cs="Open Sans"/>
          <w:sz w:val="20"/>
          <w:szCs w:val="20"/>
        </w:rPr>
        <w:t>to deliver</w:t>
      </w:r>
      <w:r>
        <w:rPr>
          <w:rFonts w:ascii="Open Sans" w:eastAsia="Open Sans" w:hAnsi="Open Sans" w:cs="Open Sans"/>
          <w:sz w:val="20"/>
          <w:szCs w:val="20"/>
        </w:rPr>
        <w:t>) cash assistance, facilitate technical and operational discussions, enable agreement and encourage the harmonization of approaches</w:t>
      </w:r>
      <w:r w:rsidR="00CF6493">
        <w:rPr>
          <w:rFonts w:ascii="Open Sans" w:eastAsia="Open Sans" w:hAnsi="Open Sans" w:cs="Open Sans"/>
          <w:sz w:val="20"/>
          <w:szCs w:val="20"/>
        </w:rPr>
        <w:t>, where needed</w:t>
      </w:r>
      <w:r>
        <w:rPr>
          <w:rFonts w:ascii="Open Sans" w:eastAsia="Open Sans" w:hAnsi="Open Sans" w:cs="Open Sans"/>
          <w:sz w:val="20"/>
          <w:szCs w:val="20"/>
        </w:rPr>
        <w:t xml:space="preserve">. They are impartial, unbiased, objective and neutral to promote programmatic and operational priorities </w:t>
      </w:r>
      <w:r w:rsidR="00017ADA">
        <w:rPr>
          <w:rFonts w:ascii="Open Sans" w:eastAsia="Open Sans" w:hAnsi="Open Sans" w:cs="Open Sans"/>
          <w:sz w:val="20"/>
          <w:szCs w:val="20"/>
        </w:rPr>
        <w:t xml:space="preserve">that </w:t>
      </w:r>
      <w:r>
        <w:rPr>
          <w:rFonts w:ascii="Open Sans" w:eastAsia="Open Sans" w:hAnsi="Open Sans" w:cs="Open Sans"/>
          <w:sz w:val="20"/>
          <w:szCs w:val="20"/>
        </w:rPr>
        <w:t xml:space="preserve">are commonly identified and </w:t>
      </w:r>
      <w:r w:rsidR="00017ADA">
        <w:rPr>
          <w:rFonts w:ascii="Open Sans" w:eastAsia="Open Sans" w:hAnsi="Open Sans" w:cs="Open Sans"/>
          <w:sz w:val="20"/>
          <w:szCs w:val="20"/>
        </w:rPr>
        <w:t xml:space="preserve">jointly </w:t>
      </w:r>
      <w:r>
        <w:rPr>
          <w:rFonts w:ascii="Open Sans" w:eastAsia="Open Sans" w:hAnsi="Open Sans" w:cs="Open Sans"/>
          <w:sz w:val="20"/>
          <w:szCs w:val="20"/>
        </w:rPr>
        <w:t xml:space="preserve">agreed by CWG members in the response and </w:t>
      </w:r>
      <w:r w:rsidR="003B09A5">
        <w:rPr>
          <w:rFonts w:ascii="Open Sans" w:eastAsia="Open Sans" w:hAnsi="Open Sans" w:cs="Open Sans"/>
          <w:sz w:val="20"/>
          <w:szCs w:val="20"/>
        </w:rPr>
        <w:t xml:space="preserve">ensure those </w:t>
      </w:r>
      <w:r>
        <w:rPr>
          <w:rFonts w:ascii="Open Sans" w:eastAsia="Open Sans" w:hAnsi="Open Sans" w:cs="Open Sans"/>
          <w:sz w:val="20"/>
          <w:szCs w:val="20"/>
        </w:rPr>
        <w:t>are integrated in the wider response. This should be done by taking respectful consideration of different views</w:t>
      </w:r>
      <w:r w:rsidR="003B09A5">
        <w:rPr>
          <w:rFonts w:ascii="Open Sans" w:eastAsia="Open Sans" w:hAnsi="Open Sans" w:cs="Open Sans"/>
          <w:sz w:val="20"/>
          <w:szCs w:val="20"/>
        </w:rPr>
        <w:t>,</w:t>
      </w:r>
      <w:r>
        <w:rPr>
          <w:rFonts w:ascii="Open Sans" w:eastAsia="Open Sans" w:hAnsi="Open Sans" w:cs="Open Sans"/>
          <w:sz w:val="20"/>
          <w:szCs w:val="20"/>
        </w:rPr>
        <w:t xml:space="preserve"> concerns, mandates and capacities, seeking to achieve common ground</w:t>
      </w:r>
      <w:r w:rsidR="004379E0">
        <w:rPr>
          <w:rFonts w:ascii="Open Sans" w:eastAsia="Open Sans" w:hAnsi="Open Sans" w:cs="Open Sans"/>
          <w:sz w:val="20"/>
          <w:szCs w:val="20"/>
        </w:rPr>
        <w:t>s</w:t>
      </w:r>
      <w:r>
        <w:rPr>
          <w:rFonts w:ascii="Open Sans" w:eastAsia="Open Sans" w:hAnsi="Open Sans" w:cs="Open Sans"/>
          <w:sz w:val="20"/>
          <w:szCs w:val="20"/>
        </w:rPr>
        <w:t xml:space="preserve"> for a collective cash response</w:t>
      </w:r>
      <w:r w:rsidR="003B09A5">
        <w:rPr>
          <w:rFonts w:ascii="Open Sans" w:eastAsia="Open Sans" w:hAnsi="Open Sans" w:cs="Open Sans"/>
          <w:sz w:val="20"/>
          <w:szCs w:val="20"/>
        </w:rPr>
        <w:t>,</w:t>
      </w:r>
      <w:r>
        <w:rPr>
          <w:rFonts w:ascii="Open Sans" w:eastAsia="Open Sans" w:hAnsi="Open Sans" w:cs="Open Sans"/>
          <w:sz w:val="20"/>
          <w:szCs w:val="20"/>
        </w:rPr>
        <w:t xml:space="preserve"> while contributing technical as well as coordination expertise. CWG co-chairs are guided by the needs of affected people, operational cash actor’s requirements and Inter-Cluster Coordination or Inter-Sector Working Group (ICCG/ ISWG) guidance.</w:t>
      </w:r>
    </w:p>
    <w:p w14:paraId="0000000F" w14:textId="77777777" w:rsidR="00B9078F" w:rsidRDefault="00B9078F">
      <w:pPr>
        <w:widowControl w:val="0"/>
        <w:spacing w:line="240" w:lineRule="auto"/>
        <w:rPr>
          <w:rFonts w:ascii="Open Sans" w:eastAsia="Open Sans" w:hAnsi="Open Sans" w:cs="Open Sans"/>
          <w:b/>
          <w:sz w:val="20"/>
          <w:szCs w:val="20"/>
        </w:rPr>
      </w:pPr>
    </w:p>
    <w:p w14:paraId="00000010" w14:textId="77777777" w:rsidR="00B9078F" w:rsidRDefault="006E1DA5">
      <w:pPr>
        <w:widowControl w:val="0"/>
        <w:numPr>
          <w:ilvl w:val="0"/>
          <w:numId w:val="1"/>
        </w:numPr>
        <w:pBdr>
          <w:top w:val="nil"/>
          <w:left w:val="nil"/>
          <w:bottom w:val="nil"/>
          <w:right w:val="nil"/>
          <w:between w:val="nil"/>
        </w:pBdr>
        <w:spacing w:line="240" w:lineRule="auto"/>
        <w:rPr>
          <w:rFonts w:ascii="Open Sans" w:eastAsia="Open Sans" w:hAnsi="Open Sans" w:cs="Open Sans"/>
          <w:b/>
          <w:sz w:val="20"/>
          <w:szCs w:val="20"/>
        </w:rPr>
      </w:pPr>
      <w:r>
        <w:rPr>
          <w:rFonts w:ascii="Open Sans" w:eastAsia="Open Sans" w:hAnsi="Open Sans" w:cs="Open Sans"/>
          <w:b/>
          <w:sz w:val="20"/>
          <w:szCs w:val="20"/>
        </w:rPr>
        <w:t>Reporting Line</w:t>
      </w:r>
    </w:p>
    <w:p w14:paraId="00000011" w14:textId="77777777" w:rsidR="00B9078F" w:rsidRDefault="006E1DA5">
      <w:pPr>
        <w:widowControl w:val="0"/>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t xml:space="preserve">Co-chairs report to the ICCG/ ISWG coordinators. </w:t>
      </w:r>
    </w:p>
    <w:p w14:paraId="00000012" w14:textId="77777777" w:rsidR="00B9078F" w:rsidRDefault="006E1DA5">
      <w:pPr>
        <w:widowControl w:val="0"/>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t>Co-chairs are primarily responsible to their constituents i.e. CWG members/ operational cash actors in-country. Operational cash actors should express what services they require.</w:t>
      </w:r>
    </w:p>
    <w:p w14:paraId="00000013" w14:textId="5ECC62A4"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Co-chairs ensure links with and information exchange between cluster and sector working group co-chairs, who should be CWG members responsible for sectoral cash.</w:t>
      </w:r>
    </w:p>
    <w:p w14:paraId="00000014" w14:textId="2C3A8533"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Although co-chairs do not report to the global Cash Advisory Group (gCAG), they may seek its support, even if their agencies are not represented in this group. </w:t>
      </w:r>
    </w:p>
    <w:p w14:paraId="00000015" w14:textId="77777777" w:rsidR="00B9078F" w:rsidRDefault="00B9078F">
      <w:pPr>
        <w:widowControl w:val="0"/>
        <w:spacing w:line="240" w:lineRule="auto"/>
        <w:ind w:left="1440"/>
        <w:rPr>
          <w:rFonts w:ascii="Open Sans" w:eastAsia="Open Sans" w:hAnsi="Open Sans" w:cs="Open Sans"/>
          <w:sz w:val="20"/>
          <w:szCs w:val="20"/>
        </w:rPr>
      </w:pPr>
    </w:p>
    <w:p w14:paraId="00000016" w14:textId="77777777" w:rsidR="00B9078F" w:rsidRDefault="006E1DA5">
      <w:pPr>
        <w:widowControl w:val="0"/>
        <w:numPr>
          <w:ilvl w:val="0"/>
          <w:numId w:val="1"/>
        </w:numPr>
        <w:pBdr>
          <w:top w:val="nil"/>
          <w:left w:val="nil"/>
          <w:bottom w:val="nil"/>
          <w:right w:val="nil"/>
          <w:between w:val="nil"/>
        </w:pBdr>
        <w:spacing w:line="240" w:lineRule="auto"/>
        <w:rPr>
          <w:rFonts w:ascii="Open Sans" w:eastAsia="Open Sans" w:hAnsi="Open Sans" w:cs="Open Sans"/>
          <w:b/>
          <w:sz w:val="20"/>
          <w:szCs w:val="20"/>
        </w:rPr>
      </w:pPr>
      <w:r>
        <w:rPr>
          <w:rFonts w:ascii="Open Sans" w:eastAsia="Open Sans" w:hAnsi="Open Sans" w:cs="Open Sans"/>
          <w:b/>
          <w:sz w:val="20"/>
          <w:szCs w:val="20"/>
        </w:rPr>
        <w:t>Exceptional circumstances</w:t>
      </w:r>
    </w:p>
    <w:p w14:paraId="00000017" w14:textId="77777777"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In contexts without ICCG or ISWG, co-chairs report to the Humanitarian Country Team (HCT). </w:t>
      </w:r>
    </w:p>
    <w:p w14:paraId="00000018" w14:textId="32BF0C95"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In IASC or mixed settings without an OCHA office</w:t>
      </w:r>
      <w:r w:rsidR="00C73412">
        <w:rPr>
          <w:rFonts w:ascii="Open Sans" w:eastAsia="Open Sans" w:hAnsi="Open Sans" w:cs="Open Sans"/>
          <w:sz w:val="20"/>
          <w:szCs w:val="20"/>
        </w:rPr>
        <w:t>,</w:t>
      </w:r>
      <w:r>
        <w:rPr>
          <w:rFonts w:ascii="Open Sans" w:eastAsia="Open Sans" w:hAnsi="Open Sans" w:cs="Open Sans"/>
          <w:sz w:val="20"/>
          <w:szCs w:val="20"/>
        </w:rPr>
        <w:t xml:space="preserve"> and </w:t>
      </w:r>
      <w:r w:rsidR="00C73412">
        <w:rPr>
          <w:rFonts w:ascii="Open Sans" w:eastAsia="Open Sans" w:hAnsi="Open Sans" w:cs="Open Sans"/>
          <w:sz w:val="20"/>
          <w:szCs w:val="20"/>
        </w:rPr>
        <w:t xml:space="preserve">in </w:t>
      </w:r>
      <w:r>
        <w:rPr>
          <w:rFonts w:ascii="Open Sans" w:eastAsia="Open Sans" w:hAnsi="Open Sans" w:cs="Open Sans"/>
          <w:sz w:val="20"/>
          <w:szCs w:val="20"/>
        </w:rPr>
        <w:t>non-IASC</w:t>
      </w:r>
      <w:r w:rsidR="009F4607">
        <w:rPr>
          <w:rFonts w:ascii="Open Sans" w:eastAsia="Open Sans" w:hAnsi="Open Sans" w:cs="Open Sans"/>
          <w:sz w:val="20"/>
          <w:szCs w:val="20"/>
        </w:rPr>
        <w:t xml:space="preserve">, mixed or refugee </w:t>
      </w:r>
      <w:r>
        <w:rPr>
          <w:rFonts w:ascii="Open Sans" w:eastAsia="Open Sans" w:hAnsi="Open Sans" w:cs="Open Sans"/>
          <w:sz w:val="20"/>
          <w:szCs w:val="20"/>
        </w:rPr>
        <w:t xml:space="preserve">contexts, the Development and Resident Coordination Office (DCO/ RCO) should be consulted to endorse co-chairing arrangements. </w:t>
      </w:r>
    </w:p>
    <w:p w14:paraId="0000001A" w14:textId="376729C3"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In refugee settings where UNHCR does not co-chair CWGs, programmatic co-chairs will be </w:t>
      </w:r>
      <w:r>
        <w:rPr>
          <w:rFonts w:ascii="Open Sans" w:eastAsia="Open Sans" w:hAnsi="Open Sans" w:cs="Open Sans"/>
          <w:sz w:val="20"/>
          <w:szCs w:val="20"/>
        </w:rPr>
        <w:lastRenderedPageBreak/>
        <w:t>decided at the country level and accountability will remain with UNHCR.</w:t>
      </w:r>
    </w:p>
    <w:p w14:paraId="0000001B" w14:textId="1EDEFE3B"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In all contexts, local/ national actors should be systematically prioritized and resourced to co-chair whe</w:t>
      </w:r>
      <w:r w:rsidR="009F4607">
        <w:rPr>
          <w:rFonts w:ascii="Open Sans" w:eastAsia="Open Sans" w:hAnsi="Open Sans" w:cs="Open Sans"/>
          <w:sz w:val="20"/>
          <w:szCs w:val="20"/>
        </w:rPr>
        <w:t>n</w:t>
      </w:r>
      <w:r>
        <w:rPr>
          <w:rFonts w:ascii="Open Sans" w:eastAsia="Open Sans" w:hAnsi="Open Sans" w:cs="Open Sans"/>
          <w:sz w:val="20"/>
          <w:szCs w:val="20"/>
        </w:rPr>
        <w:t>e</w:t>
      </w:r>
      <w:r w:rsidR="009F4607">
        <w:rPr>
          <w:rFonts w:ascii="Open Sans" w:eastAsia="Open Sans" w:hAnsi="Open Sans" w:cs="Open Sans"/>
          <w:sz w:val="20"/>
          <w:szCs w:val="20"/>
        </w:rPr>
        <w:t>ver</w:t>
      </w:r>
      <w:r>
        <w:rPr>
          <w:rFonts w:ascii="Open Sans" w:eastAsia="Open Sans" w:hAnsi="Open Sans" w:cs="Open Sans"/>
          <w:sz w:val="20"/>
          <w:szCs w:val="20"/>
        </w:rPr>
        <w:t xml:space="preserve"> possible</w:t>
      </w:r>
      <w:r>
        <w:rPr>
          <w:rFonts w:ascii="Open Sans" w:eastAsia="Open Sans" w:hAnsi="Open Sans" w:cs="Open Sans"/>
          <w:sz w:val="20"/>
          <w:szCs w:val="20"/>
          <w:vertAlign w:val="superscript"/>
        </w:rPr>
        <w:footnoteReference w:id="2"/>
      </w:r>
      <w:r>
        <w:rPr>
          <w:rFonts w:ascii="Open Sans" w:eastAsia="Open Sans" w:hAnsi="Open Sans" w:cs="Open Sans"/>
          <w:sz w:val="20"/>
          <w:szCs w:val="20"/>
        </w:rPr>
        <w:t xml:space="preserve"> to leverage local knowledge and expertise.</w:t>
      </w:r>
    </w:p>
    <w:p w14:paraId="0000001C" w14:textId="77777777" w:rsidR="00B9078F" w:rsidRDefault="00B9078F">
      <w:pPr>
        <w:widowControl w:val="0"/>
        <w:spacing w:line="240" w:lineRule="auto"/>
        <w:rPr>
          <w:rFonts w:ascii="Open Sans" w:eastAsia="Open Sans" w:hAnsi="Open Sans" w:cs="Open Sans"/>
          <w:b/>
          <w:sz w:val="20"/>
          <w:szCs w:val="20"/>
        </w:rPr>
      </w:pPr>
    </w:p>
    <w:p w14:paraId="0000001D" w14:textId="77777777" w:rsidR="00B9078F" w:rsidRDefault="006E1DA5">
      <w:pPr>
        <w:widowControl w:val="0"/>
        <w:numPr>
          <w:ilvl w:val="0"/>
          <w:numId w:val="1"/>
        </w:numPr>
        <w:pBdr>
          <w:top w:val="nil"/>
          <w:left w:val="nil"/>
          <w:bottom w:val="nil"/>
          <w:right w:val="nil"/>
          <w:between w:val="nil"/>
        </w:pBdr>
        <w:spacing w:line="240" w:lineRule="auto"/>
        <w:rPr>
          <w:rFonts w:ascii="Open Sans" w:eastAsia="Open Sans" w:hAnsi="Open Sans" w:cs="Open Sans"/>
          <w:b/>
          <w:sz w:val="20"/>
          <w:szCs w:val="20"/>
        </w:rPr>
      </w:pPr>
      <w:r>
        <w:rPr>
          <w:rFonts w:ascii="Open Sans" w:eastAsia="Open Sans" w:hAnsi="Open Sans" w:cs="Open Sans"/>
          <w:b/>
          <w:sz w:val="20"/>
          <w:szCs w:val="20"/>
        </w:rPr>
        <w:t>Responsibilities</w:t>
      </w:r>
    </w:p>
    <w:p w14:paraId="0000001E" w14:textId="3D5B278E" w:rsidR="00B9078F" w:rsidRDefault="006E1DA5">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Co-chairs help develop and support the implementation of </w:t>
      </w:r>
      <w:hyperlink r:id="rId8">
        <w:r>
          <w:rPr>
            <w:rFonts w:ascii="Open Sans" w:eastAsia="Open Sans" w:hAnsi="Open Sans" w:cs="Open Sans"/>
            <w:color w:val="1155CC"/>
            <w:sz w:val="20"/>
            <w:szCs w:val="20"/>
            <w:u w:val="single"/>
          </w:rPr>
          <w:t>CWG TORs</w:t>
        </w:r>
      </w:hyperlink>
      <w:r>
        <w:rPr>
          <w:rFonts w:ascii="Open Sans" w:eastAsia="Open Sans" w:hAnsi="Open Sans" w:cs="Open Sans"/>
          <w:sz w:val="20"/>
          <w:szCs w:val="20"/>
        </w:rPr>
        <w:t>. Below is an exhaustive list of</w:t>
      </w:r>
      <w:r w:rsidR="009B54D2">
        <w:rPr>
          <w:rFonts w:ascii="Open Sans" w:eastAsia="Open Sans" w:hAnsi="Open Sans" w:cs="Open Sans"/>
          <w:sz w:val="20"/>
          <w:szCs w:val="20"/>
        </w:rPr>
        <w:t xml:space="preserve"> possible</w:t>
      </w:r>
      <w:r>
        <w:rPr>
          <w:rFonts w:ascii="Open Sans" w:eastAsia="Open Sans" w:hAnsi="Open Sans" w:cs="Open Sans"/>
          <w:sz w:val="20"/>
          <w:szCs w:val="20"/>
        </w:rPr>
        <w:t xml:space="preserve"> co-chair’s responsibilities, which should be adapted to reflect the response context based on the collective agreement by the CWG members, and defined by the needs on the ground and the requirements of the ICCG/ ISWG. Co-chair responsibilities fall under the areas of coordination and facilitation of technical discussion, and reporting, knowledge and information management of cash assistance. Select the boxes that apply to your context and feel free to add context-specific tasks:</w:t>
      </w:r>
    </w:p>
    <w:p w14:paraId="0000001F" w14:textId="77777777" w:rsidR="00B9078F" w:rsidRDefault="00B9078F">
      <w:pPr>
        <w:widowControl w:val="0"/>
        <w:spacing w:line="240" w:lineRule="auto"/>
        <w:rPr>
          <w:rFonts w:ascii="Open Sans" w:eastAsia="Open Sans" w:hAnsi="Open Sans" w:cs="Open Sans"/>
          <w:sz w:val="20"/>
          <w:szCs w:val="20"/>
        </w:rPr>
      </w:pPr>
    </w:p>
    <w:p w14:paraId="00000020" w14:textId="77777777" w:rsidR="00B9078F" w:rsidRDefault="006E1DA5">
      <w:pPr>
        <w:widowControl w:val="0"/>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u w:val="single"/>
        </w:rPr>
        <w:t>Enable Cash Coordination and Facilitate Technical Discussion</w:t>
      </w:r>
    </w:p>
    <w:p w14:paraId="00000021"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Develop a CWG TOR and a work plan that reflects key priorities identified by CWG members.</w:t>
      </w:r>
    </w:p>
    <w:p w14:paraId="00000022"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Prepare, circulate agendas, send invites and organize regular meetings in a timely manner. </w:t>
      </w:r>
    </w:p>
    <w:p w14:paraId="00000023"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Facilitate meetings and enable technical discussions in an inclusive manner, take notes, circulate minutes with action points and ensure action points from meetings are followed.</w:t>
      </w:r>
    </w:p>
    <w:p w14:paraId="00000024"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Maintain a mailing list of interested and operational cash actors in a transparent manner. </w:t>
      </w:r>
    </w:p>
    <w:p w14:paraId="00000025"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Facilitate technical and operational discussions between members and support sub-national CWGs or technical Task Teams develop TORs, establish membership and endorse outputs.</w:t>
      </w:r>
    </w:p>
    <w:p w14:paraId="00000026" w14:textId="77777777" w:rsidR="00B9078F" w:rsidRDefault="006E1DA5" w:rsidP="009B54D2">
      <w:pPr>
        <w:widowControl w:val="0"/>
        <w:numPr>
          <w:ilvl w:val="0"/>
          <w:numId w:val="5"/>
        </w:numPr>
        <w:spacing w:line="240" w:lineRule="auto"/>
        <w:rPr>
          <w:rFonts w:ascii="Open Sans" w:eastAsia="Open Sans" w:hAnsi="Open Sans" w:cs="Open Sans"/>
          <w:sz w:val="20"/>
          <w:szCs w:val="20"/>
        </w:rPr>
      </w:pPr>
      <w:r>
        <w:rPr>
          <w:rFonts w:ascii="Open Sans" w:eastAsia="Open Sans" w:hAnsi="Open Sans" w:cs="Open Sans"/>
          <w:sz w:val="20"/>
          <w:szCs w:val="20"/>
        </w:rPr>
        <w:t>Engage diverse international, local and national actors and ensure discussions can be held in local languages by offering translation services to international actors (and vice versa).</w:t>
      </w:r>
    </w:p>
    <w:p w14:paraId="00000027" w14:textId="77777777" w:rsidR="00B9078F" w:rsidRDefault="006E1DA5" w:rsidP="009B54D2">
      <w:pPr>
        <w:widowControl w:val="0"/>
        <w:numPr>
          <w:ilvl w:val="0"/>
          <w:numId w:val="5"/>
        </w:numPr>
        <w:spacing w:line="240" w:lineRule="auto"/>
        <w:rPr>
          <w:rFonts w:ascii="Open Sans" w:eastAsia="Open Sans" w:hAnsi="Open Sans" w:cs="Open Sans"/>
          <w:sz w:val="20"/>
          <w:szCs w:val="20"/>
        </w:rPr>
      </w:pPr>
      <w:r>
        <w:rPr>
          <w:rFonts w:ascii="Open Sans" w:eastAsia="Open Sans" w:hAnsi="Open Sans" w:cs="Open Sans"/>
          <w:sz w:val="20"/>
          <w:szCs w:val="20"/>
        </w:rPr>
        <w:t>Support multiple/ diverse approaches, respecting CWG members’ mandates and capacities.</w:t>
      </w:r>
    </w:p>
    <w:p w14:paraId="00000028" w14:textId="77777777" w:rsidR="00B9078F" w:rsidRDefault="006E1DA5" w:rsidP="009B54D2">
      <w:pPr>
        <w:widowControl w:val="0"/>
        <w:numPr>
          <w:ilvl w:val="0"/>
          <w:numId w:val="5"/>
        </w:numPr>
        <w:spacing w:line="240" w:lineRule="auto"/>
        <w:rPr>
          <w:rFonts w:ascii="Open Sans" w:eastAsia="Open Sans" w:hAnsi="Open Sans" w:cs="Open Sans"/>
          <w:sz w:val="20"/>
          <w:szCs w:val="20"/>
        </w:rPr>
      </w:pPr>
      <w:r>
        <w:rPr>
          <w:rFonts w:ascii="Open Sans" w:eastAsia="Open Sans" w:hAnsi="Open Sans" w:cs="Open Sans"/>
          <w:sz w:val="20"/>
          <w:szCs w:val="20"/>
        </w:rPr>
        <w:t>Promote and advocate for coherent, comprehensive and/ or harmonized approaches like common mechanisms, joint, collaborative or complementary approaches</w:t>
      </w:r>
      <w:r>
        <w:rPr>
          <w:rFonts w:ascii="Open Sans" w:eastAsia="Open Sans" w:hAnsi="Open Sans" w:cs="Open Sans"/>
          <w:sz w:val="20"/>
          <w:szCs w:val="20"/>
          <w:vertAlign w:val="superscript"/>
        </w:rPr>
        <w:footnoteReference w:id="3"/>
      </w:r>
      <w:r>
        <w:rPr>
          <w:rFonts w:ascii="Open Sans" w:eastAsia="Open Sans" w:hAnsi="Open Sans" w:cs="Open Sans"/>
          <w:sz w:val="20"/>
          <w:szCs w:val="20"/>
        </w:rPr>
        <w:t xml:space="preserve"> .</w:t>
      </w:r>
    </w:p>
    <w:p w14:paraId="00000029" w14:textId="77777777" w:rsidR="00B9078F" w:rsidRDefault="006E1DA5" w:rsidP="009B54D2">
      <w:pPr>
        <w:widowControl w:val="0"/>
        <w:numPr>
          <w:ilvl w:val="0"/>
          <w:numId w:val="5"/>
        </w:numPr>
        <w:spacing w:line="240" w:lineRule="auto"/>
        <w:rPr>
          <w:rFonts w:ascii="Open Sans" w:eastAsia="Open Sans" w:hAnsi="Open Sans" w:cs="Open Sans"/>
          <w:sz w:val="20"/>
          <w:szCs w:val="20"/>
        </w:rPr>
      </w:pPr>
      <w:r>
        <w:rPr>
          <w:rFonts w:ascii="Open Sans" w:eastAsia="Open Sans" w:hAnsi="Open Sans" w:cs="Open Sans"/>
          <w:sz w:val="20"/>
          <w:szCs w:val="20"/>
        </w:rPr>
        <w:t>Facilitate the development of standard and easy-to-use tools and guidance</w:t>
      </w:r>
      <w:r>
        <w:rPr>
          <w:rFonts w:ascii="Open Sans" w:eastAsia="Open Sans" w:hAnsi="Open Sans" w:cs="Open Sans"/>
          <w:sz w:val="20"/>
          <w:szCs w:val="20"/>
          <w:vertAlign w:val="superscript"/>
        </w:rPr>
        <w:footnoteReference w:id="4"/>
      </w:r>
      <w:r>
        <w:rPr>
          <w:rFonts w:ascii="Open Sans" w:eastAsia="Open Sans" w:hAnsi="Open Sans" w:cs="Open Sans"/>
          <w:sz w:val="20"/>
          <w:szCs w:val="20"/>
        </w:rPr>
        <w:t>.</w:t>
      </w:r>
    </w:p>
    <w:p w14:paraId="0000002A"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Liaise with clusters/ sector working groups to ensure complementarity and avoid overlaps between sector cash assistance and multi-purpose cash assistance (MPCA).</w:t>
      </w:r>
    </w:p>
    <w:p w14:paraId="0000002B"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Engage stakeholders including donors, international financial institutions (IFIs), government, humanitarian and development actors to enable coherence and contextualization of cash response, links between humanitarian and development action and nexus approaches.</w:t>
      </w:r>
    </w:p>
    <w:p w14:paraId="0000002C" w14:textId="291C7A3C"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sidRPr="00A82CC7">
        <w:rPr>
          <w:rFonts w:ascii="Open Sans" w:eastAsia="Open Sans" w:hAnsi="Open Sans" w:cs="Open Sans"/>
          <w:sz w:val="20"/>
          <w:szCs w:val="20"/>
        </w:rPr>
        <w:t xml:space="preserve">Engage </w:t>
      </w:r>
      <w:r w:rsidR="00A82CC7" w:rsidRPr="00A82CC7">
        <w:rPr>
          <w:rFonts w:ascii="Open Sans" w:eastAsia="Open Sans" w:hAnsi="Open Sans" w:cs="Open Sans"/>
          <w:sz w:val="20"/>
          <w:szCs w:val="20"/>
        </w:rPr>
        <w:t xml:space="preserve">with any kind of social protection coordination structure that allow </w:t>
      </w:r>
      <w:r w:rsidR="00A82CC7">
        <w:rPr>
          <w:rFonts w:ascii="Open Sans" w:eastAsia="Open Sans" w:hAnsi="Open Sans" w:cs="Open Sans"/>
          <w:sz w:val="20"/>
          <w:szCs w:val="20"/>
        </w:rPr>
        <w:t>and enable</w:t>
      </w:r>
      <w:r w:rsidR="00A82CC7" w:rsidRPr="00A82CC7">
        <w:rPr>
          <w:rFonts w:ascii="Open Sans" w:eastAsia="Open Sans" w:hAnsi="Open Sans" w:cs="Open Sans"/>
          <w:sz w:val="20"/>
          <w:szCs w:val="20"/>
        </w:rPr>
        <w:t xml:space="preserve"> alignment </w:t>
      </w:r>
      <w:r w:rsidR="00A82CC7">
        <w:rPr>
          <w:rFonts w:ascii="Open Sans" w:eastAsia="Open Sans" w:hAnsi="Open Sans" w:cs="Open Sans"/>
          <w:sz w:val="20"/>
          <w:szCs w:val="20"/>
        </w:rPr>
        <w:t xml:space="preserve">(e.g. </w:t>
      </w:r>
      <w:r w:rsidRPr="00A82CC7">
        <w:rPr>
          <w:rFonts w:ascii="Open Sans" w:eastAsia="Open Sans" w:hAnsi="Open Sans" w:cs="Open Sans"/>
          <w:sz w:val="20"/>
          <w:szCs w:val="20"/>
        </w:rPr>
        <w:t>Social Protection Working Groups (SPWGs) to ensure cash assistance</w:t>
      </w:r>
      <w:r>
        <w:rPr>
          <w:rFonts w:ascii="Open Sans" w:eastAsia="Open Sans" w:hAnsi="Open Sans" w:cs="Open Sans"/>
          <w:sz w:val="20"/>
          <w:szCs w:val="20"/>
        </w:rPr>
        <w:t xml:space="preserve"> complements</w:t>
      </w:r>
      <w:r>
        <w:rPr>
          <w:rFonts w:ascii="Open Sans" w:eastAsia="Open Sans" w:hAnsi="Open Sans" w:cs="Open Sans"/>
          <w:sz w:val="20"/>
          <w:szCs w:val="20"/>
          <w:vertAlign w:val="superscript"/>
        </w:rPr>
        <w:footnoteReference w:id="5"/>
      </w:r>
      <w:r w:rsidR="00A82CC7">
        <w:rPr>
          <w:rFonts w:ascii="Open Sans" w:eastAsia="Open Sans" w:hAnsi="Open Sans" w:cs="Open Sans"/>
          <w:sz w:val="20"/>
          <w:szCs w:val="20"/>
        </w:rPr>
        <w:t>, supports</w:t>
      </w:r>
      <w:r>
        <w:rPr>
          <w:rFonts w:ascii="Open Sans" w:eastAsia="Open Sans" w:hAnsi="Open Sans" w:cs="Open Sans"/>
          <w:sz w:val="20"/>
          <w:szCs w:val="20"/>
        </w:rPr>
        <w:t xml:space="preserve"> or strengthens, rather than duplicates, government support.</w:t>
      </w:r>
    </w:p>
    <w:p w14:paraId="0000002D"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Provide inputs to humanitarian or refugee response cycle planning frameworks</w:t>
      </w:r>
      <w:r>
        <w:rPr>
          <w:rFonts w:ascii="Open Sans" w:eastAsia="Open Sans" w:hAnsi="Open Sans" w:cs="Open Sans"/>
          <w:sz w:val="20"/>
          <w:szCs w:val="20"/>
          <w:vertAlign w:val="superscript"/>
        </w:rPr>
        <w:footnoteReference w:id="6"/>
      </w:r>
      <w:r>
        <w:rPr>
          <w:rFonts w:ascii="Open Sans" w:eastAsia="Open Sans" w:hAnsi="Open Sans" w:cs="Open Sans"/>
          <w:sz w:val="20"/>
          <w:szCs w:val="20"/>
        </w:rPr>
        <w:t>.</w:t>
      </w:r>
    </w:p>
    <w:p w14:paraId="0000002E" w14:textId="77777777" w:rsidR="00B9078F" w:rsidRDefault="00B9078F">
      <w:pPr>
        <w:widowControl w:val="0"/>
        <w:pBdr>
          <w:top w:val="nil"/>
          <w:left w:val="nil"/>
          <w:bottom w:val="nil"/>
          <w:right w:val="nil"/>
          <w:between w:val="nil"/>
        </w:pBdr>
        <w:spacing w:line="240" w:lineRule="auto"/>
        <w:ind w:left="720"/>
        <w:rPr>
          <w:rFonts w:ascii="Open Sans" w:eastAsia="Open Sans" w:hAnsi="Open Sans" w:cs="Open Sans"/>
          <w:sz w:val="20"/>
          <w:szCs w:val="20"/>
          <w:u w:val="single"/>
        </w:rPr>
      </w:pPr>
    </w:p>
    <w:p w14:paraId="0000002F" w14:textId="77777777" w:rsidR="00B9078F" w:rsidRDefault="006E1DA5">
      <w:pPr>
        <w:widowControl w:val="0"/>
        <w:numPr>
          <w:ilvl w:val="0"/>
          <w:numId w:val="4"/>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u w:val="single"/>
        </w:rPr>
        <w:t>Ensure Reporting, Knowledge and Information Management</w:t>
      </w:r>
    </w:p>
    <w:p w14:paraId="00000030"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Ensure reporting and information management services are provided to CWG members.</w:t>
      </w:r>
    </w:p>
    <w:p w14:paraId="00000031"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Request reporting of activities from operational cash actors with practical easy-to-use tools.</w:t>
      </w:r>
    </w:p>
    <w:p w14:paraId="00000032"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Map and provide regular analysis on the delivery of cash assistance across the response.</w:t>
      </w:r>
    </w:p>
    <w:p w14:paraId="00000033"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lastRenderedPageBreak/>
        <w:t>Promote coverage of cash assistance through information sharing and gap analysis</w:t>
      </w:r>
      <w:r w:rsidRPr="009B54D2">
        <w:rPr>
          <w:rFonts w:ascii="Open Sans" w:eastAsia="Open Sans" w:hAnsi="Open Sans" w:cs="Open Sans"/>
          <w:sz w:val="20"/>
          <w:szCs w:val="20"/>
        </w:rPr>
        <w:footnoteReference w:id="7"/>
      </w:r>
      <w:r>
        <w:rPr>
          <w:rFonts w:ascii="Open Sans" w:eastAsia="Open Sans" w:hAnsi="Open Sans" w:cs="Open Sans"/>
          <w:sz w:val="20"/>
          <w:szCs w:val="20"/>
        </w:rPr>
        <w:t>.</w:t>
      </w:r>
    </w:p>
    <w:p w14:paraId="00000034"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Enable a community of practice to document evidence-based practices and lessons learned.</w:t>
      </w:r>
    </w:p>
    <w:p w14:paraId="00000035"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Compile evidence to inform interventions and contribute to regional/ global learning.</w:t>
      </w:r>
    </w:p>
    <w:p w14:paraId="00000036"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Support capacity and knowledge needs of members, clusters, local and national actors.</w:t>
      </w:r>
    </w:p>
    <w:p w14:paraId="00000037" w14:textId="72FD14DA"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Establish connections with global and regional fora e.g. </w:t>
      </w:r>
      <w:hyperlink r:id="rId9">
        <w:r>
          <w:rPr>
            <w:rFonts w:ascii="Open Sans" w:eastAsia="Open Sans" w:hAnsi="Open Sans" w:cs="Open Sans"/>
            <w:color w:val="1155CC"/>
            <w:sz w:val="20"/>
            <w:szCs w:val="20"/>
            <w:u w:val="single"/>
          </w:rPr>
          <w:t>gCAG</w:t>
        </w:r>
      </w:hyperlink>
      <w:r>
        <w:rPr>
          <w:rFonts w:ascii="Open Sans" w:eastAsia="Open Sans" w:hAnsi="Open Sans" w:cs="Open Sans"/>
          <w:sz w:val="20"/>
          <w:szCs w:val="20"/>
        </w:rPr>
        <w:t xml:space="preserve">, </w:t>
      </w:r>
      <w:hyperlink r:id="rId10">
        <w:r>
          <w:rPr>
            <w:rFonts w:ascii="Open Sans" w:eastAsia="Open Sans" w:hAnsi="Open Sans" w:cs="Open Sans"/>
            <w:color w:val="1155CC"/>
            <w:sz w:val="20"/>
            <w:szCs w:val="20"/>
            <w:u w:val="single"/>
          </w:rPr>
          <w:t>C</w:t>
        </w:r>
      </w:hyperlink>
      <w:hyperlink r:id="rId11" w:history="1">
        <w:r>
          <w:rPr>
            <w:rFonts w:ascii="Open Sans" w:eastAsia="Open Sans" w:hAnsi="Open Sans" w:cs="Open Sans"/>
            <w:color w:val="1155CC"/>
            <w:sz w:val="20"/>
            <w:szCs w:val="20"/>
            <w:u w:val="single"/>
          </w:rPr>
          <w:t>A</w:t>
        </w:r>
      </w:hyperlink>
      <w:hyperlink r:id="rId12">
        <w:r>
          <w:rPr>
            <w:rFonts w:ascii="Open Sans" w:eastAsia="Open Sans" w:hAnsi="Open Sans" w:cs="Open Sans"/>
            <w:color w:val="1155CC"/>
            <w:sz w:val="20"/>
            <w:szCs w:val="20"/>
            <w:u w:val="single"/>
          </w:rPr>
          <w:t>LP network</w:t>
        </w:r>
      </w:hyperlink>
      <w:r>
        <w:rPr>
          <w:rFonts w:ascii="Open Sans" w:eastAsia="Open Sans" w:hAnsi="Open Sans" w:cs="Open Sans"/>
          <w:sz w:val="20"/>
          <w:szCs w:val="20"/>
        </w:rPr>
        <w:t xml:space="preserve">, </w:t>
      </w:r>
      <w:hyperlink r:id="rId13">
        <w:r>
          <w:rPr>
            <w:rFonts w:ascii="Open Sans" w:eastAsia="Open Sans" w:hAnsi="Open Sans" w:cs="Open Sans"/>
            <w:color w:val="1155CC"/>
            <w:sz w:val="20"/>
            <w:szCs w:val="20"/>
            <w:u w:val="single"/>
          </w:rPr>
          <w:t>SPIAC-B</w:t>
        </w:r>
      </w:hyperlink>
      <w:r>
        <w:rPr>
          <w:rFonts w:ascii="Open Sans" w:eastAsia="Open Sans" w:hAnsi="Open Sans" w:cs="Open Sans"/>
          <w:sz w:val="20"/>
          <w:szCs w:val="20"/>
        </w:rPr>
        <w:t>.</w:t>
      </w:r>
      <w:r>
        <w:rPr>
          <w:rFonts w:ascii="Open Sans" w:eastAsia="Open Sans" w:hAnsi="Open Sans" w:cs="Open Sans"/>
          <w:b/>
          <w:sz w:val="20"/>
          <w:szCs w:val="20"/>
        </w:rPr>
        <w:t xml:space="preserve"> </w:t>
      </w:r>
    </w:p>
    <w:p w14:paraId="00000038" w14:textId="77777777" w:rsidR="00B9078F" w:rsidRDefault="00B9078F">
      <w:pPr>
        <w:widowControl w:val="0"/>
        <w:spacing w:line="240" w:lineRule="auto"/>
        <w:ind w:left="360"/>
        <w:rPr>
          <w:rFonts w:ascii="Open Sans" w:eastAsia="Open Sans" w:hAnsi="Open Sans" w:cs="Open Sans"/>
          <w:b/>
          <w:sz w:val="20"/>
          <w:szCs w:val="20"/>
        </w:rPr>
      </w:pPr>
    </w:p>
    <w:p w14:paraId="00000039" w14:textId="77777777" w:rsidR="00B9078F" w:rsidRDefault="006E1DA5">
      <w:pPr>
        <w:widowControl w:val="0"/>
        <w:numPr>
          <w:ilvl w:val="0"/>
          <w:numId w:val="1"/>
        </w:numPr>
        <w:pBdr>
          <w:top w:val="nil"/>
          <w:left w:val="nil"/>
          <w:bottom w:val="nil"/>
          <w:right w:val="nil"/>
          <w:between w:val="nil"/>
        </w:pBdr>
        <w:spacing w:line="240" w:lineRule="auto"/>
        <w:rPr>
          <w:rFonts w:ascii="Open Sans" w:eastAsia="Open Sans" w:hAnsi="Open Sans" w:cs="Open Sans"/>
          <w:b/>
          <w:sz w:val="20"/>
          <w:szCs w:val="20"/>
        </w:rPr>
      </w:pPr>
      <w:r>
        <w:rPr>
          <w:rFonts w:ascii="Open Sans" w:eastAsia="Open Sans" w:hAnsi="Open Sans" w:cs="Open Sans"/>
          <w:b/>
          <w:sz w:val="20"/>
          <w:szCs w:val="20"/>
        </w:rPr>
        <w:t xml:space="preserve">Actions outside the Co-Chair Responsibilities </w:t>
      </w:r>
    </w:p>
    <w:p w14:paraId="0000003A" w14:textId="7215E701" w:rsidR="00B9078F" w:rsidRDefault="006E1DA5">
      <w:pPr>
        <w:widowControl w:val="0"/>
        <w:spacing w:line="240" w:lineRule="auto"/>
        <w:ind w:left="360"/>
        <w:rPr>
          <w:rFonts w:ascii="Open Sans" w:eastAsia="Open Sans" w:hAnsi="Open Sans" w:cs="Open Sans"/>
          <w:sz w:val="20"/>
          <w:szCs w:val="20"/>
        </w:rPr>
      </w:pPr>
      <w:r>
        <w:rPr>
          <w:rFonts w:ascii="Open Sans" w:eastAsia="Open Sans" w:hAnsi="Open Sans" w:cs="Open Sans"/>
          <w:sz w:val="20"/>
          <w:szCs w:val="20"/>
        </w:rPr>
        <w:t>Actions outside the remit of CWG co-chairs include:</w:t>
      </w:r>
    </w:p>
    <w:p w14:paraId="0000003B" w14:textId="51ABD4BE"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Take decisions around humanitarian needs. CWG co-chairs can support multi-sectoral assessments; however th</w:t>
      </w:r>
      <w:r w:rsidR="009B54D2">
        <w:rPr>
          <w:rFonts w:ascii="Open Sans" w:eastAsia="Open Sans" w:hAnsi="Open Sans" w:cs="Open Sans"/>
          <w:sz w:val="20"/>
          <w:szCs w:val="20"/>
        </w:rPr>
        <w:t>ose</w:t>
      </w:r>
      <w:r>
        <w:rPr>
          <w:rFonts w:ascii="Open Sans" w:eastAsia="Open Sans" w:hAnsi="Open Sans" w:cs="Open Sans"/>
          <w:sz w:val="20"/>
          <w:szCs w:val="20"/>
        </w:rPr>
        <w:t xml:space="preserve"> should be conducted by agencies, sectors/clusters and IS/ICCG.</w:t>
      </w:r>
    </w:p>
    <w:p w14:paraId="0000003C" w14:textId="561DC6FF"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Dictate, restrict or limit different cash responses or approaches</w:t>
      </w:r>
      <w:r w:rsidR="00E83D32">
        <w:rPr>
          <w:rStyle w:val="FootnoteReference"/>
          <w:rFonts w:ascii="Open Sans" w:eastAsia="Open Sans" w:hAnsi="Open Sans" w:cs="Open Sans"/>
          <w:sz w:val="20"/>
          <w:szCs w:val="20"/>
        </w:rPr>
        <w:footnoteReference w:id="8"/>
      </w:r>
      <w:r>
        <w:rPr>
          <w:rFonts w:ascii="Open Sans" w:eastAsia="Open Sans" w:hAnsi="Open Sans" w:cs="Open Sans"/>
          <w:sz w:val="20"/>
          <w:szCs w:val="20"/>
        </w:rPr>
        <w:t xml:space="preserve"> and obstruct technical or operational discussions required to address key issues to meet assessed needs</w:t>
      </w:r>
      <w:r>
        <w:rPr>
          <w:rFonts w:ascii="Open Sans" w:eastAsia="Open Sans" w:hAnsi="Open Sans" w:cs="Open Sans"/>
          <w:sz w:val="20"/>
          <w:szCs w:val="20"/>
          <w:vertAlign w:val="superscript"/>
        </w:rPr>
        <w:footnoteReference w:id="9"/>
      </w:r>
      <w:r>
        <w:rPr>
          <w:rFonts w:ascii="Open Sans" w:eastAsia="Open Sans" w:hAnsi="Open Sans" w:cs="Open Sans"/>
          <w:sz w:val="20"/>
          <w:szCs w:val="20"/>
        </w:rPr>
        <w:t xml:space="preserve">. </w:t>
      </w:r>
    </w:p>
    <w:p w14:paraId="0000003D" w14:textId="77777777"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Decide on funding allocations for cash assistance. CWG co-chairs may be invited to participate as technical experts alongside others in reviews but avoid conflicts of interest.</w:t>
      </w:r>
    </w:p>
    <w:p w14:paraId="0000003E" w14:textId="52834BE3"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Have access to personal data of cash assistance beneficiaries or details of cash transfers.</w:t>
      </w:r>
    </w:p>
    <w:p w14:paraId="0000003F" w14:textId="77777777"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Represent CWG members to Government on issues members are mandated to speak on.</w:t>
      </w:r>
    </w:p>
    <w:p w14:paraId="00000040" w14:textId="77777777"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Represent their agency and/ or supervisor, which is in conflict with CWG member’s views.</w:t>
      </w:r>
    </w:p>
    <w:p w14:paraId="00000041" w14:textId="77777777"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Exclude actors interested with technical capacity to contribute to discussions or Task Teams.</w:t>
      </w:r>
      <w:r>
        <w:rPr>
          <w:rFonts w:ascii="Open Sans" w:eastAsia="Open Sans" w:hAnsi="Open Sans" w:cs="Open Sans"/>
          <w:sz w:val="20"/>
          <w:szCs w:val="20"/>
        </w:rPr>
        <w:tab/>
      </w:r>
    </w:p>
    <w:p w14:paraId="00000042" w14:textId="77777777" w:rsidR="00B9078F" w:rsidRDefault="00B9078F">
      <w:pPr>
        <w:widowControl w:val="0"/>
        <w:pBdr>
          <w:top w:val="nil"/>
          <w:left w:val="nil"/>
          <w:bottom w:val="nil"/>
          <w:right w:val="nil"/>
          <w:between w:val="nil"/>
        </w:pBdr>
        <w:spacing w:line="240" w:lineRule="auto"/>
        <w:ind w:left="720"/>
        <w:rPr>
          <w:rFonts w:ascii="Open Sans" w:eastAsia="Open Sans" w:hAnsi="Open Sans" w:cs="Open Sans"/>
          <w:sz w:val="20"/>
          <w:szCs w:val="20"/>
        </w:rPr>
      </w:pPr>
    </w:p>
    <w:p w14:paraId="00000043" w14:textId="228EE5D1" w:rsidR="00B9078F" w:rsidRDefault="00C34AEB">
      <w:pPr>
        <w:widowControl w:val="0"/>
        <w:numPr>
          <w:ilvl w:val="0"/>
          <w:numId w:val="1"/>
        </w:numPr>
        <w:pBdr>
          <w:top w:val="nil"/>
          <w:left w:val="nil"/>
          <w:bottom w:val="nil"/>
          <w:right w:val="nil"/>
          <w:between w:val="nil"/>
        </w:pBdr>
        <w:spacing w:line="240" w:lineRule="auto"/>
        <w:rPr>
          <w:rFonts w:ascii="Open Sans" w:eastAsia="Open Sans" w:hAnsi="Open Sans" w:cs="Open Sans"/>
          <w:b/>
          <w:sz w:val="20"/>
          <w:szCs w:val="20"/>
        </w:rPr>
      </w:pPr>
      <w:r>
        <w:rPr>
          <w:rFonts w:ascii="Open Sans" w:eastAsia="Open Sans" w:hAnsi="Open Sans" w:cs="Open Sans"/>
          <w:b/>
          <w:sz w:val="20"/>
          <w:szCs w:val="20"/>
        </w:rPr>
        <w:t>Skills and Core Competencies</w:t>
      </w:r>
    </w:p>
    <w:p w14:paraId="00000044" w14:textId="77777777" w:rsidR="00B9078F" w:rsidRDefault="006E1DA5" w:rsidP="00C34AEB">
      <w:pPr>
        <w:widowControl w:val="0"/>
        <w:spacing w:line="240" w:lineRule="auto"/>
        <w:ind w:firstLine="360"/>
        <w:rPr>
          <w:rFonts w:ascii="Open Sans" w:eastAsia="Open Sans" w:hAnsi="Open Sans" w:cs="Open Sans"/>
          <w:b/>
          <w:sz w:val="20"/>
          <w:szCs w:val="20"/>
        </w:rPr>
      </w:pPr>
      <w:r>
        <w:rPr>
          <w:rFonts w:ascii="Open Sans" w:eastAsia="Open Sans" w:hAnsi="Open Sans" w:cs="Open Sans"/>
          <w:sz w:val="20"/>
          <w:szCs w:val="20"/>
        </w:rPr>
        <w:t>CWG co-chairs should have the following skills, capacities and abilities:</w:t>
      </w:r>
    </w:p>
    <w:p w14:paraId="00000045" w14:textId="6029BC40" w:rsidR="00B9078F" w:rsidRDefault="008F0A7D">
      <w:pPr>
        <w:widowControl w:val="0"/>
        <w:numPr>
          <w:ilvl w:val="0"/>
          <w:numId w:val="2"/>
        </w:numPr>
        <w:spacing w:line="240" w:lineRule="auto"/>
        <w:rPr>
          <w:rFonts w:ascii="Open Sans" w:eastAsia="Open Sans" w:hAnsi="Open Sans" w:cs="Open Sans"/>
          <w:sz w:val="20"/>
          <w:szCs w:val="20"/>
        </w:rPr>
      </w:pPr>
      <w:r>
        <w:rPr>
          <w:rFonts w:ascii="Open Sans" w:eastAsia="Open Sans" w:hAnsi="Open Sans" w:cs="Open Sans"/>
          <w:sz w:val="20"/>
          <w:szCs w:val="20"/>
        </w:rPr>
        <w:t>E</w:t>
      </w:r>
      <w:r w:rsidR="006E1DA5">
        <w:rPr>
          <w:rFonts w:ascii="Open Sans" w:eastAsia="Open Sans" w:hAnsi="Open Sans" w:cs="Open Sans"/>
          <w:sz w:val="20"/>
          <w:szCs w:val="20"/>
        </w:rPr>
        <w:t xml:space="preserve">xperience of coordinating either CWGs or other humanitarian and development working groups, clusters and sectors in the country or in other contexts with emergency response.  </w:t>
      </w:r>
    </w:p>
    <w:p w14:paraId="00000046" w14:textId="77777777" w:rsidR="00B9078F" w:rsidRDefault="006E1DA5">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Demonstrated technical understanding of operational cash issues, challenges and concerns.</w:t>
      </w:r>
    </w:p>
    <w:p w14:paraId="00000047" w14:textId="24B8E15C" w:rsidR="00B9078F" w:rsidRDefault="00C34AEB">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Years</w:t>
      </w:r>
      <w:r w:rsidR="006E1DA5">
        <w:rPr>
          <w:rFonts w:ascii="Open Sans" w:eastAsia="Open Sans" w:hAnsi="Open Sans" w:cs="Open Sans"/>
          <w:sz w:val="20"/>
          <w:szCs w:val="20"/>
        </w:rPr>
        <w:t xml:space="preserve"> of experience and/ or understanding of sectoral and multi-sectoral use of cash.</w:t>
      </w:r>
    </w:p>
    <w:p w14:paraId="00000048" w14:textId="77777777" w:rsidR="00B9078F" w:rsidRDefault="006E1DA5">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In-depth knowledge of country context and particular humanitarian response.</w:t>
      </w:r>
    </w:p>
    <w:p w14:paraId="00000049" w14:textId="77777777" w:rsidR="00B9078F" w:rsidRDefault="006E1DA5">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Awareness of government, local or development social assistance, programmes, systems and/ or policies and social protection working groups.</w:t>
      </w:r>
    </w:p>
    <w:p w14:paraId="0000004A" w14:textId="77777777" w:rsidR="00B9078F" w:rsidRDefault="006E1DA5">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Ability to remain impartial, uphold humanitarian principles, maintain integrity  and avoid pursuing organizational or personal agendas when coordinating/ facilitating discussions. </w:t>
      </w:r>
    </w:p>
    <w:p w14:paraId="0000004B" w14:textId="77777777" w:rsidR="00B9078F" w:rsidRDefault="006E1DA5">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Strong interpersonal, communication (verbal/ written) and presentation skills.</w:t>
      </w:r>
    </w:p>
    <w:p w14:paraId="3AF08C2B" w14:textId="77BD385F" w:rsidR="00C34AEB" w:rsidRPr="00C34AEB" w:rsidRDefault="00C34AEB" w:rsidP="00C34AEB">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sidRPr="00C34AEB">
        <w:rPr>
          <w:rFonts w:ascii="Open Sans" w:eastAsia="Open Sans" w:hAnsi="Open Sans" w:cs="Open Sans"/>
          <w:sz w:val="20"/>
          <w:szCs w:val="20"/>
        </w:rPr>
        <w:t>Ability to work and plan at both operational and strategic level</w:t>
      </w:r>
      <w:r>
        <w:rPr>
          <w:rFonts w:ascii="Open Sans" w:eastAsia="Open Sans" w:hAnsi="Open Sans" w:cs="Open Sans"/>
          <w:sz w:val="20"/>
          <w:szCs w:val="20"/>
        </w:rPr>
        <w:t>.</w:t>
      </w:r>
    </w:p>
    <w:p w14:paraId="0000004C" w14:textId="77777777" w:rsidR="00B9078F" w:rsidRDefault="006E1DA5">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Experience of liaising technical and senior humanitarian, development actors and donors.</w:t>
      </w:r>
    </w:p>
    <w:p w14:paraId="0000004D" w14:textId="77777777" w:rsidR="00B9078F" w:rsidRDefault="006E1DA5">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Demonstrated ability to facilitate discussions, negotiate compromise and reach agreements.</w:t>
      </w:r>
    </w:p>
    <w:p w14:paraId="0000004E" w14:textId="5F135199" w:rsidR="00B9078F" w:rsidRDefault="006E1DA5">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Ability to respectfully engage, broker and/ or facilitate conflict resolution between multiple actors with different approaches, mandates, experiences, backgrounds, nationalities, cultures, sectors, interests and seniority levels with diverging views and opinions.</w:t>
      </w:r>
    </w:p>
    <w:p w14:paraId="032E5026" w14:textId="003DA2FB" w:rsidR="00C34AEB" w:rsidRDefault="00C34AEB">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Working knowledge of English and ideally the language spoken in country.</w:t>
      </w:r>
    </w:p>
    <w:p w14:paraId="3E6D726E" w14:textId="4B96943B" w:rsidR="00C34AEB" w:rsidRPr="00C34AEB" w:rsidRDefault="00C34AEB" w:rsidP="00C34AEB">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sidRPr="00C34AEB">
        <w:rPr>
          <w:rFonts w:ascii="Open Sans" w:eastAsia="Open Sans" w:hAnsi="Open Sans" w:cs="Open Sans"/>
          <w:sz w:val="20"/>
          <w:szCs w:val="20"/>
        </w:rPr>
        <w:t>Understanding of humanitarian response architecture, including coordination mechanisms, humanitarian reform and action, and funding mechanisms (e.g. Humanitarian Programme Cycle - HPC, Central Emergency Response Fund and Flash Appeals, Pooled funds)</w:t>
      </w:r>
      <w:r>
        <w:rPr>
          <w:rFonts w:ascii="Open Sans" w:eastAsia="Open Sans" w:hAnsi="Open Sans" w:cs="Open Sans"/>
          <w:sz w:val="20"/>
          <w:szCs w:val="20"/>
        </w:rPr>
        <w:t>.</w:t>
      </w:r>
    </w:p>
    <w:p w14:paraId="57A21B5F" w14:textId="0AC4AD7C" w:rsidR="00C34AEB" w:rsidRPr="00C34AEB" w:rsidRDefault="00C34AEB" w:rsidP="00C34AEB">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sidRPr="00C34AEB">
        <w:rPr>
          <w:rFonts w:ascii="Open Sans" w:eastAsia="Open Sans" w:hAnsi="Open Sans" w:cs="Open Sans"/>
          <w:sz w:val="20"/>
          <w:szCs w:val="20"/>
        </w:rPr>
        <w:t xml:space="preserve">Ability to work under pressure and adapt to an evolving and complex humanitarian context. </w:t>
      </w:r>
    </w:p>
    <w:sectPr w:rsidR="00C34AEB" w:rsidRPr="00C34AE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029C" w14:textId="77777777" w:rsidR="008E3D66" w:rsidRDefault="008E3D66">
      <w:pPr>
        <w:spacing w:line="240" w:lineRule="auto"/>
      </w:pPr>
      <w:r>
        <w:separator/>
      </w:r>
    </w:p>
  </w:endnote>
  <w:endnote w:type="continuationSeparator" w:id="0">
    <w:p w14:paraId="2A4DBE2D" w14:textId="77777777" w:rsidR="008E3D66" w:rsidRDefault="008E3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6303" w14:textId="77777777" w:rsidR="00CF6493" w:rsidRDefault="00CF6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E087" w14:textId="77777777" w:rsidR="00CF6493" w:rsidRDefault="00CF6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E42E" w14:textId="77777777" w:rsidR="00CF6493" w:rsidRDefault="00CF6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1D33" w14:textId="77777777" w:rsidR="008E3D66" w:rsidRDefault="008E3D66">
      <w:pPr>
        <w:spacing w:line="240" w:lineRule="auto"/>
      </w:pPr>
      <w:r>
        <w:separator/>
      </w:r>
    </w:p>
  </w:footnote>
  <w:footnote w:type="continuationSeparator" w:id="0">
    <w:p w14:paraId="3B72D00C" w14:textId="77777777" w:rsidR="008E3D66" w:rsidRDefault="008E3D66">
      <w:pPr>
        <w:spacing w:line="240" w:lineRule="auto"/>
      </w:pPr>
      <w:r>
        <w:continuationSeparator/>
      </w:r>
    </w:p>
  </w:footnote>
  <w:footnote w:id="1">
    <w:p w14:paraId="0000004F" w14:textId="77777777" w:rsidR="00B9078F" w:rsidRDefault="006E1DA5">
      <w:pPr>
        <w:spacing w:line="240" w:lineRule="auto"/>
        <w:rPr>
          <w:rFonts w:ascii="Open Sans" w:eastAsia="Open Sans" w:hAnsi="Open Sans" w:cs="Open Sans"/>
          <w:sz w:val="16"/>
          <w:szCs w:val="16"/>
        </w:rPr>
      </w:pPr>
      <w:r>
        <w:rPr>
          <w:vertAlign w:val="superscript"/>
        </w:rPr>
        <w:footnoteRef/>
      </w:r>
      <w:r>
        <w:rPr>
          <w:sz w:val="20"/>
          <w:szCs w:val="20"/>
        </w:rPr>
        <w:t xml:space="preserve"> </w:t>
      </w:r>
      <w:r>
        <w:rPr>
          <w:rFonts w:ascii="Open Sans" w:eastAsia="Open Sans" w:hAnsi="Open Sans" w:cs="Open Sans"/>
          <w:sz w:val="16"/>
          <w:szCs w:val="16"/>
        </w:rPr>
        <w:t>Effective cash coordination supports and enables different and multiple ways of working within the group, while striving for complementary, coherent, comprehensive, and where possible harmonized, cash assistance rather than one single approach.</w:t>
      </w:r>
    </w:p>
  </w:footnote>
  <w:footnote w:id="2">
    <w:p w14:paraId="00000050" w14:textId="77777777" w:rsidR="00B9078F" w:rsidRDefault="006E1DA5">
      <w:pPr>
        <w:spacing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When standards (i.e. humanitarian principles of impartiality, neutrality and independence, as well as resources and capacities) are met. This can be agreed with CWG members and if needed with ICCG/ ISWG or HCT/RCO/DCO support.</w:t>
      </w:r>
    </w:p>
  </w:footnote>
  <w:footnote w:id="3">
    <w:p w14:paraId="00000055" w14:textId="77777777" w:rsidR="00B9078F" w:rsidRDefault="006E1DA5">
      <w:pPr>
        <w:spacing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Where operationally feasible and desirable to cash recipients.</w:t>
      </w:r>
    </w:p>
  </w:footnote>
  <w:footnote w:id="4">
    <w:p w14:paraId="00000054" w14:textId="77777777" w:rsidR="00B9078F" w:rsidRDefault="006E1DA5">
      <w:pPr>
        <w:spacing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Guidance and tools for e.g. joint response analysis, market assessment, emergency Minimum Expenditure Basket (MEB), MPCA transfer value (TV), price or Post-Distribution Monitoring (PDM), feedback and complaints mechanisms, as relevant.</w:t>
      </w:r>
    </w:p>
  </w:footnote>
  <w:footnote w:id="5">
    <w:p w14:paraId="00000057" w14:textId="77777777" w:rsidR="00B9078F" w:rsidRDefault="006E1DA5">
      <w:pPr>
        <w:spacing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Helping CWG members consider vertical (top-ups) and/ or horizontal expansion of shock-responsive social benefits.  </w:t>
      </w:r>
    </w:p>
  </w:footnote>
  <w:footnote w:id="6">
    <w:p w14:paraId="00000056" w14:textId="77777777" w:rsidR="00B9078F" w:rsidRDefault="006E1DA5">
      <w:pPr>
        <w:spacing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With ICCG/ ISWG and individual clusters and sector working group coordinators.</w:t>
      </w:r>
    </w:p>
  </w:footnote>
  <w:footnote w:id="7">
    <w:p w14:paraId="00000052" w14:textId="77777777" w:rsidR="00B9078F" w:rsidRDefault="006E1DA5">
      <w:pPr>
        <w:spacing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This should be done with inputs from CWG members and in liaison with cluster/ sector working group coordinators.</w:t>
      </w:r>
    </w:p>
  </w:footnote>
  <w:footnote w:id="8">
    <w:p w14:paraId="4F67F722" w14:textId="083073FF" w:rsidR="00E83D32" w:rsidRPr="00E83D32" w:rsidRDefault="00E83D32">
      <w:pPr>
        <w:pStyle w:val="FootnoteText"/>
      </w:pPr>
      <w:r>
        <w:rPr>
          <w:rStyle w:val="FootnoteReference"/>
        </w:rPr>
        <w:footnoteRef/>
      </w:r>
      <w:r>
        <w:t xml:space="preserve"> </w:t>
      </w:r>
      <w:r w:rsidR="00851A7C" w:rsidRPr="00851A7C">
        <w:rPr>
          <w:rFonts w:ascii="Open Sans" w:eastAsia="Open Sans" w:hAnsi="Open Sans" w:cs="Open Sans"/>
          <w:sz w:val="16"/>
          <w:szCs w:val="16"/>
        </w:rPr>
        <w:t>It is not a co-chair</w:t>
      </w:r>
      <w:r w:rsidR="00851A7C">
        <w:rPr>
          <w:rFonts w:ascii="Open Sans" w:eastAsia="Open Sans" w:hAnsi="Open Sans" w:cs="Open Sans"/>
          <w:sz w:val="16"/>
          <w:szCs w:val="16"/>
        </w:rPr>
        <w:t xml:space="preserve">’s role to decide whether </w:t>
      </w:r>
      <w:r w:rsidR="00B671F4">
        <w:rPr>
          <w:rFonts w:ascii="Open Sans" w:eastAsia="Open Sans" w:hAnsi="Open Sans" w:cs="Open Sans"/>
          <w:sz w:val="16"/>
          <w:szCs w:val="16"/>
        </w:rPr>
        <w:t xml:space="preserve">no other form of cash assistance can be provided beyond </w:t>
      </w:r>
      <w:r w:rsidR="00851A7C" w:rsidRPr="00851A7C">
        <w:rPr>
          <w:rFonts w:ascii="Open Sans" w:eastAsia="Open Sans" w:hAnsi="Open Sans" w:cs="Open Sans"/>
          <w:sz w:val="16"/>
          <w:szCs w:val="16"/>
        </w:rPr>
        <w:t>MPCA</w:t>
      </w:r>
      <w:r w:rsidR="00B671F4">
        <w:rPr>
          <w:rFonts w:ascii="Open Sans" w:eastAsia="Open Sans" w:hAnsi="Open Sans" w:cs="Open Sans"/>
          <w:sz w:val="16"/>
          <w:szCs w:val="16"/>
        </w:rPr>
        <w:t xml:space="preserve"> in a response</w:t>
      </w:r>
      <w:r w:rsidR="00851A7C" w:rsidRPr="00851A7C">
        <w:rPr>
          <w:rFonts w:ascii="Open Sans" w:eastAsia="Open Sans" w:hAnsi="Open Sans" w:cs="Open Sans"/>
          <w:sz w:val="16"/>
          <w:szCs w:val="16"/>
        </w:rPr>
        <w:t>.</w:t>
      </w:r>
      <w:r w:rsidR="00B671F4">
        <w:rPr>
          <w:rFonts w:ascii="Open Sans" w:eastAsia="Open Sans" w:hAnsi="Open Sans" w:cs="Open Sans"/>
          <w:sz w:val="16"/>
          <w:szCs w:val="16"/>
        </w:rPr>
        <w:t xml:space="preserve"> Decisions must be taken jointly with cash actors/ CWG members as well as sector WGs/ clusters and the ICCG. </w:t>
      </w:r>
      <w:r w:rsidR="00851A7C">
        <w:t xml:space="preserve"> </w:t>
      </w:r>
    </w:p>
  </w:footnote>
  <w:footnote w:id="9">
    <w:p w14:paraId="00000053" w14:textId="77777777" w:rsidR="00B9078F" w:rsidRDefault="006E1DA5">
      <w:pPr>
        <w:spacing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Response analysis, needs and market assessments across sectors and by CWG members should provide the basis for cash and market-based response modalities and approaches not CWG co-chairs.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FFD" w14:textId="77777777" w:rsidR="00CF6493" w:rsidRDefault="00CF6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955873"/>
      <w:docPartObj>
        <w:docPartGallery w:val="Watermarks"/>
        <w:docPartUnique/>
      </w:docPartObj>
    </w:sdtPr>
    <w:sdtEndPr/>
    <w:sdtContent>
      <w:p w14:paraId="0C122C05" w14:textId="7BA47504" w:rsidR="00CF6493" w:rsidRDefault="008E3D66">
        <w:pPr>
          <w:pStyle w:val="Header"/>
        </w:pPr>
        <w:r>
          <w:rPr>
            <w:noProof/>
          </w:rPr>
          <w:pict w14:anchorId="46949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8815" w14:textId="77777777" w:rsidR="00CF6493" w:rsidRDefault="00CF6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7750"/>
    <w:multiLevelType w:val="multilevel"/>
    <w:tmpl w:val="0B4A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D310B1"/>
    <w:multiLevelType w:val="multilevel"/>
    <w:tmpl w:val="13EEE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764C9A"/>
    <w:multiLevelType w:val="multilevel"/>
    <w:tmpl w:val="FEB61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E87E46"/>
    <w:multiLevelType w:val="multilevel"/>
    <w:tmpl w:val="628062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0617ED"/>
    <w:multiLevelType w:val="multilevel"/>
    <w:tmpl w:val="46C680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8F"/>
    <w:rsid w:val="00017ADA"/>
    <w:rsid w:val="00092A9F"/>
    <w:rsid w:val="002F44CE"/>
    <w:rsid w:val="003B09A5"/>
    <w:rsid w:val="004379E0"/>
    <w:rsid w:val="006E1DA5"/>
    <w:rsid w:val="00746319"/>
    <w:rsid w:val="00851A7C"/>
    <w:rsid w:val="008E3D66"/>
    <w:rsid w:val="008F0A7D"/>
    <w:rsid w:val="009B54D2"/>
    <w:rsid w:val="009F4607"/>
    <w:rsid w:val="00A82CC7"/>
    <w:rsid w:val="00B671F4"/>
    <w:rsid w:val="00B9078F"/>
    <w:rsid w:val="00C34AEB"/>
    <w:rsid w:val="00C73412"/>
    <w:rsid w:val="00CF6493"/>
    <w:rsid w:val="00DD7468"/>
    <w:rsid w:val="00E83D32"/>
    <w:rsid w:val="00EB7C48"/>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3203B"/>
  <w15:docId w15:val="{4E6113F8-4021-4891-8166-88CBB70E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A82CC7"/>
    <w:rPr>
      <w:rFonts w:ascii="Segoe UI" w:hAnsi="Segoe UI" w:cs="Segoe UI" w:hint="default"/>
      <w:sz w:val="18"/>
      <w:szCs w:val="18"/>
    </w:rPr>
  </w:style>
  <w:style w:type="paragraph" w:styleId="Header">
    <w:name w:val="header"/>
    <w:basedOn w:val="Normal"/>
    <w:link w:val="HeaderChar"/>
    <w:uiPriority w:val="99"/>
    <w:unhideWhenUsed/>
    <w:rsid w:val="00CF6493"/>
    <w:pPr>
      <w:tabs>
        <w:tab w:val="center" w:pos="4513"/>
        <w:tab w:val="right" w:pos="9026"/>
      </w:tabs>
      <w:spacing w:line="240" w:lineRule="auto"/>
    </w:pPr>
  </w:style>
  <w:style w:type="character" w:customStyle="1" w:styleId="HeaderChar">
    <w:name w:val="Header Char"/>
    <w:basedOn w:val="DefaultParagraphFont"/>
    <w:link w:val="Header"/>
    <w:uiPriority w:val="99"/>
    <w:rsid w:val="00CF6493"/>
  </w:style>
  <w:style w:type="paragraph" w:styleId="Footer">
    <w:name w:val="footer"/>
    <w:basedOn w:val="Normal"/>
    <w:link w:val="FooterChar"/>
    <w:uiPriority w:val="99"/>
    <w:unhideWhenUsed/>
    <w:rsid w:val="00CF6493"/>
    <w:pPr>
      <w:tabs>
        <w:tab w:val="center" w:pos="4513"/>
        <w:tab w:val="right" w:pos="9026"/>
      </w:tabs>
      <w:spacing w:line="240" w:lineRule="auto"/>
    </w:pPr>
  </w:style>
  <w:style w:type="character" w:customStyle="1" w:styleId="FooterChar">
    <w:name w:val="Footer Char"/>
    <w:basedOn w:val="DefaultParagraphFont"/>
    <w:link w:val="Footer"/>
    <w:uiPriority w:val="99"/>
    <w:rsid w:val="00CF6493"/>
  </w:style>
  <w:style w:type="paragraph" w:styleId="FootnoteText">
    <w:name w:val="footnote text"/>
    <w:basedOn w:val="Normal"/>
    <w:link w:val="FootnoteTextChar"/>
    <w:uiPriority w:val="99"/>
    <w:semiHidden/>
    <w:unhideWhenUsed/>
    <w:rsid w:val="00E83D32"/>
    <w:pPr>
      <w:spacing w:line="240" w:lineRule="auto"/>
    </w:pPr>
    <w:rPr>
      <w:sz w:val="20"/>
      <w:szCs w:val="20"/>
    </w:rPr>
  </w:style>
  <w:style w:type="character" w:customStyle="1" w:styleId="FootnoteTextChar">
    <w:name w:val="Footnote Text Char"/>
    <w:basedOn w:val="DefaultParagraphFont"/>
    <w:link w:val="FootnoteText"/>
    <w:uiPriority w:val="99"/>
    <w:semiHidden/>
    <w:rsid w:val="00E83D32"/>
    <w:rPr>
      <w:sz w:val="20"/>
      <w:szCs w:val="20"/>
    </w:rPr>
  </w:style>
  <w:style w:type="character" w:styleId="FootnoteReference">
    <w:name w:val="footnote reference"/>
    <w:basedOn w:val="DefaultParagraphFont"/>
    <w:uiPriority w:val="99"/>
    <w:semiHidden/>
    <w:unhideWhenUsed/>
    <w:rsid w:val="00E83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lpnetworkorg-my.sharepoint.com/:w:/g/personal/lynn_yoshikawa_calpnetwork_org/EYT3RGmL4s1KkOWY3W8-nAQBUEUkFsh5MOwts0jpYFlxVA?rtime=cVC-SW4a20g" TargetMode="External"/><Relationship Id="rId13" Type="http://schemas.openxmlformats.org/officeDocument/2006/relationships/hyperlink" Target="https://socialprotection.org/connect/communities/social-protection-crisis-contexts/spiac-b-working-group-linking-humanitaria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lpnetwor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pnetwork.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www.calpnetwork.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nteragencystandingcommittee.org/global-cash-advisory-group"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558AA3164D1444B617C51EFD01FA2C" ma:contentTypeVersion="12" ma:contentTypeDescription="Create a new document." ma:contentTypeScope="" ma:versionID="5afd18892a2884764f9ad0716a8180f7">
  <xsd:schema xmlns:xsd="http://www.w3.org/2001/XMLSchema" xmlns:xs="http://www.w3.org/2001/XMLSchema" xmlns:p="http://schemas.microsoft.com/office/2006/metadata/properties" xmlns:ns2="12768028-7805-49b9-b8a7-9666da0744a7" xmlns:ns3="2bcea0e6-18d6-43db-b205-329b8545efe2" targetNamespace="http://schemas.microsoft.com/office/2006/metadata/properties" ma:root="true" ma:fieldsID="6ee528691af685ecdaae9b4922579c04" ns2:_="" ns3:_="">
    <xsd:import namespace="12768028-7805-49b9-b8a7-9666da0744a7"/>
    <xsd:import namespace="2bcea0e6-18d6-43db-b205-329b8545ef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68028-7805-49b9-b8a7-9666da074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cea0e6-18d6-43db-b205-329b8545efe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005b97a-a5f2-4c88-91fc-2d53a9c77381}" ma:internalName="TaxCatchAll" ma:showField="CatchAllData" ma:web="2bcea0e6-18d6-43db-b205-329b8545efe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bcea0e6-18d6-43db-b205-329b8545efe2" xsi:nil="true"/>
    <lcf76f155ced4ddcb4097134ff3c332f xmlns="12768028-7805-49b9-b8a7-9666da0744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F58146-F0C7-4279-A8CB-31EBC4330C62}">
  <ds:schemaRefs>
    <ds:schemaRef ds:uri="http://schemas.openxmlformats.org/officeDocument/2006/bibliography"/>
  </ds:schemaRefs>
</ds:datastoreItem>
</file>

<file path=customXml/itemProps2.xml><?xml version="1.0" encoding="utf-8"?>
<ds:datastoreItem xmlns:ds="http://schemas.openxmlformats.org/officeDocument/2006/customXml" ds:itemID="{A939F11A-07BA-479A-ABD7-B7C6FE33F02C}"/>
</file>

<file path=customXml/itemProps3.xml><?xml version="1.0" encoding="utf-8"?>
<ds:datastoreItem xmlns:ds="http://schemas.openxmlformats.org/officeDocument/2006/customXml" ds:itemID="{B0A98489-2F75-4CA4-B4EA-335E86C4E84A}"/>
</file>

<file path=customXml/itemProps4.xml><?xml version="1.0" encoding="utf-8"?>
<ds:datastoreItem xmlns:ds="http://schemas.openxmlformats.org/officeDocument/2006/customXml" ds:itemID="{F4E7C261-A48F-4AFE-B83A-BE9E860C6C01}"/>
</file>

<file path=docProps/app.xml><?xml version="1.0" encoding="utf-8"?>
<Properties xmlns="http://schemas.openxmlformats.org/officeDocument/2006/extended-properties" xmlns:vt="http://schemas.openxmlformats.org/officeDocument/2006/docPropsVTypes">
  <Template>Normal.dotm</Template>
  <TotalTime>1</TotalTime>
  <Pages>3</Pages>
  <Words>1395</Words>
  <Characters>8460</Characters>
  <Application>Microsoft Office Word</Application>
  <DocSecurity>0</DocSecurity>
  <Lines>100</Lines>
  <Paragraphs>1</Paragraphs>
  <ScaleCrop>false</ScaleCrop>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Juliet Lang</cp:lastModifiedBy>
  <cp:revision>3</cp:revision>
  <dcterms:created xsi:type="dcterms:W3CDTF">2023-05-19T10:31:00Z</dcterms:created>
  <dcterms:modified xsi:type="dcterms:W3CDTF">2023-05-19T10:31:00Z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0x01010038558AA3164D1444B617C51EFD01FA2C</vt:lpwstr>
  </property>
</Properties>
</file>