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30626" w14:textId="4F11AC4E" w:rsidR="00661F23" w:rsidRPr="00AF6F07" w:rsidRDefault="00D6674D" w:rsidP="00661F23">
      <w:pPr>
        <w:tabs>
          <w:tab w:val="left" w:pos="6150"/>
        </w:tabs>
        <w:spacing w:line="259" w:lineRule="auto"/>
        <w:jc w:val="center"/>
        <w:rPr>
          <w:rFonts w:asciiTheme="majorHAnsi" w:hAnsiTheme="majorHAnsi" w:cs="Arial"/>
          <w:color w:val="6E6E6E" w:themeColor="accent1" w:themeShade="80"/>
          <w:spacing w:val="-80"/>
          <w:sz w:val="72"/>
          <w:szCs w:val="72"/>
        </w:rPr>
      </w:pPr>
      <w:bookmarkStart w:id="0" w:name="_GoBack"/>
      <w:bookmarkEnd w:id="0"/>
      <w:r w:rsidRPr="007D1609">
        <w:rPr>
          <w:rFonts w:asciiTheme="majorHAnsi" w:hAnsiTheme="majorHAnsi"/>
          <w:noProof/>
          <w:lang w:val="en-US"/>
        </w:rPr>
        <w:drawing>
          <wp:anchor distT="0" distB="0" distL="114300" distR="114300" simplePos="0" relativeHeight="251879424" behindDoc="0" locked="0" layoutInCell="1" allowOverlap="1" wp14:anchorId="5B61AB56" wp14:editId="0E46D979">
            <wp:simplePos x="0" y="0"/>
            <wp:positionH relativeFrom="margin">
              <wp:align>left</wp:align>
            </wp:positionH>
            <wp:positionV relativeFrom="paragraph">
              <wp:posOffset>-705485</wp:posOffset>
            </wp:positionV>
            <wp:extent cx="780871" cy="1274007"/>
            <wp:effectExtent l="0" t="0" r="635" b="0"/>
            <wp:wrapNone/>
            <wp:docPr id="12" name="Picture 12" descr="C:\Users\LANDBA~1\AppData\Local\Temp\Rar$DIa0.500\CVFlogo_CMYK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BA~1\AppData\Local\Temp\Rar$DIa0.500\CVFlogo_CMYK_V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871" cy="1274007"/>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49" w:rsidRPr="007D1609">
        <w:rPr>
          <w:rFonts w:asciiTheme="majorHAnsi" w:hAnsiTheme="majorHAnsi" w:cs="Arial"/>
          <w:color w:val="6E6E6E" w:themeColor="accent1" w:themeShade="80"/>
          <w:spacing w:val="-80"/>
          <w:sz w:val="96"/>
          <w:szCs w:val="30"/>
        </w:rPr>
        <w:t xml:space="preserve"> </w:t>
      </w:r>
      <w:r>
        <w:rPr>
          <w:rFonts w:asciiTheme="majorHAnsi" w:hAnsiTheme="majorHAnsi" w:cs="Arial"/>
          <w:color w:val="6E6E6E" w:themeColor="accent1" w:themeShade="80"/>
          <w:spacing w:val="-80"/>
          <w:sz w:val="96"/>
          <w:szCs w:val="30"/>
        </w:rPr>
        <w:t xml:space="preserve">   </w:t>
      </w:r>
      <w:r w:rsidR="00AF6F07" w:rsidRPr="00AF6F07">
        <w:rPr>
          <w:rFonts w:asciiTheme="majorHAnsi" w:hAnsiTheme="majorHAnsi" w:cs="Arial"/>
          <w:color w:val="6E6E6E" w:themeColor="accent1" w:themeShade="80"/>
          <w:spacing w:val="-80"/>
          <w:sz w:val="72"/>
          <w:szCs w:val="72"/>
        </w:rPr>
        <w:t xml:space="preserve">Global </w:t>
      </w:r>
      <w:r w:rsidR="000B3E49" w:rsidRPr="00AF6F07">
        <w:rPr>
          <w:rFonts w:asciiTheme="majorHAnsi" w:hAnsiTheme="majorHAnsi" w:cs="Arial"/>
          <w:color w:val="6E6E6E" w:themeColor="accent1" w:themeShade="80"/>
          <w:spacing w:val="-80"/>
          <w:sz w:val="72"/>
          <w:szCs w:val="72"/>
        </w:rPr>
        <w:t>Preparedness</w:t>
      </w:r>
      <w:r w:rsidR="00AF6F07" w:rsidRPr="00AF6F07">
        <w:rPr>
          <w:rFonts w:asciiTheme="majorHAnsi" w:hAnsiTheme="majorHAnsi" w:cs="Arial"/>
          <w:color w:val="6E6E6E" w:themeColor="accent1" w:themeShade="80"/>
          <w:spacing w:val="-80"/>
          <w:sz w:val="72"/>
          <w:szCs w:val="72"/>
        </w:rPr>
        <w:t xml:space="preserve"> Partnership</w:t>
      </w:r>
    </w:p>
    <w:p w14:paraId="0E2EDEB4" w14:textId="706D1B12" w:rsidR="00252814" w:rsidRPr="007D1609" w:rsidRDefault="00252814" w:rsidP="00661F23">
      <w:pPr>
        <w:tabs>
          <w:tab w:val="left" w:pos="6150"/>
        </w:tabs>
        <w:spacing w:line="259" w:lineRule="auto"/>
        <w:jc w:val="center"/>
        <w:rPr>
          <w:rFonts w:asciiTheme="majorHAnsi" w:hAnsiTheme="majorHAnsi" w:cs="Arial"/>
          <w:color w:val="6E6E6E" w:themeColor="accent1" w:themeShade="80"/>
          <w:sz w:val="48"/>
          <w:szCs w:val="30"/>
        </w:rPr>
      </w:pPr>
      <w:r w:rsidRPr="007D1609">
        <w:rPr>
          <w:rFonts w:asciiTheme="majorHAnsi" w:hAnsiTheme="majorHAnsi" w:cs="Arial"/>
          <w:color w:val="6E6E6E" w:themeColor="accent1" w:themeShade="80"/>
          <w:sz w:val="36"/>
          <w:szCs w:val="30"/>
        </w:rPr>
        <w:t>Preparedness paves the way towards ending emergency needs</w:t>
      </w:r>
    </w:p>
    <w:p w14:paraId="5149ADEF" w14:textId="77777777" w:rsidR="00661F23" w:rsidRPr="007D1609" w:rsidRDefault="00661F23" w:rsidP="00FB489B">
      <w:pPr>
        <w:pStyle w:val="Heading2"/>
        <w:pBdr>
          <w:bottom w:val="single" w:sz="6" w:space="9" w:color="auto"/>
        </w:pBdr>
        <w:spacing w:before="0" w:line="259" w:lineRule="auto"/>
        <w:jc w:val="center"/>
        <w:rPr>
          <w:rFonts w:asciiTheme="majorHAnsi" w:eastAsiaTheme="majorEastAsia" w:hAnsiTheme="majorHAnsi" w:cstheme="majorBidi"/>
          <w:b/>
          <w:bCs/>
          <w:color w:val="DDDDDD" w:themeColor="accent1"/>
          <w:sz w:val="12"/>
          <w:szCs w:val="22"/>
          <w:lang w:val="en-US" w:eastAsia="en-US"/>
        </w:rPr>
      </w:pPr>
    </w:p>
    <w:p w14:paraId="30512D56" w14:textId="662F8B84" w:rsidR="00252814" w:rsidRPr="007D1609" w:rsidRDefault="00FB489B" w:rsidP="00FB489B">
      <w:pPr>
        <w:pStyle w:val="Heading2"/>
        <w:pBdr>
          <w:bottom w:val="single" w:sz="6" w:space="9" w:color="auto"/>
        </w:pBdr>
        <w:spacing w:before="0" w:line="259" w:lineRule="auto"/>
        <w:jc w:val="center"/>
        <w:rPr>
          <w:rFonts w:asciiTheme="majorHAnsi" w:eastAsiaTheme="majorEastAsia" w:hAnsiTheme="majorHAnsi" w:cstheme="majorBidi"/>
          <w:b/>
          <w:bCs/>
          <w:color w:val="DDDDDD" w:themeColor="accent1"/>
          <w:sz w:val="12"/>
          <w:szCs w:val="22"/>
          <w:lang w:val="en-US" w:eastAsia="en-US"/>
        </w:rPr>
      </w:pPr>
      <w:r>
        <w:rPr>
          <w:rFonts w:asciiTheme="majorHAnsi" w:hAnsiTheme="majorHAnsi" w:cs="Helv"/>
          <w:bCs/>
          <w:noProof/>
          <w:color w:val="DDDDDD" w:themeColor="accent1"/>
          <w:sz w:val="22"/>
          <w:szCs w:val="22"/>
          <w:lang w:val="en-US" w:eastAsia="en-US"/>
        </w:rPr>
        <mc:AlternateContent>
          <mc:Choice Requires="wps">
            <w:drawing>
              <wp:anchor distT="0" distB="0" distL="114300" distR="114300" simplePos="0" relativeHeight="251877376" behindDoc="0" locked="0" layoutInCell="1" allowOverlap="1" wp14:anchorId="7C1D1A8E" wp14:editId="72270680">
                <wp:simplePos x="0" y="0"/>
                <wp:positionH relativeFrom="margin">
                  <wp:align>right</wp:align>
                </wp:positionH>
                <wp:positionV relativeFrom="paragraph">
                  <wp:posOffset>3840480</wp:posOffset>
                </wp:positionV>
                <wp:extent cx="914400" cy="200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A859A" w14:textId="62C38758" w:rsidR="00711018" w:rsidRPr="00FB489B" w:rsidRDefault="00711018">
                            <w:pPr>
                              <w:rPr>
                                <w:color w:val="5F5F5F" w:themeColor="accent4" w:themeShade="BF"/>
                                <w:sz w:val="16"/>
                                <w:lang w:val="en-US"/>
                              </w:rPr>
                            </w:pPr>
                            <w:r w:rsidRPr="00FB489B">
                              <w:rPr>
                                <w:color w:val="5F5F5F" w:themeColor="accent4" w:themeShade="BF"/>
                                <w:sz w:val="16"/>
                                <w:lang w:val="en-US"/>
                              </w:rPr>
                              <w:t>Northe</w:t>
                            </w:r>
                            <w:r w:rsidR="00FB489B">
                              <w:rPr>
                                <w:color w:val="5F5F5F" w:themeColor="accent4" w:themeShade="BF"/>
                                <w:sz w:val="16"/>
                                <w:lang w:val="en-US"/>
                              </w:rPr>
                              <w:t>r</w:t>
                            </w:r>
                            <w:r w:rsidRPr="00FB489B">
                              <w:rPr>
                                <w:color w:val="5F5F5F" w:themeColor="accent4" w:themeShade="BF"/>
                                <w:sz w:val="16"/>
                                <w:lang w:val="en-US"/>
                              </w:rPr>
                              <w:t xml:space="preserve">n Mindanao, </w:t>
                            </w:r>
                            <w:r w:rsidR="00FB489B" w:rsidRPr="00FB489B">
                              <w:rPr>
                                <w:color w:val="5F5F5F" w:themeColor="accent4" w:themeShade="BF"/>
                                <w:sz w:val="16"/>
                                <w:lang w:val="en-US"/>
                              </w:rPr>
                              <w:t>the</w:t>
                            </w:r>
                            <w:r w:rsidRPr="00FB489B">
                              <w:rPr>
                                <w:color w:val="5F5F5F" w:themeColor="accent4" w:themeShade="BF"/>
                                <w:sz w:val="16"/>
                                <w:lang w:val="en-US"/>
                              </w:rPr>
                              <w:t xml:space="preserve"> Philippines, December 2011. Credit: UNICEF / </w:t>
                            </w:r>
                            <w:proofErr w:type="spellStart"/>
                            <w:r w:rsidRPr="00FB489B">
                              <w:rPr>
                                <w:color w:val="5F5F5F" w:themeColor="accent4" w:themeShade="BF"/>
                                <w:sz w:val="16"/>
                                <w:lang w:val="en-US"/>
                              </w:rPr>
                              <w:t>J.Maitem</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1D1A8E" id="_x0000_t202" coordsize="21600,21600" o:spt="202" path="m,l,21600r21600,l21600,xe">
                <v:stroke joinstyle="miter"/>
                <v:path gradientshapeok="t" o:connecttype="rect"/>
              </v:shapetype>
              <v:shape id="Text Box 10" o:spid="_x0000_s1026" type="#_x0000_t202" style="position:absolute;left:0;text-align:left;margin-left:20.8pt;margin-top:302.4pt;width:1in;height:15.75pt;z-index:25187737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" filled="f" stroked="f" strokeweight=".5pt">
                <v:textbox>
                  <w:txbxContent>
                    <w:p w14:paraId="015A859A" w14:textId="62C38758" w:rsidR="00711018" w:rsidRPr="00FB489B" w:rsidRDefault="00711018">
                      <w:pPr>
                        <w:rPr>
                          <w:color w:val="5F5F5F" w:themeColor="accent4" w:themeShade="BF"/>
                          <w:sz w:val="16"/>
                          <w:lang w:val="en-US"/>
                        </w:rPr>
                      </w:pPr>
                      <w:r w:rsidRPr="00FB489B">
                        <w:rPr>
                          <w:color w:val="5F5F5F" w:themeColor="accent4" w:themeShade="BF"/>
                          <w:sz w:val="16"/>
                          <w:lang w:val="en-US"/>
                        </w:rPr>
                        <w:t>Northe</w:t>
                      </w:r>
                      <w:r w:rsidR="00FB489B">
                        <w:rPr>
                          <w:color w:val="5F5F5F" w:themeColor="accent4" w:themeShade="BF"/>
                          <w:sz w:val="16"/>
                          <w:lang w:val="en-US"/>
                        </w:rPr>
                        <w:t>r</w:t>
                      </w:r>
                      <w:r w:rsidRPr="00FB489B">
                        <w:rPr>
                          <w:color w:val="5F5F5F" w:themeColor="accent4" w:themeShade="BF"/>
                          <w:sz w:val="16"/>
                          <w:lang w:val="en-US"/>
                        </w:rPr>
                        <w:t xml:space="preserve">n Mindanao, </w:t>
                      </w:r>
                      <w:r w:rsidR="00FB489B" w:rsidRPr="00FB489B">
                        <w:rPr>
                          <w:color w:val="5F5F5F" w:themeColor="accent4" w:themeShade="BF"/>
                          <w:sz w:val="16"/>
                          <w:lang w:val="en-US"/>
                        </w:rPr>
                        <w:t>the</w:t>
                      </w:r>
                      <w:r w:rsidRPr="00FB489B">
                        <w:rPr>
                          <w:color w:val="5F5F5F" w:themeColor="accent4" w:themeShade="BF"/>
                          <w:sz w:val="16"/>
                          <w:lang w:val="en-US"/>
                        </w:rPr>
                        <w:t xml:space="preserve"> Philippines, December 2011. Credit: UNICEF / </w:t>
                      </w:r>
                      <w:proofErr w:type="spellStart"/>
                      <w:r w:rsidRPr="00FB489B">
                        <w:rPr>
                          <w:color w:val="5F5F5F" w:themeColor="accent4" w:themeShade="BF"/>
                          <w:sz w:val="16"/>
                          <w:lang w:val="en-US"/>
                        </w:rPr>
                        <w:t>J.Maitem</w:t>
                      </w:r>
                      <w:proofErr w:type="spellEnd"/>
                    </w:p>
                  </w:txbxContent>
                </v:textbox>
                <w10:wrap anchorx="margin"/>
              </v:shape>
            </w:pict>
          </mc:Fallback>
        </mc:AlternateContent>
      </w:r>
      <w:r w:rsidR="00252814" w:rsidRPr="007D1609">
        <w:rPr>
          <w:rFonts w:asciiTheme="majorHAnsi" w:hAnsiTheme="majorHAnsi"/>
          <w:noProof/>
          <w:lang w:val="en-US" w:eastAsia="en-US"/>
        </w:rPr>
        <w:drawing>
          <wp:inline distT="0" distB="0" distL="0" distR="0" wp14:anchorId="767A024D" wp14:editId="37ECB029">
            <wp:extent cx="5789295" cy="3874149"/>
            <wp:effectExtent l="0" t="0" r="1905" b="0"/>
            <wp:docPr id="4" name="Picture 4" descr="http://www.unocha.org/sites/default/files/OCHA_Category/What%20We%20Do/Philipp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ocha.org/sites/default/files/OCHA_Category/What%20We%20Do/Philipp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295" cy="3874149"/>
                    </a:xfrm>
                    <a:prstGeom prst="rect">
                      <a:avLst/>
                    </a:prstGeom>
                    <a:noFill/>
                    <a:ln>
                      <a:noFill/>
                    </a:ln>
                  </pic:spPr>
                </pic:pic>
              </a:graphicData>
            </a:graphic>
          </wp:inline>
        </w:drawing>
      </w:r>
    </w:p>
    <w:p w14:paraId="7FEF7EEF" w14:textId="77777777" w:rsidR="00661F23" w:rsidRPr="007D1609" w:rsidRDefault="00661F23" w:rsidP="00FB489B">
      <w:pPr>
        <w:pStyle w:val="Heading2"/>
        <w:pBdr>
          <w:bottom w:val="single" w:sz="6" w:space="9" w:color="auto"/>
        </w:pBdr>
        <w:spacing w:before="0" w:line="259" w:lineRule="auto"/>
        <w:jc w:val="center"/>
        <w:rPr>
          <w:rFonts w:asciiTheme="majorHAnsi" w:eastAsiaTheme="majorEastAsia" w:hAnsiTheme="majorHAnsi" w:cstheme="majorBidi"/>
          <w:b/>
          <w:bCs/>
          <w:color w:val="DDDDDD" w:themeColor="accent1"/>
          <w:sz w:val="12"/>
          <w:szCs w:val="22"/>
          <w:lang w:val="en-US" w:eastAsia="en-US"/>
        </w:rPr>
      </w:pPr>
    </w:p>
    <w:p w14:paraId="5C6DE449" w14:textId="77777777" w:rsidR="00D6674D" w:rsidRDefault="00D6674D" w:rsidP="00AF6F07">
      <w:pPr>
        <w:pStyle w:val="Heading2"/>
        <w:spacing w:after="120" w:line="259" w:lineRule="auto"/>
        <w:jc w:val="both"/>
        <w:rPr>
          <w:rFonts w:asciiTheme="minorHAnsi" w:eastAsiaTheme="minorHAnsi" w:hAnsiTheme="minorHAnsi" w:cstheme="minorBidi"/>
          <w:color w:val="auto"/>
          <w:sz w:val="28"/>
          <w:szCs w:val="28"/>
          <w:lang w:val="en-US" w:eastAsia="en-US"/>
        </w:rPr>
      </w:pPr>
    </w:p>
    <w:p w14:paraId="2FC80A9B" w14:textId="4A90B1C3" w:rsidR="00AF6F07" w:rsidRDefault="00AF6F07" w:rsidP="00AF6F07">
      <w:pPr>
        <w:pStyle w:val="Heading2"/>
        <w:spacing w:after="120" w:line="259" w:lineRule="auto"/>
        <w:jc w:val="both"/>
        <w:rPr>
          <w:rFonts w:asciiTheme="minorHAnsi" w:eastAsiaTheme="minorHAnsi" w:hAnsiTheme="minorHAnsi" w:cstheme="minorBidi"/>
          <w:color w:val="auto"/>
          <w:sz w:val="28"/>
          <w:szCs w:val="28"/>
          <w:lang w:eastAsia="en-US"/>
        </w:rPr>
      </w:pPr>
      <w:r w:rsidRPr="00AF6F07">
        <w:rPr>
          <w:rFonts w:asciiTheme="minorHAnsi" w:eastAsiaTheme="minorHAnsi" w:hAnsiTheme="minorHAnsi" w:cstheme="minorBidi"/>
          <w:color w:val="auto"/>
          <w:sz w:val="28"/>
          <w:szCs w:val="28"/>
          <w:lang w:val="en-US" w:eastAsia="en-US"/>
        </w:rPr>
        <w:t xml:space="preserve">The </w:t>
      </w:r>
      <w:r w:rsidR="00F0666F" w:rsidRPr="00F0666F">
        <w:rPr>
          <w:rFonts w:asciiTheme="minorHAnsi" w:eastAsiaTheme="minorHAnsi" w:hAnsiTheme="minorHAnsi" w:cstheme="minorBidi"/>
          <w:color w:val="auto"/>
          <w:sz w:val="28"/>
          <w:szCs w:val="28"/>
          <w:lang w:eastAsia="en-US"/>
        </w:rPr>
        <w:t>Gl</w:t>
      </w:r>
      <w:r w:rsidR="00FA7E7C">
        <w:rPr>
          <w:rFonts w:asciiTheme="minorHAnsi" w:eastAsiaTheme="minorHAnsi" w:hAnsiTheme="minorHAnsi" w:cstheme="minorBidi"/>
          <w:color w:val="auto"/>
          <w:sz w:val="28"/>
          <w:szCs w:val="28"/>
          <w:lang w:eastAsia="en-US"/>
        </w:rPr>
        <w:t>obal Preparedness Partnership (GPP</w:t>
      </w:r>
      <w:r w:rsidR="00F0666F" w:rsidRPr="00F0666F">
        <w:rPr>
          <w:rFonts w:asciiTheme="minorHAnsi" w:eastAsiaTheme="minorHAnsi" w:hAnsiTheme="minorHAnsi" w:cstheme="minorBidi"/>
          <w:color w:val="auto"/>
          <w:sz w:val="28"/>
          <w:szCs w:val="28"/>
          <w:lang w:eastAsia="en-US"/>
        </w:rPr>
        <w:t>) between the Vulnerable Twenty Group (V20)</w:t>
      </w:r>
      <w:r w:rsidR="00F0666F" w:rsidRPr="00F0666F">
        <w:rPr>
          <w:rFonts w:asciiTheme="minorHAnsi" w:eastAsiaTheme="minorHAnsi" w:hAnsiTheme="minorHAnsi" w:cstheme="minorBidi"/>
          <w:color w:val="auto"/>
          <w:sz w:val="28"/>
          <w:szCs w:val="28"/>
          <w:vertAlign w:val="superscript"/>
          <w:lang w:eastAsia="en-US"/>
        </w:rPr>
        <w:footnoteReference w:id="1"/>
      </w:r>
      <w:r w:rsidR="00F0666F" w:rsidRPr="00F0666F">
        <w:rPr>
          <w:rFonts w:asciiTheme="minorHAnsi" w:eastAsiaTheme="minorHAnsi" w:hAnsiTheme="minorHAnsi" w:cstheme="minorBidi"/>
          <w:color w:val="auto"/>
          <w:sz w:val="28"/>
          <w:szCs w:val="28"/>
          <w:lang w:eastAsia="en-US"/>
        </w:rPr>
        <w:t xml:space="preserve">, donors and multilateral organizations to strengthen national and local preparedness and develop predictable arrangements for response and recovery in countries most at-risk to the impact of climate change and disasters. </w:t>
      </w:r>
      <w:r w:rsidR="00F0666F" w:rsidRPr="00F0666F">
        <w:rPr>
          <w:rFonts w:asciiTheme="minorHAnsi" w:eastAsiaTheme="minorHAnsi" w:hAnsiTheme="minorHAnsi" w:cstheme="minorBidi"/>
          <w:color w:val="auto"/>
          <w:sz w:val="28"/>
          <w:szCs w:val="28"/>
          <w:lang w:val="en-US" w:eastAsia="en-US"/>
        </w:rPr>
        <w:t xml:space="preserve">The </w:t>
      </w:r>
      <w:r w:rsidR="00F0666F" w:rsidRPr="00D6674D">
        <w:rPr>
          <w:rFonts w:asciiTheme="minorHAnsi" w:eastAsiaTheme="minorHAnsi" w:hAnsiTheme="minorHAnsi" w:cstheme="minorBidi"/>
          <w:b/>
          <w:color w:val="auto"/>
          <w:sz w:val="28"/>
          <w:szCs w:val="28"/>
          <w:lang w:val="en-US" w:eastAsia="en-US"/>
        </w:rPr>
        <w:t>goal</w:t>
      </w:r>
      <w:r w:rsidR="00F0666F" w:rsidRPr="00F0666F">
        <w:rPr>
          <w:rFonts w:asciiTheme="minorHAnsi" w:eastAsiaTheme="minorHAnsi" w:hAnsiTheme="minorHAnsi" w:cstheme="minorBidi"/>
          <w:color w:val="auto"/>
          <w:sz w:val="28"/>
          <w:szCs w:val="28"/>
          <w:lang w:val="en-US" w:eastAsia="en-US"/>
        </w:rPr>
        <w:t xml:space="preserve"> of the GPP is to support countries reach an essential level of readiness, so that situations do not spiral out of control and development gains are not lost when hazards strike.  This partnership will initially focus on </w:t>
      </w:r>
      <w:r w:rsidR="00F0666F" w:rsidRPr="00F0666F">
        <w:rPr>
          <w:rFonts w:asciiTheme="minorHAnsi" w:eastAsiaTheme="minorHAnsi" w:hAnsiTheme="minorHAnsi" w:cstheme="minorBidi"/>
          <w:color w:val="auto"/>
          <w:sz w:val="28"/>
          <w:szCs w:val="28"/>
          <w:lang w:eastAsia="en-US"/>
        </w:rPr>
        <w:t>20 countries, so they reach an agreed level of readiness by 2020.</w:t>
      </w:r>
    </w:p>
    <w:p w14:paraId="20BA168F" w14:textId="284BA25E" w:rsidR="00252814" w:rsidRPr="00971121" w:rsidRDefault="00AF6F07" w:rsidP="00AF6F07">
      <w:pPr>
        <w:pStyle w:val="Heading2"/>
        <w:spacing w:after="120" w:line="259" w:lineRule="auto"/>
        <w:jc w:val="center"/>
        <w:rPr>
          <w:rFonts w:asciiTheme="majorHAnsi" w:hAnsiTheme="majorHAnsi"/>
          <w:b/>
          <w:color w:val="373737" w:themeColor="accent1" w:themeShade="40"/>
          <w:sz w:val="28"/>
          <w:szCs w:val="28"/>
          <w:lang w:val="en-US"/>
        </w:rPr>
      </w:pPr>
      <w:r w:rsidRPr="00971121">
        <w:rPr>
          <w:rFonts w:asciiTheme="majorHAnsi" w:hAnsiTheme="majorHAnsi" w:cs="Helv"/>
          <w:b/>
          <w:bCs/>
          <w:color w:val="373737" w:themeColor="accent1" w:themeShade="40"/>
          <w:sz w:val="28"/>
          <w:lang w:val="en-US"/>
        </w:rPr>
        <w:t>May 2016</w:t>
      </w:r>
    </w:p>
    <w:p w14:paraId="40D5BFDD" w14:textId="77777777" w:rsidR="00661F23" w:rsidRPr="007D1609" w:rsidRDefault="00661F23" w:rsidP="00661F23">
      <w:pPr>
        <w:pStyle w:val="Heading2"/>
        <w:pBdr>
          <w:bottom w:val="single" w:sz="6" w:space="1" w:color="auto"/>
        </w:pBdr>
        <w:spacing w:before="0" w:after="120" w:line="259" w:lineRule="auto"/>
        <w:jc w:val="both"/>
        <w:rPr>
          <w:rFonts w:asciiTheme="majorHAnsi" w:eastAsiaTheme="minorHAnsi" w:hAnsiTheme="majorHAnsi" w:cstheme="minorBidi"/>
          <w:color w:val="auto"/>
          <w:sz w:val="2"/>
          <w:szCs w:val="22"/>
          <w:lang w:eastAsia="en-US"/>
        </w:rPr>
      </w:pPr>
    </w:p>
    <w:p w14:paraId="12558BA9" w14:textId="650092AB" w:rsidR="00AF6F07" w:rsidRPr="00BA6931" w:rsidRDefault="00252814" w:rsidP="00661F23">
      <w:pPr>
        <w:pStyle w:val="Heading2"/>
        <w:spacing w:before="0" w:after="120" w:line="259" w:lineRule="auto"/>
        <w:jc w:val="both"/>
        <w:rPr>
          <w:rFonts w:asciiTheme="majorHAnsi" w:eastAsiaTheme="majorEastAsia" w:hAnsiTheme="majorHAnsi" w:cstheme="majorBidi"/>
          <w:b/>
          <w:bCs/>
          <w:color w:val="C00000"/>
          <w:sz w:val="28"/>
          <w:szCs w:val="26"/>
          <w:lang w:val="en-US" w:eastAsia="en-US"/>
        </w:rPr>
      </w:pPr>
      <w:r w:rsidRPr="00BA6931">
        <w:rPr>
          <w:rFonts w:asciiTheme="majorHAnsi" w:eastAsiaTheme="majorEastAsia" w:hAnsiTheme="majorHAnsi" w:cstheme="majorBidi"/>
          <w:b/>
          <w:bCs/>
          <w:color w:val="C00000"/>
          <w:sz w:val="28"/>
          <w:szCs w:val="26"/>
          <w:lang w:val="en-US" w:eastAsia="en-US"/>
        </w:rPr>
        <w:lastRenderedPageBreak/>
        <w:t xml:space="preserve">WHY </w:t>
      </w:r>
      <w:r w:rsidR="00AF6F07">
        <w:rPr>
          <w:rFonts w:asciiTheme="majorHAnsi" w:eastAsiaTheme="majorEastAsia" w:hAnsiTheme="majorHAnsi" w:cstheme="majorBidi"/>
          <w:b/>
          <w:bCs/>
          <w:color w:val="C00000"/>
          <w:sz w:val="28"/>
          <w:szCs w:val="26"/>
          <w:lang w:val="en-US" w:eastAsia="en-US"/>
        </w:rPr>
        <w:t>partner</w:t>
      </w:r>
      <w:r w:rsidR="00F10284" w:rsidRPr="00BA6931">
        <w:rPr>
          <w:rFonts w:asciiTheme="majorHAnsi" w:eastAsiaTheme="majorEastAsia" w:hAnsiTheme="majorHAnsi" w:cstheme="majorBidi"/>
          <w:b/>
          <w:bCs/>
          <w:color w:val="C00000"/>
          <w:sz w:val="28"/>
          <w:szCs w:val="26"/>
          <w:lang w:val="en-US" w:eastAsia="en-US"/>
        </w:rPr>
        <w:t xml:space="preserve"> and </w:t>
      </w:r>
      <w:r w:rsidR="00AF6F07">
        <w:rPr>
          <w:rFonts w:asciiTheme="majorHAnsi" w:eastAsiaTheme="majorEastAsia" w:hAnsiTheme="majorHAnsi" w:cstheme="majorBidi"/>
          <w:b/>
          <w:bCs/>
          <w:color w:val="C00000"/>
          <w:sz w:val="28"/>
          <w:szCs w:val="26"/>
          <w:lang w:val="en-US" w:eastAsia="en-US"/>
        </w:rPr>
        <w:t>pool</w:t>
      </w:r>
      <w:r w:rsidRPr="00BA6931">
        <w:rPr>
          <w:rFonts w:asciiTheme="majorHAnsi" w:eastAsiaTheme="majorEastAsia" w:hAnsiTheme="majorHAnsi" w:cstheme="majorBidi"/>
          <w:b/>
          <w:bCs/>
          <w:color w:val="C00000"/>
          <w:sz w:val="28"/>
          <w:szCs w:val="26"/>
          <w:lang w:val="en-US" w:eastAsia="en-US"/>
        </w:rPr>
        <w:t xml:space="preserve"> resources </w:t>
      </w:r>
      <w:r w:rsidR="00F10284" w:rsidRPr="00BA6931">
        <w:rPr>
          <w:rFonts w:asciiTheme="majorHAnsi" w:eastAsiaTheme="majorEastAsia" w:hAnsiTheme="majorHAnsi" w:cstheme="majorBidi"/>
          <w:b/>
          <w:bCs/>
          <w:color w:val="C00000"/>
          <w:sz w:val="28"/>
          <w:szCs w:val="26"/>
          <w:lang w:val="en-US" w:eastAsia="en-US"/>
        </w:rPr>
        <w:t xml:space="preserve">to boost </w:t>
      </w:r>
      <w:r w:rsidRPr="00BA6931">
        <w:rPr>
          <w:rFonts w:asciiTheme="majorHAnsi" w:eastAsiaTheme="majorEastAsia" w:hAnsiTheme="majorHAnsi" w:cstheme="majorBidi"/>
          <w:b/>
          <w:bCs/>
          <w:color w:val="C00000"/>
          <w:sz w:val="28"/>
          <w:szCs w:val="26"/>
          <w:lang w:val="en-US" w:eastAsia="en-US"/>
        </w:rPr>
        <w:t>emergency preparedness?</w:t>
      </w:r>
    </w:p>
    <w:p w14:paraId="77B7A7B5" w14:textId="1075FFD8" w:rsidR="00D6674D" w:rsidRPr="00D6674D" w:rsidRDefault="00F10284" w:rsidP="00D6674D">
      <w:pPr>
        <w:pStyle w:val="Heading2"/>
        <w:numPr>
          <w:ilvl w:val="0"/>
          <w:numId w:val="10"/>
        </w:numPr>
        <w:spacing w:after="120" w:line="259" w:lineRule="auto"/>
        <w:jc w:val="both"/>
        <w:rPr>
          <w:rFonts w:asciiTheme="majorHAnsi" w:eastAsiaTheme="minorHAnsi" w:hAnsiTheme="majorHAnsi" w:cstheme="minorBidi"/>
          <w:color w:val="auto"/>
          <w:sz w:val="20"/>
          <w:szCs w:val="22"/>
          <w:lang w:eastAsia="en-US"/>
        </w:rPr>
      </w:pPr>
      <w:r w:rsidRPr="00613646">
        <w:rPr>
          <w:rFonts w:asciiTheme="majorHAnsi" w:eastAsiaTheme="minorHAnsi" w:hAnsiTheme="majorHAnsi" w:cstheme="minorBidi"/>
          <w:noProof/>
          <w:color w:val="auto"/>
          <w:sz w:val="20"/>
          <w:szCs w:val="22"/>
          <w:lang w:val="en-US" w:eastAsia="en-US"/>
        </w:rPr>
        <mc:AlternateContent>
          <mc:Choice Requires="wps">
            <w:drawing>
              <wp:anchor distT="0" distB="0" distL="114300" distR="114300" simplePos="0" relativeHeight="251718656" behindDoc="1" locked="0" layoutInCell="1" allowOverlap="1" wp14:anchorId="43D2FF32" wp14:editId="31F624CC">
                <wp:simplePos x="0" y="0"/>
                <wp:positionH relativeFrom="column">
                  <wp:posOffset>4086225</wp:posOffset>
                </wp:positionH>
                <wp:positionV relativeFrom="paragraph">
                  <wp:posOffset>35560</wp:posOffset>
                </wp:positionV>
                <wp:extent cx="1714500" cy="19431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7145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43456" w14:textId="4201705B" w:rsidR="00506CDA" w:rsidRPr="00613646" w:rsidRDefault="00506CDA" w:rsidP="00613646">
                            <w:pPr>
                              <w:spacing w:after="0" w:line="240" w:lineRule="auto"/>
                              <w:rPr>
                                <w:rFonts w:asciiTheme="majorHAnsi" w:hAnsiTheme="majorHAnsi"/>
                                <w:sz w:val="20"/>
                              </w:rPr>
                            </w:pPr>
                            <w:r w:rsidRPr="00613646">
                              <w:rPr>
                                <w:rFonts w:asciiTheme="majorHAnsi" w:hAnsiTheme="majorHAnsi"/>
                                <w:color w:val="C00000"/>
                                <w:sz w:val="20"/>
                              </w:rPr>
                              <w:t xml:space="preserve">Preparedness </w:t>
                            </w:r>
                            <w:r w:rsidRPr="00613646">
                              <w:rPr>
                                <w:rFonts w:asciiTheme="majorHAnsi" w:hAnsiTheme="majorHAnsi"/>
                                <w:sz w:val="20"/>
                              </w:rPr>
                              <w:t xml:space="preserve">is </w:t>
                            </w:r>
                            <w:r w:rsidRPr="00613646">
                              <w:rPr>
                                <w:rFonts w:asciiTheme="majorHAnsi" w:hAnsiTheme="majorHAnsi"/>
                                <w:sz w:val="20"/>
                                <w:lang w:val="en-US"/>
                              </w:rPr>
                              <w:t>defined as “the knowledge and capacities developed by governments, professional response and recovery organizations, communities and individuals to effectively anticipate, respond to, and recover from, the impacts of likely, imminent or current hazard events or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FF32" id="Text Box 5" o:spid="_x0000_s1027" type="#_x0000_t202" style="position:absolute;left:0;text-align:left;margin-left:321.75pt;margin-top:2.8pt;width:135pt;height:15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" fillcolor="white [3201]" strokeweight=".5pt">
                <v:textbox>
                  <w:txbxContent>
                    <w:p w14:paraId="14C43456" w14:textId="4201705B" w:rsidR="00506CDA" w:rsidRPr="00613646" w:rsidRDefault="00506CDA" w:rsidP="00613646">
                      <w:pPr>
                        <w:spacing w:after="0" w:line="240" w:lineRule="auto"/>
                        <w:rPr>
                          <w:rFonts w:asciiTheme="majorHAnsi" w:hAnsiTheme="majorHAnsi"/>
                          <w:sz w:val="20"/>
                        </w:rPr>
                      </w:pPr>
                      <w:r w:rsidRPr="00613646">
                        <w:rPr>
                          <w:rFonts w:asciiTheme="majorHAnsi" w:hAnsiTheme="majorHAnsi"/>
                          <w:color w:val="C00000"/>
                          <w:sz w:val="20"/>
                        </w:rPr>
                        <w:t xml:space="preserve">Preparedness </w:t>
                      </w:r>
                      <w:r w:rsidRPr="00613646">
                        <w:rPr>
                          <w:rFonts w:asciiTheme="majorHAnsi" w:hAnsiTheme="majorHAnsi"/>
                          <w:sz w:val="20"/>
                        </w:rPr>
                        <w:t xml:space="preserve">is </w:t>
                      </w:r>
                      <w:r w:rsidRPr="00613646">
                        <w:rPr>
                          <w:rFonts w:asciiTheme="majorHAnsi" w:hAnsiTheme="majorHAnsi"/>
                          <w:sz w:val="20"/>
                          <w:lang w:val="en-US"/>
                        </w:rPr>
                        <w:t>defined as “the knowledge and capacities developed by governments, professional response and recovery organizations, communities and individuals to effectively anticipate, respond to, and recover from, the impacts of likely, imminent or current hazard events or conditions.”</w:t>
                      </w:r>
                    </w:p>
                  </w:txbxContent>
                </v:textbox>
                <w10:wrap type="tight"/>
              </v:shape>
            </w:pict>
          </mc:Fallback>
        </mc:AlternateContent>
      </w:r>
      <w:r w:rsidR="00D6674D" w:rsidRPr="00D6674D">
        <w:rPr>
          <w:rFonts w:asciiTheme="majorHAnsi" w:eastAsiaTheme="minorHAnsi" w:hAnsiTheme="majorHAnsi" w:cstheme="minorBidi"/>
          <w:color w:val="auto"/>
          <w:sz w:val="20"/>
          <w:szCs w:val="22"/>
          <w:lang w:val="en-US" w:eastAsia="en-US"/>
        </w:rPr>
        <w:t xml:space="preserve">Over the past 20 years, </w:t>
      </w:r>
      <w:r w:rsidR="00D6674D" w:rsidRPr="00D6674D">
        <w:rPr>
          <w:rFonts w:asciiTheme="majorHAnsi" w:eastAsiaTheme="minorHAnsi" w:hAnsiTheme="majorHAnsi" w:cstheme="minorBidi"/>
          <w:color w:val="auto"/>
          <w:sz w:val="20"/>
          <w:szCs w:val="22"/>
          <w:lang w:eastAsia="en-US"/>
        </w:rPr>
        <w:t>t</w:t>
      </w:r>
      <w:r w:rsidR="00D6674D" w:rsidRPr="00D6674D">
        <w:rPr>
          <w:rFonts w:asciiTheme="majorHAnsi" w:eastAsiaTheme="minorHAnsi" w:hAnsiTheme="majorHAnsi" w:cstheme="minorBidi"/>
          <w:bCs/>
          <w:color w:val="auto"/>
          <w:sz w:val="20"/>
          <w:szCs w:val="22"/>
          <w:lang w:eastAsia="en-US"/>
        </w:rPr>
        <w:t>yphoons, floods, droughts, earthquakes and other natural hazards</w:t>
      </w:r>
      <w:r w:rsidR="00D6674D" w:rsidRPr="00D6674D">
        <w:rPr>
          <w:rFonts w:asciiTheme="majorHAnsi" w:eastAsiaTheme="minorHAnsi" w:hAnsiTheme="majorHAnsi" w:cstheme="minorBidi"/>
          <w:color w:val="auto"/>
          <w:sz w:val="20"/>
          <w:szCs w:val="22"/>
          <w:lang w:eastAsia="en-US"/>
        </w:rPr>
        <w:t xml:space="preserve"> have </w:t>
      </w:r>
      <w:r w:rsidR="00D6674D" w:rsidRPr="00D6674D">
        <w:rPr>
          <w:rFonts w:asciiTheme="majorHAnsi" w:eastAsiaTheme="minorHAnsi" w:hAnsiTheme="majorHAnsi" w:cstheme="minorBidi"/>
          <w:color w:val="auto"/>
          <w:sz w:val="20"/>
          <w:szCs w:val="22"/>
          <w:lang w:val="en-US" w:eastAsia="en-US"/>
        </w:rPr>
        <w:t>claimed 1.35 million lives and affected on average 218 mil</w:t>
      </w:r>
      <w:r w:rsidR="00D6674D" w:rsidRPr="00D6674D">
        <w:rPr>
          <w:rFonts w:asciiTheme="majorHAnsi" w:eastAsiaTheme="minorHAnsi" w:hAnsiTheme="majorHAnsi" w:cstheme="minorBidi"/>
          <w:color w:val="auto"/>
          <w:sz w:val="20"/>
          <w:szCs w:val="22"/>
          <w:lang w:val="en-US" w:eastAsia="en-US"/>
        </w:rPr>
        <w:softHyphen/>
        <w:t>lion people per year, mostly in developing countries. Disasters– 90% of which are now climate-related – also have devastating effects on socio-economic development with a</w:t>
      </w:r>
      <w:r w:rsidR="00D6674D" w:rsidRPr="00D6674D">
        <w:rPr>
          <w:rFonts w:asciiTheme="majorHAnsi" w:eastAsiaTheme="minorHAnsi" w:hAnsiTheme="majorHAnsi" w:cstheme="minorBidi"/>
          <w:color w:val="auto"/>
          <w:sz w:val="20"/>
          <w:szCs w:val="22"/>
          <w:lang w:eastAsia="en-US"/>
        </w:rPr>
        <w:t xml:space="preserve"> global economic impact since 2005 surpassing USD 1.3 trillion.</w:t>
      </w:r>
      <w:r w:rsidR="00D6674D" w:rsidRPr="00D6674D">
        <w:rPr>
          <w:rFonts w:asciiTheme="majorHAnsi" w:eastAsiaTheme="minorHAnsi" w:hAnsiTheme="majorHAnsi" w:cstheme="minorBidi"/>
          <w:color w:val="auto"/>
          <w:sz w:val="20"/>
          <w:szCs w:val="22"/>
          <w:vertAlign w:val="superscript"/>
          <w:lang w:eastAsia="en-US"/>
        </w:rPr>
        <w:footnoteReference w:id="2"/>
      </w:r>
      <w:r w:rsidR="00D6674D" w:rsidRPr="00D6674D">
        <w:rPr>
          <w:rFonts w:asciiTheme="majorHAnsi" w:eastAsiaTheme="minorHAnsi" w:hAnsiTheme="majorHAnsi" w:cstheme="minorBidi"/>
          <w:color w:val="auto"/>
          <w:sz w:val="20"/>
          <w:szCs w:val="22"/>
          <w:lang w:eastAsia="en-US"/>
        </w:rPr>
        <w:t xml:space="preserve"> </w:t>
      </w:r>
    </w:p>
    <w:p w14:paraId="5BA9B021" w14:textId="77777777" w:rsidR="00D6674D" w:rsidRPr="00D6674D" w:rsidRDefault="00D6674D" w:rsidP="00D6674D">
      <w:pPr>
        <w:pStyle w:val="Heading2"/>
        <w:numPr>
          <w:ilvl w:val="0"/>
          <w:numId w:val="10"/>
        </w:numPr>
        <w:spacing w:after="120" w:line="259" w:lineRule="auto"/>
        <w:rPr>
          <w:rFonts w:asciiTheme="majorHAnsi" w:eastAsiaTheme="minorHAnsi" w:hAnsiTheme="majorHAnsi"/>
          <w:sz w:val="20"/>
        </w:rPr>
      </w:pPr>
      <w:r w:rsidRPr="00D6674D">
        <w:rPr>
          <w:rFonts w:asciiTheme="majorHAnsi" w:eastAsiaTheme="minorHAnsi" w:hAnsiTheme="majorHAnsi"/>
          <w:sz w:val="20"/>
        </w:rPr>
        <w:t xml:space="preserve">Evidence suggests that the frequency and magnitude of extreme weather events will continue to rise. Climate </w:t>
      </w:r>
      <w:r w:rsidRPr="00D6674D">
        <w:rPr>
          <w:rFonts w:asciiTheme="majorHAnsi" w:eastAsiaTheme="minorHAnsi" w:hAnsiTheme="majorHAnsi"/>
          <w:sz w:val="20"/>
          <w:lang w:val="en-US"/>
        </w:rPr>
        <w:t xml:space="preserve">change will increase humanitarian stress by exacerbating underlying vulnerabilities related to food insecurity, water scarcity, conflict and migration. The impacts of shocks may also be intensified by unplanned and rapid urbanization and population growth. At the same time, a range of other hazards can exacerbate the impact of climate change, including conflict, displacement and health threats. </w:t>
      </w:r>
    </w:p>
    <w:p w14:paraId="17D6D90D" w14:textId="77777777" w:rsidR="00D6674D" w:rsidRPr="00D6674D" w:rsidRDefault="00D6674D" w:rsidP="00D6674D">
      <w:pPr>
        <w:pStyle w:val="Heading2"/>
        <w:numPr>
          <w:ilvl w:val="0"/>
          <w:numId w:val="10"/>
        </w:numPr>
        <w:spacing w:after="120" w:line="259" w:lineRule="auto"/>
        <w:rPr>
          <w:rFonts w:asciiTheme="majorHAnsi" w:hAnsiTheme="majorHAnsi"/>
          <w:sz w:val="20"/>
          <w:lang w:val="en-US"/>
        </w:rPr>
      </w:pPr>
      <w:r w:rsidRPr="00D6674D">
        <w:rPr>
          <w:rFonts w:asciiTheme="majorHAnsi" w:hAnsiTheme="majorHAnsi"/>
          <w:sz w:val="20"/>
          <w:lang w:val="en-US"/>
        </w:rPr>
        <w:t>The cost of responding to these and other crises is enormous.  Roughly $70 billion of international financing for humanitarian response from 1990 to 2013 has gone to the range of humanitarian needs in the 43 countries now making up the V20.  During this period, the percentage of ODA dedicated to meeting humanitarian needs at the global level has skyrocketed from 3% to nearly 20%.  Unless there is increased investment in risk reduction and preparedness, resources will be increasingly diverted from longer-term development to short-term response.</w:t>
      </w:r>
    </w:p>
    <w:p w14:paraId="31B8AC0E" w14:textId="26B41118" w:rsidR="00D6674D" w:rsidRDefault="00D6674D" w:rsidP="00776CE5">
      <w:pPr>
        <w:pStyle w:val="Heading2"/>
        <w:numPr>
          <w:ilvl w:val="0"/>
          <w:numId w:val="10"/>
        </w:numPr>
        <w:spacing w:after="120" w:line="259" w:lineRule="auto"/>
        <w:rPr>
          <w:rFonts w:asciiTheme="majorHAnsi" w:hAnsiTheme="majorHAnsi"/>
          <w:bCs/>
          <w:sz w:val="20"/>
        </w:rPr>
      </w:pPr>
      <w:r w:rsidRPr="00D6674D">
        <w:rPr>
          <w:rFonts w:asciiTheme="majorHAnsi" w:hAnsiTheme="majorHAnsi"/>
          <w:sz w:val="20"/>
        </w:rPr>
        <w:t xml:space="preserve">The Sendai Framework for Disaster Risk Reduction 2015-2030, </w:t>
      </w:r>
      <w:r w:rsidRPr="00D6674D">
        <w:rPr>
          <w:rFonts w:asciiTheme="majorHAnsi" w:hAnsiTheme="majorHAnsi"/>
          <w:bCs/>
          <w:sz w:val="20"/>
        </w:rPr>
        <w:t>the 2030 Agenda for Sustainable Development and the Paris Agreement on Climate Change</w:t>
      </w:r>
      <w:r w:rsidRPr="00D6674D">
        <w:rPr>
          <w:rFonts w:asciiTheme="majorHAnsi" w:hAnsiTheme="majorHAnsi"/>
          <w:bCs/>
          <w:sz w:val="20"/>
          <w:lang w:val="en-US"/>
        </w:rPr>
        <w:t xml:space="preserve"> </w:t>
      </w:r>
      <w:r w:rsidRPr="00D6674D">
        <w:rPr>
          <w:rFonts w:asciiTheme="majorHAnsi" w:hAnsiTheme="majorHAnsi"/>
          <w:bCs/>
          <w:sz w:val="20"/>
        </w:rPr>
        <w:t>recognize a need for change. All have</w:t>
      </w:r>
      <w:r w:rsidRPr="00D6674D">
        <w:rPr>
          <w:rFonts w:asciiTheme="majorHAnsi" w:hAnsiTheme="majorHAnsi"/>
          <w:b/>
          <w:bCs/>
          <w:sz w:val="20"/>
        </w:rPr>
        <w:t xml:space="preserve"> </w:t>
      </w:r>
      <w:r w:rsidRPr="00D6674D">
        <w:rPr>
          <w:rFonts w:asciiTheme="majorHAnsi" w:hAnsiTheme="majorHAnsi"/>
          <w:sz w:val="20"/>
        </w:rPr>
        <w:t>embraced the indivisibility of risk from development, and the need to shift from reactive crisis management to investing in prevention and early action.</w:t>
      </w:r>
      <w:r w:rsidRPr="00D6674D">
        <w:rPr>
          <w:rFonts w:asciiTheme="majorHAnsi" w:hAnsiTheme="majorHAnsi"/>
          <w:b/>
          <w:bCs/>
          <w:sz w:val="20"/>
        </w:rPr>
        <w:t xml:space="preserve"> </w:t>
      </w:r>
      <w:r w:rsidRPr="00D6674D">
        <w:rPr>
          <w:rFonts w:asciiTheme="majorHAnsi" w:hAnsiTheme="majorHAnsi"/>
          <w:bCs/>
          <w:sz w:val="20"/>
        </w:rPr>
        <w:t>Success will be measured by how people's vulnerability and risk are reduced</w:t>
      </w:r>
      <w:r w:rsidRPr="00D6674D">
        <w:rPr>
          <w:rFonts w:asciiTheme="majorHAnsi" w:hAnsiTheme="majorHAnsi"/>
          <w:bCs/>
          <w:sz w:val="20"/>
          <w:lang w:val="en-US"/>
        </w:rPr>
        <w:t xml:space="preserve"> through preparedness</w:t>
      </w:r>
      <w:r w:rsidRPr="00D6674D">
        <w:rPr>
          <w:rFonts w:asciiTheme="majorHAnsi" w:hAnsiTheme="majorHAnsi"/>
          <w:b/>
          <w:bCs/>
          <w:sz w:val="20"/>
          <w:vertAlign w:val="superscript"/>
          <w:lang w:val="en-US"/>
        </w:rPr>
        <w:footnoteReference w:id="3"/>
      </w:r>
      <w:r w:rsidRPr="00D6674D">
        <w:rPr>
          <w:rFonts w:asciiTheme="majorHAnsi" w:hAnsiTheme="majorHAnsi"/>
          <w:bCs/>
          <w:sz w:val="20"/>
        </w:rPr>
        <w:t>, not by how emergency needs are met year after year.</w:t>
      </w:r>
    </w:p>
    <w:p w14:paraId="620798DD" w14:textId="77777777" w:rsidR="00776CE5" w:rsidRPr="00776CE5" w:rsidRDefault="00776CE5" w:rsidP="00776CE5">
      <w:pPr>
        <w:pStyle w:val="Heading2"/>
        <w:spacing w:after="120" w:line="259" w:lineRule="auto"/>
        <w:ind w:left="720"/>
        <w:rPr>
          <w:rFonts w:asciiTheme="majorHAnsi" w:hAnsiTheme="majorHAnsi"/>
          <w:bCs/>
          <w:sz w:val="20"/>
        </w:rPr>
      </w:pPr>
    </w:p>
    <w:p w14:paraId="4601ACA9" w14:textId="6D55D8DC" w:rsidR="00613646" w:rsidRPr="00C07E4C" w:rsidRDefault="00613646" w:rsidP="00613646">
      <w:pPr>
        <w:pStyle w:val="Heading2"/>
        <w:spacing w:before="0" w:after="120" w:line="259" w:lineRule="auto"/>
        <w:jc w:val="both"/>
        <w:rPr>
          <w:rFonts w:asciiTheme="majorHAnsi" w:eastAsiaTheme="majorEastAsia" w:hAnsiTheme="majorHAnsi" w:cstheme="majorBidi"/>
          <w:b/>
          <w:bCs/>
          <w:color w:val="C00000"/>
          <w:sz w:val="28"/>
          <w:szCs w:val="28"/>
          <w:lang w:val="en-US" w:eastAsia="en-US"/>
        </w:rPr>
      </w:pPr>
      <w:r w:rsidRPr="00C07E4C">
        <w:rPr>
          <w:rFonts w:asciiTheme="majorHAnsi" w:eastAsiaTheme="majorEastAsia" w:hAnsiTheme="majorHAnsi" w:cstheme="majorBidi"/>
          <w:b/>
          <w:bCs/>
          <w:color w:val="C00000"/>
          <w:sz w:val="28"/>
          <w:szCs w:val="28"/>
          <w:lang w:val="en-US" w:eastAsia="en-US"/>
        </w:rPr>
        <w:t xml:space="preserve">WHAT </w:t>
      </w:r>
      <w:r w:rsidR="00776CE5">
        <w:rPr>
          <w:rFonts w:asciiTheme="majorHAnsi" w:eastAsiaTheme="majorEastAsia" w:hAnsiTheme="majorHAnsi" w:cstheme="majorBidi"/>
          <w:b/>
          <w:bCs/>
          <w:color w:val="C00000"/>
          <w:sz w:val="28"/>
          <w:szCs w:val="28"/>
          <w:lang w:val="en-US" w:eastAsia="en-US"/>
        </w:rPr>
        <w:t>value will the partnership add</w:t>
      </w:r>
      <w:r w:rsidRPr="00C07E4C">
        <w:rPr>
          <w:rFonts w:asciiTheme="majorHAnsi" w:eastAsiaTheme="majorEastAsia" w:hAnsiTheme="majorHAnsi" w:cstheme="majorBidi"/>
          <w:b/>
          <w:bCs/>
          <w:color w:val="C00000"/>
          <w:sz w:val="28"/>
          <w:szCs w:val="28"/>
          <w:lang w:val="en-US" w:eastAsia="en-US"/>
        </w:rPr>
        <w:t>?</w:t>
      </w:r>
    </w:p>
    <w:p w14:paraId="5B906DDD" w14:textId="5B0016C2" w:rsidR="00776CE5" w:rsidRPr="00776CE5" w:rsidRDefault="00776CE5" w:rsidP="00776CE5">
      <w:pPr>
        <w:pStyle w:val="Heading2"/>
        <w:numPr>
          <w:ilvl w:val="0"/>
          <w:numId w:val="10"/>
        </w:numPr>
        <w:spacing w:before="0" w:line="259" w:lineRule="auto"/>
        <w:rPr>
          <w:rFonts w:asciiTheme="majorHAnsi" w:hAnsiTheme="majorHAnsi"/>
          <w:sz w:val="20"/>
        </w:rPr>
      </w:pPr>
      <w:r w:rsidRPr="00776CE5">
        <w:rPr>
          <w:rFonts w:asciiTheme="majorHAnsi" w:hAnsiTheme="majorHAnsi"/>
          <w:sz w:val="20"/>
          <w:lang w:val="en-US"/>
        </w:rPr>
        <w:t>Decades</w:t>
      </w:r>
      <w:r w:rsidRPr="00776CE5">
        <w:rPr>
          <w:rFonts w:asciiTheme="majorHAnsi" w:hAnsiTheme="majorHAnsi"/>
          <w:sz w:val="20"/>
        </w:rPr>
        <w:t xml:space="preserve"> of investment in preparedness demonstrate that it can reduce life and economic losses as well as the overall cost of response. There is a growing body of evidence showing that shocks do not need to result in major disasters, if they are planned for in advance, have the right decision making mechanisms in place to trigger the early and coordinated delivery of effective response systems, and which are backed by pre-committed financing arrangements.</w:t>
      </w:r>
    </w:p>
    <w:p w14:paraId="4ED38C2E" w14:textId="77777777" w:rsidR="00776CE5" w:rsidRPr="00776CE5" w:rsidRDefault="00776CE5" w:rsidP="00776CE5">
      <w:pPr>
        <w:pStyle w:val="Heading2"/>
        <w:numPr>
          <w:ilvl w:val="0"/>
          <w:numId w:val="10"/>
        </w:numPr>
        <w:spacing w:before="0" w:after="120" w:line="259" w:lineRule="auto"/>
        <w:rPr>
          <w:rFonts w:asciiTheme="majorHAnsi" w:hAnsiTheme="majorHAnsi"/>
          <w:sz w:val="20"/>
          <w:lang w:val="en-US"/>
        </w:rPr>
      </w:pPr>
      <w:r w:rsidRPr="00776CE5">
        <w:rPr>
          <w:rFonts w:asciiTheme="majorHAnsi" w:hAnsiTheme="majorHAnsi"/>
          <w:sz w:val="20"/>
          <w:lang w:val="en-US"/>
        </w:rPr>
        <w:t>This has been recognized in priority four of the Sendai Framework for Disaster Risk Reduction, as well as during the consultations for the World Humanitarian Summit (WHS).</w:t>
      </w:r>
    </w:p>
    <w:p w14:paraId="24B592D6" w14:textId="77777777" w:rsidR="00776CE5" w:rsidRPr="00776CE5" w:rsidRDefault="00776CE5" w:rsidP="00776CE5">
      <w:pPr>
        <w:pStyle w:val="Heading2"/>
        <w:numPr>
          <w:ilvl w:val="0"/>
          <w:numId w:val="10"/>
        </w:numPr>
        <w:spacing w:before="0" w:after="120" w:line="259" w:lineRule="auto"/>
        <w:jc w:val="both"/>
        <w:rPr>
          <w:rFonts w:asciiTheme="majorHAnsi" w:hAnsiTheme="majorHAnsi"/>
          <w:sz w:val="20"/>
        </w:rPr>
      </w:pPr>
      <w:r w:rsidRPr="00776CE5">
        <w:rPr>
          <w:rFonts w:asciiTheme="majorHAnsi" w:hAnsiTheme="majorHAnsi"/>
          <w:sz w:val="20"/>
        </w:rPr>
        <w:lastRenderedPageBreak/>
        <w:t xml:space="preserve">However, the international community underinvests in preparedness. </w:t>
      </w:r>
      <w:r w:rsidRPr="00776CE5">
        <w:rPr>
          <w:rFonts w:asciiTheme="majorHAnsi" w:hAnsiTheme="majorHAnsi"/>
          <w:sz w:val="20"/>
          <w:lang w:val="en-US"/>
        </w:rPr>
        <w:t>Between 1991 and 2010</w:t>
      </w:r>
      <w:r w:rsidRPr="00776CE5">
        <w:rPr>
          <w:rFonts w:asciiTheme="majorHAnsi" w:hAnsiTheme="majorHAnsi"/>
          <w:sz w:val="20"/>
        </w:rPr>
        <w:t xml:space="preserve">, less </w:t>
      </w:r>
      <w:r w:rsidRPr="00776CE5">
        <w:rPr>
          <w:rFonts w:asciiTheme="majorHAnsi" w:hAnsiTheme="majorHAnsi"/>
          <w:sz w:val="20"/>
          <w:lang w:val="en-US"/>
        </w:rPr>
        <w:t>than 0.5% of ODA has been spent on disaster risk reduction, and only a fraction of this on preparedness, much of which has been ad hoc.</w:t>
      </w:r>
      <w:r w:rsidRPr="00776CE5">
        <w:rPr>
          <w:rFonts w:asciiTheme="majorHAnsi" w:hAnsiTheme="majorHAnsi"/>
          <w:sz w:val="20"/>
          <w:vertAlign w:val="superscript"/>
          <w:lang w:val="en-US"/>
        </w:rPr>
        <w:footnoteReference w:id="4"/>
      </w:r>
      <w:r w:rsidRPr="00776CE5">
        <w:rPr>
          <w:rFonts w:asciiTheme="majorHAnsi" w:hAnsiTheme="majorHAnsi"/>
          <w:sz w:val="20"/>
          <w:lang w:val="en-US"/>
        </w:rPr>
        <w:t xml:space="preserve"> </w:t>
      </w:r>
      <w:r w:rsidRPr="00776CE5">
        <w:rPr>
          <w:rFonts w:asciiTheme="majorHAnsi" w:hAnsiTheme="majorHAnsi"/>
          <w:sz w:val="20"/>
        </w:rPr>
        <w:t>These limited resources also tend to be fragmented and piecemeal, and span humanitarian, development and climate finance. This is despite the fact that preparedness is a no-regret, cost-effective investment. For example, cost-benefit analysis of the African Risk Capacity initiative shows a 4.4 to 1 benefit of early, planned and government-led response compared to the status quo.</w:t>
      </w:r>
    </w:p>
    <w:p w14:paraId="64CED237" w14:textId="77777777" w:rsidR="00776CE5" w:rsidRPr="00776CE5" w:rsidRDefault="00776CE5" w:rsidP="00776CE5">
      <w:pPr>
        <w:pStyle w:val="Heading2"/>
        <w:numPr>
          <w:ilvl w:val="0"/>
          <w:numId w:val="10"/>
        </w:numPr>
        <w:spacing w:before="0" w:after="120" w:line="259" w:lineRule="auto"/>
        <w:rPr>
          <w:rFonts w:asciiTheme="majorHAnsi" w:hAnsiTheme="majorHAnsi"/>
          <w:sz w:val="20"/>
        </w:rPr>
      </w:pPr>
      <w:r w:rsidRPr="00776CE5">
        <w:rPr>
          <w:rFonts w:asciiTheme="majorHAnsi" w:eastAsiaTheme="minorHAnsi" w:hAnsiTheme="majorHAnsi"/>
          <w:sz w:val="20"/>
          <w:lang w:val="en-US"/>
        </w:rPr>
        <w:t>This underinvestment leads to inadequate</w:t>
      </w:r>
      <w:r w:rsidRPr="00776CE5">
        <w:rPr>
          <w:rFonts w:asciiTheme="majorHAnsi" w:eastAsiaTheme="minorHAnsi" w:hAnsiTheme="majorHAnsi"/>
          <w:sz w:val="20"/>
        </w:rPr>
        <w:t xml:space="preserve"> policy and legislation, and prevents the establishment of core national and local capacities, including for community-based early warning, contingency planning, logistics, communications, stockpiling, information management, coordination arrangements</w:t>
      </w:r>
      <w:r w:rsidRPr="00776CE5">
        <w:rPr>
          <w:rFonts w:asciiTheme="majorHAnsi" w:hAnsiTheme="majorHAnsi"/>
          <w:sz w:val="20"/>
        </w:rPr>
        <w:t xml:space="preserve"> and</w:t>
      </w:r>
      <w:r w:rsidRPr="00776CE5">
        <w:rPr>
          <w:rFonts w:asciiTheme="majorHAnsi" w:eastAsiaTheme="minorHAnsi" w:hAnsiTheme="majorHAnsi"/>
          <w:sz w:val="20"/>
        </w:rPr>
        <w:t xml:space="preserve"> systems, such as social protection and basic services, </w:t>
      </w:r>
      <w:r w:rsidRPr="00776CE5">
        <w:rPr>
          <w:rFonts w:asciiTheme="majorHAnsi" w:hAnsiTheme="majorHAnsi"/>
          <w:sz w:val="20"/>
        </w:rPr>
        <w:t xml:space="preserve">that are required </w:t>
      </w:r>
      <w:r w:rsidRPr="00776CE5">
        <w:rPr>
          <w:rFonts w:asciiTheme="majorHAnsi" w:eastAsiaTheme="minorHAnsi" w:hAnsiTheme="majorHAnsi"/>
          <w:sz w:val="20"/>
        </w:rPr>
        <w:t xml:space="preserve">to deliver rapidly and at scale. As a result, </w:t>
      </w:r>
      <w:r w:rsidRPr="00776CE5">
        <w:rPr>
          <w:rFonts w:asciiTheme="majorHAnsi" w:hAnsiTheme="majorHAnsi"/>
          <w:sz w:val="20"/>
        </w:rPr>
        <w:t>there are</w:t>
      </w:r>
      <w:r w:rsidRPr="00776CE5">
        <w:rPr>
          <w:rFonts w:asciiTheme="majorHAnsi" w:eastAsiaTheme="minorHAnsi" w:hAnsiTheme="majorHAnsi"/>
          <w:sz w:val="20"/>
        </w:rPr>
        <w:t xml:space="preserve"> heavier casualties and greater economic and development losses, and the costs of financing humanitarian response increases.</w:t>
      </w:r>
    </w:p>
    <w:p w14:paraId="5D84FB4B" w14:textId="7AFB6743" w:rsidR="00776CE5" w:rsidRPr="00776CE5" w:rsidRDefault="00776CE5" w:rsidP="00776CE5">
      <w:pPr>
        <w:pStyle w:val="Heading2"/>
        <w:numPr>
          <w:ilvl w:val="0"/>
          <w:numId w:val="10"/>
        </w:numPr>
        <w:spacing w:before="0" w:after="120" w:line="259" w:lineRule="auto"/>
        <w:jc w:val="both"/>
        <w:rPr>
          <w:rFonts w:asciiTheme="majorHAnsi" w:hAnsiTheme="majorHAnsi" w:cs="DIN Next LT Pro"/>
          <w:bCs/>
          <w:color w:val="000000"/>
          <w:sz w:val="20"/>
          <w:szCs w:val="22"/>
          <w:lang w:val="en-US"/>
        </w:rPr>
      </w:pPr>
      <w:r w:rsidRPr="00776CE5">
        <w:rPr>
          <w:rFonts w:asciiTheme="majorHAnsi" w:hAnsiTheme="majorHAnsi" w:cs="DIN Next LT Pro"/>
          <w:bCs/>
          <w:color w:val="000000"/>
          <w:sz w:val="20"/>
          <w:szCs w:val="22"/>
        </w:rPr>
        <w:t xml:space="preserve">To address these needs, </w:t>
      </w:r>
      <w:r w:rsidRPr="00776CE5">
        <w:rPr>
          <w:rFonts w:asciiTheme="majorHAnsi" w:hAnsiTheme="majorHAnsi" w:cs="DIN Next LT Pro"/>
          <w:bCs/>
          <w:color w:val="000000"/>
          <w:sz w:val="20"/>
          <w:szCs w:val="22"/>
          <w:lang w:val="en-US"/>
        </w:rPr>
        <w:t>t</w:t>
      </w:r>
      <w:r w:rsidRPr="00776CE5">
        <w:rPr>
          <w:rFonts w:asciiTheme="majorHAnsi" w:hAnsiTheme="majorHAnsi" w:cs="DIN Next LT Pro"/>
          <w:bCs/>
          <w:color w:val="000000"/>
          <w:sz w:val="20"/>
          <w:szCs w:val="22"/>
        </w:rPr>
        <w:t>he Vulnerable Twenty Group (V20) together with donors and multilateral organizations</w:t>
      </w:r>
      <w:r w:rsidRPr="00776CE5" w:rsidDel="00996856">
        <w:rPr>
          <w:rFonts w:asciiTheme="majorHAnsi" w:hAnsiTheme="majorHAnsi" w:cs="DIN Next LT Pro"/>
          <w:bCs/>
          <w:color w:val="000000"/>
          <w:sz w:val="20"/>
          <w:szCs w:val="22"/>
        </w:rPr>
        <w:t xml:space="preserve"> </w:t>
      </w:r>
      <w:r w:rsidRPr="00776CE5">
        <w:rPr>
          <w:rFonts w:asciiTheme="majorHAnsi" w:hAnsiTheme="majorHAnsi" w:cs="DIN Next LT Pro"/>
          <w:bCs/>
          <w:color w:val="000000"/>
          <w:sz w:val="20"/>
          <w:szCs w:val="22"/>
        </w:rPr>
        <w:t xml:space="preserve">propose the establishment of the Global Preparedness Partnership (“GPP”), whose </w:t>
      </w:r>
      <w:r w:rsidRPr="00776CE5">
        <w:rPr>
          <w:rFonts w:asciiTheme="majorHAnsi" w:hAnsiTheme="majorHAnsi" w:cs="DIN Next LT Pro"/>
          <w:b/>
          <w:bCs/>
          <w:color w:val="000000"/>
          <w:sz w:val="20"/>
          <w:szCs w:val="22"/>
        </w:rPr>
        <w:t>ultimate goal</w:t>
      </w:r>
      <w:r w:rsidRPr="00776CE5">
        <w:rPr>
          <w:rFonts w:asciiTheme="majorHAnsi" w:hAnsiTheme="majorHAnsi" w:cs="DIN Next LT Pro"/>
          <w:bCs/>
          <w:color w:val="000000"/>
          <w:sz w:val="20"/>
          <w:szCs w:val="22"/>
        </w:rPr>
        <w:t xml:space="preserve"> </w:t>
      </w:r>
      <w:r w:rsidRPr="00776CE5">
        <w:rPr>
          <w:rFonts w:asciiTheme="majorHAnsi" w:hAnsiTheme="majorHAnsi" w:cs="DIN Next LT Pro"/>
          <w:bCs/>
          <w:color w:val="000000"/>
          <w:sz w:val="20"/>
          <w:szCs w:val="22"/>
          <w:lang w:val="en-US"/>
        </w:rPr>
        <w:t xml:space="preserve">is for countries to reach an essential level of readiness so that situations do not spiral out of control when hazards strike. </w:t>
      </w:r>
    </w:p>
    <w:p w14:paraId="51A95F1C" w14:textId="77777777" w:rsidR="00776CE5" w:rsidRPr="00776CE5" w:rsidRDefault="00776CE5" w:rsidP="00776CE5">
      <w:pPr>
        <w:pStyle w:val="Heading2"/>
        <w:numPr>
          <w:ilvl w:val="0"/>
          <w:numId w:val="10"/>
        </w:numPr>
        <w:spacing w:before="0" w:after="120" w:line="259" w:lineRule="auto"/>
        <w:rPr>
          <w:rFonts w:asciiTheme="majorHAnsi" w:hAnsiTheme="majorHAnsi" w:cs="DIN Next LT Pro"/>
          <w:bCs/>
          <w:color w:val="000000"/>
          <w:sz w:val="20"/>
        </w:rPr>
      </w:pPr>
      <w:r w:rsidRPr="00776CE5">
        <w:rPr>
          <w:rFonts w:asciiTheme="majorHAnsi" w:hAnsiTheme="majorHAnsi" w:cs="DIN Next LT Pro"/>
          <w:bCs/>
          <w:color w:val="000000"/>
          <w:sz w:val="20"/>
          <w:lang w:val="en-US"/>
        </w:rPr>
        <w:t>To achieve this, the GPP partners</w:t>
      </w:r>
      <w:r w:rsidRPr="00776CE5">
        <w:rPr>
          <w:rFonts w:asciiTheme="majorHAnsi" w:hAnsiTheme="majorHAnsi" w:cs="DIN Next LT Pro"/>
          <w:bCs/>
          <w:color w:val="000000"/>
          <w:sz w:val="20"/>
        </w:rPr>
        <w:t xml:space="preserve"> commit to work collectively to strengthen national preparedness capacities of the most vulnerable countries in a coordinated way. In doing so, the GPP will be aligned and support the delivery of the Sendai Framework for Disaster Risk Reduction, the UN General Assembly Resolution 46/182</w:t>
      </w:r>
      <w:r w:rsidRPr="00776CE5">
        <w:rPr>
          <w:rFonts w:asciiTheme="majorHAnsi" w:hAnsiTheme="majorHAnsi" w:cs="DIN Next LT Pro"/>
          <w:bCs/>
          <w:color w:val="000000"/>
          <w:sz w:val="20"/>
          <w:vertAlign w:val="superscript"/>
        </w:rPr>
        <w:footnoteReference w:id="5"/>
      </w:r>
      <w:r w:rsidRPr="00776CE5">
        <w:rPr>
          <w:rFonts w:asciiTheme="majorHAnsi" w:hAnsiTheme="majorHAnsi" w:cs="DIN Next LT Pro"/>
          <w:bCs/>
          <w:color w:val="000000"/>
          <w:sz w:val="20"/>
          <w:lang w:val="en-US"/>
        </w:rPr>
        <w:t>,</w:t>
      </w:r>
      <w:r w:rsidRPr="00776CE5">
        <w:rPr>
          <w:rFonts w:asciiTheme="majorHAnsi" w:hAnsiTheme="majorHAnsi" w:cs="DIN Next LT Pro"/>
          <w:bCs/>
          <w:color w:val="000000"/>
          <w:sz w:val="20"/>
        </w:rPr>
        <w:t xml:space="preserve"> the Common Framework for Preparedness, and the UN Secretary-General’s </w:t>
      </w:r>
      <w:r w:rsidRPr="00776CE5">
        <w:rPr>
          <w:rFonts w:asciiTheme="majorHAnsi" w:hAnsiTheme="majorHAnsi" w:cs="DIN Next LT Pro"/>
          <w:bCs/>
          <w:i/>
          <w:color w:val="000000"/>
          <w:sz w:val="20"/>
        </w:rPr>
        <w:t>Agenda for Humanity</w:t>
      </w:r>
      <w:r w:rsidRPr="00776CE5">
        <w:rPr>
          <w:rFonts w:asciiTheme="majorHAnsi" w:hAnsiTheme="majorHAnsi" w:cs="DIN Next LT Pro"/>
          <w:bCs/>
          <w:color w:val="000000"/>
          <w:sz w:val="20"/>
        </w:rPr>
        <w:t>.</w:t>
      </w:r>
      <w:r w:rsidRPr="00776CE5">
        <w:rPr>
          <w:rFonts w:asciiTheme="majorHAnsi" w:hAnsiTheme="majorHAnsi" w:cs="DIN Next LT Pro"/>
          <w:bCs/>
          <w:color w:val="000000"/>
          <w:sz w:val="20"/>
          <w:vertAlign w:val="superscript"/>
        </w:rPr>
        <w:footnoteReference w:id="6"/>
      </w:r>
      <w:r w:rsidRPr="00776CE5">
        <w:rPr>
          <w:rFonts w:asciiTheme="majorHAnsi" w:hAnsiTheme="majorHAnsi" w:cs="DIN Next LT Pro"/>
          <w:bCs/>
          <w:color w:val="000000"/>
          <w:sz w:val="20"/>
        </w:rPr>
        <w:t xml:space="preserve"> </w:t>
      </w:r>
    </w:p>
    <w:p w14:paraId="6DD3F662" w14:textId="0F658F07" w:rsidR="00624DDE" w:rsidRPr="00776CE5" w:rsidRDefault="00776CE5" w:rsidP="00776CE5">
      <w:pPr>
        <w:pStyle w:val="Heading2"/>
        <w:numPr>
          <w:ilvl w:val="0"/>
          <w:numId w:val="10"/>
        </w:numPr>
        <w:spacing w:before="0" w:after="120" w:line="259" w:lineRule="auto"/>
        <w:rPr>
          <w:rFonts w:asciiTheme="majorHAnsi" w:hAnsiTheme="majorHAnsi" w:cs="DIN Next LT Pro"/>
          <w:bCs/>
          <w:color w:val="000000"/>
          <w:sz w:val="20"/>
          <w:lang w:val="en-US"/>
        </w:rPr>
      </w:pPr>
      <w:r w:rsidRPr="00776CE5">
        <w:rPr>
          <w:rFonts w:asciiTheme="majorHAnsi" w:hAnsiTheme="majorHAnsi" w:cs="DIN Next LT Pro"/>
          <w:bCs/>
          <w:color w:val="000000"/>
          <w:sz w:val="20"/>
        </w:rPr>
        <w:t xml:space="preserve">The current multilateral partners involved in the GPP include the United Nations Development Programme (UNDP), the Office for the Coordination of Humanitarian Affairs (UNOCHA), the World Bank / Global Facility for Disaster Reduction and Recovery (WB/GFDRR), the Food and Agriculture Organization (FAO), and the World Food Programme (WFP). </w:t>
      </w:r>
      <w:r w:rsidRPr="00776CE5">
        <w:rPr>
          <w:rFonts w:asciiTheme="majorHAnsi" w:hAnsiTheme="majorHAnsi" w:cs="DIN Next LT Pro"/>
          <w:bCs/>
          <w:color w:val="000000"/>
          <w:sz w:val="20"/>
          <w:lang w:val="en-US"/>
        </w:rPr>
        <w:t>The GPP will be open to other organizations.</w:t>
      </w:r>
    </w:p>
    <w:p w14:paraId="2598F786" w14:textId="3899664E" w:rsidR="00C07E4C" w:rsidRPr="00C07E4C" w:rsidRDefault="00C07E4C" w:rsidP="00D30285">
      <w:pPr>
        <w:pStyle w:val="Heading2"/>
        <w:spacing w:before="0" w:after="120" w:line="259" w:lineRule="auto"/>
        <w:jc w:val="both"/>
        <w:rPr>
          <w:rFonts w:asciiTheme="majorHAnsi" w:eastAsiaTheme="majorEastAsia" w:hAnsiTheme="majorHAnsi" w:cstheme="majorBidi"/>
          <w:b/>
          <w:bCs/>
          <w:color w:val="C00000"/>
          <w:sz w:val="28"/>
          <w:szCs w:val="22"/>
          <w:lang w:val="en-US" w:eastAsia="en-US"/>
        </w:rPr>
      </w:pPr>
      <w:r>
        <w:rPr>
          <w:rFonts w:asciiTheme="majorHAnsi" w:eastAsiaTheme="majorEastAsia" w:hAnsiTheme="majorHAnsi" w:cstheme="majorBidi"/>
          <w:b/>
          <w:bCs/>
          <w:color w:val="C00000"/>
          <w:sz w:val="28"/>
          <w:szCs w:val="22"/>
          <w:lang w:val="en-US" w:eastAsia="en-US"/>
        </w:rPr>
        <w:t>WHAT</w:t>
      </w:r>
      <w:r w:rsidRPr="00C07E4C">
        <w:rPr>
          <w:rFonts w:asciiTheme="majorHAnsi" w:eastAsiaTheme="majorEastAsia" w:hAnsiTheme="majorHAnsi" w:cstheme="majorBidi"/>
          <w:b/>
          <w:bCs/>
          <w:color w:val="C00000"/>
          <w:sz w:val="28"/>
          <w:szCs w:val="22"/>
          <w:lang w:val="en-US" w:eastAsia="en-US"/>
        </w:rPr>
        <w:t xml:space="preserve"> will </w:t>
      </w:r>
      <w:r>
        <w:rPr>
          <w:rFonts w:asciiTheme="majorHAnsi" w:eastAsiaTheme="majorEastAsia" w:hAnsiTheme="majorHAnsi" w:cstheme="majorBidi"/>
          <w:b/>
          <w:bCs/>
          <w:color w:val="C00000"/>
          <w:sz w:val="28"/>
          <w:szCs w:val="22"/>
          <w:lang w:val="en-US" w:eastAsia="en-US"/>
        </w:rPr>
        <w:t xml:space="preserve">the </w:t>
      </w:r>
      <w:r w:rsidRPr="00C07E4C">
        <w:rPr>
          <w:rFonts w:asciiTheme="majorHAnsi" w:eastAsiaTheme="majorEastAsia" w:hAnsiTheme="majorHAnsi" w:cstheme="majorBidi"/>
          <w:b/>
          <w:bCs/>
          <w:color w:val="C00000"/>
          <w:sz w:val="28"/>
          <w:szCs w:val="22"/>
          <w:lang w:val="en-US" w:eastAsia="en-US"/>
        </w:rPr>
        <w:t>partnership</w:t>
      </w:r>
      <w:r>
        <w:rPr>
          <w:rFonts w:asciiTheme="majorHAnsi" w:eastAsiaTheme="majorEastAsia" w:hAnsiTheme="majorHAnsi" w:cstheme="majorBidi"/>
          <w:b/>
          <w:bCs/>
          <w:color w:val="C00000"/>
          <w:sz w:val="28"/>
          <w:szCs w:val="22"/>
          <w:lang w:val="en-US" w:eastAsia="en-US"/>
        </w:rPr>
        <w:t>’s principles</w:t>
      </w:r>
      <w:r w:rsidRPr="00C07E4C">
        <w:rPr>
          <w:rFonts w:asciiTheme="majorHAnsi" w:eastAsiaTheme="majorEastAsia" w:hAnsiTheme="majorHAnsi" w:cstheme="majorBidi"/>
          <w:b/>
          <w:bCs/>
          <w:color w:val="C00000"/>
          <w:sz w:val="28"/>
          <w:szCs w:val="22"/>
          <w:lang w:val="en-US" w:eastAsia="en-US"/>
        </w:rPr>
        <w:t xml:space="preserve"> </w:t>
      </w:r>
      <w:r>
        <w:rPr>
          <w:rFonts w:asciiTheme="majorHAnsi" w:eastAsiaTheme="majorEastAsia" w:hAnsiTheme="majorHAnsi" w:cstheme="majorBidi"/>
          <w:b/>
          <w:bCs/>
          <w:color w:val="C00000"/>
          <w:sz w:val="28"/>
          <w:szCs w:val="22"/>
          <w:lang w:val="en-US" w:eastAsia="en-US"/>
        </w:rPr>
        <w:t>of engagement be</w:t>
      </w:r>
      <w:r w:rsidRPr="00C07E4C">
        <w:rPr>
          <w:rFonts w:asciiTheme="majorHAnsi" w:eastAsiaTheme="majorEastAsia" w:hAnsiTheme="majorHAnsi" w:cstheme="majorBidi"/>
          <w:b/>
          <w:bCs/>
          <w:color w:val="C00000"/>
          <w:sz w:val="28"/>
          <w:szCs w:val="22"/>
          <w:lang w:val="en-US" w:eastAsia="en-US"/>
        </w:rPr>
        <w:t>?</w:t>
      </w:r>
    </w:p>
    <w:p w14:paraId="28658F41" w14:textId="1C664BDF" w:rsidR="00C07E4C" w:rsidRDefault="00C07E4C" w:rsidP="00D30285">
      <w:pPr>
        <w:pStyle w:val="Heading2"/>
        <w:spacing w:before="0" w:after="0" w:line="240" w:lineRule="auto"/>
        <w:jc w:val="both"/>
        <w:rPr>
          <w:rFonts w:asciiTheme="majorHAnsi" w:eastAsiaTheme="minorHAnsi" w:hAnsiTheme="majorHAnsi" w:cstheme="minorBidi"/>
          <w:color w:val="auto"/>
          <w:sz w:val="20"/>
          <w:szCs w:val="22"/>
          <w:lang w:eastAsia="en-US"/>
        </w:rPr>
      </w:pPr>
      <w:r w:rsidRPr="00C07E4C">
        <w:rPr>
          <w:rFonts w:asciiTheme="majorHAnsi" w:eastAsiaTheme="minorHAnsi" w:hAnsiTheme="majorHAnsi" w:cstheme="minorBidi"/>
          <w:color w:val="auto"/>
          <w:sz w:val="20"/>
          <w:szCs w:val="22"/>
          <w:lang w:eastAsia="en-US"/>
        </w:rPr>
        <w:t xml:space="preserve">In </w:t>
      </w:r>
      <w:r>
        <w:rPr>
          <w:rFonts w:asciiTheme="majorHAnsi" w:eastAsiaTheme="minorHAnsi" w:hAnsiTheme="majorHAnsi" w:cstheme="minorBidi"/>
          <w:color w:val="auto"/>
          <w:sz w:val="20"/>
          <w:szCs w:val="22"/>
          <w:lang w:eastAsia="en-US"/>
        </w:rPr>
        <w:t xml:space="preserve">direct </w:t>
      </w:r>
      <w:r w:rsidRPr="00C07E4C">
        <w:rPr>
          <w:rFonts w:asciiTheme="majorHAnsi" w:eastAsiaTheme="minorHAnsi" w:hAnsiTheme="majorHAnsi" w:cstheme="minorBidi"/>
          <w:color w:val="auto"/>
          <w:sz w:val="20"/>
          <w:szCs w:val="22"/>
          <w:lang w:eastAsia="en-US"/>
        </w:rPr>
        <w:t>line with the C</w:t>
      </w:r>
      <w:r>
        <w:rPr>
          <w:rFonts w:asciiTheme="majorHAnsi" w:eastAsiaTheme="minorHAnsi" w:hAnsiTheme="majorHAnsi" w:cstheme="minorBidi"/>
          <w:color w:val="auto"/>
          <w:sz w:val="20"/>
          <w:szCs w:val="22"/>
          <w:lang w:eastAsia="en-US"/>
        </w:rPr>
        <w:t xml:space="preserve">ommon </w:t>
      </w:r>
      <w:r w:rsidRPr="00C07E4C">
        <w:rPr>
          <w:rFonts w:asciiTheme="majorHAnsi" w:eastAsiaTheme="minorHAnsi" w:hAnsiTheme="majorHAnsi" w:cstheme="minorBidi"/>
          <w:color w:val="auto"/>
          <w:sz w:val="20"/>
          <w:szCs w:val="22"/>
          <w:lang w:eastAsia="en-US"/>
        </w:rPr>
        <w:t>F</w:t>
      </w:r>
      <w:r>
        <w:rPr>
          <w:rFonts w:asciiTheme="majorHAnsi" w:eastAsiaTheme="minorHAnsi" w:hAnsiTheme="majorHAnsi" w:cstheme="minorBidi"/>
          <w:color w:val="auto"/>
          <w:sz w:val="20"/>
          <w:szCs w:val="22"/>
          <w:lang w:eastAsia="en-US"/>
        </w:rPr>
        <w:t xml:space="preserve">ramework for </w:t>
      </w:r>
      <w:r w:rsidRPr="00C07E4C">
        <w:rPr>
          <w:rFonts w:asciiTheme="majorHAnsi" w:eastAsiaTheme="minorHAnsi" w:hAnsiTheme="majorHAnsi" w:cstheme="minorBidi"/>
          <w:color w:val="auto"/>
          <w:sz w:val="20"/>
          <w:szCs w:val="22"/>
          <w:lang w:eastAsia="en-US"/>
        </w:rPr>
        <w:t>P</w:t>
      </w:r>
      <w:r>
        <w:rPr>
          <w:rFonts w:asciiTheme="majorHAnsi" w:eastAsiaTheme="minorHAnsi" w:hAnsiTheme="majorHAnsi" w:cstheme="minorBidi"/>
          <w:color w:val="auto"/>
          <w:sz w:val="20"/>
          <w:szCs w:val="22"/>
          <w:lang w:eastAsia="en-US"/>
        </w:rPr>
        <w:t>reparedness’</w:t>
      </w:r>
      <w:r w:rsidRPr="00C07E4C">
        <w:rPr>
          <w:rFonts w:asciiTheme="majorHAnsi" w:eastAsiaTheme="minorHAnsi" w:hAnsiTheme="majorHAnsi" w:cstheme="minorBidi"/>
          <w:color w:val="auto"/>
          <w:sz w:val="20"/>
          <w:szCs w:val="22"/>
          <w:lang w:eastAsia="en-US"/>
        </w:rPr>
        <w:t xml:space="preserve"> operating principles, the </w:t>
      </w:r>
      <w:r w:rsidR="00AF6F07">
        <w:rPr>
          <w:rFonts w:asciiTheme="majorHAnsi" w:eastAsiaTheme="minorHAnsi" w:hAnsiTheme="majorHAnsi" w:cstheme="minorBidi"/>
          <w:color w:val="373737" w:themeColor="accent1" w:themeShade="40"/>
          <w:sz w:val="20"/>
          <w:szCs w:val="22"/>
          <w:lang w:eastAsia="en-US"/>
        </w:rPr>
        <w:t>GPP</w:t>
      </w:r>
      <w:r w:rsidRPr="00C07E4C">
        <w:rPr>
          <w:rFonts w:asciiTheme="majorHAnsi" w:eastAsiaTheme="minorHAnsi" w:hAnsiTheme="majorHAnsi" w:cstheme="minorBidi"/>
          <w:color w:val="auto"/>
          <w:sz w:val="20"/>
          <w:szCs w:val="22"/>
          <w:lang w:eastAsia="en-US"/>
        </w:rPr>
        <w:t xml:space="preserve"> will be guided by the </w:t>
      </w:r>
      <w:r>
        <w:rPr>
          <w:rFonts w:asciiTheme="majorHAnsi" w:eastAsiaTheme="minorHAnsi" w:hAnsiTheme="majorHAnsi" w:cstheme="minorBidi"/>
          <w:color w:val="auto"/>
          <w:sz w:val="20"/>
          <w:szCs w:val="22"/>
          <w:lang w:eastAsia="en-US"/>
        </w:rPr>
        <w:t xml:space="preserve">compliance to the </w:t>
      </w:r>
      <w:r w:rsidRPr="00C07E4C">
        <w:rPr>
          <w:rFonts w:asciiTheme="majorHAnsi" w:eastAsiaTheme="minorHAnsi" w:hAnsiTheme="majorHAnsi" w:cstheme="minorBidi"/>
          <w:color w:val="auto"/>
          <w:sz w:val="20"/>
          <w:szCs w:val="22"/>
          <w:lang w:eastAsia="en-US"/>
        </w:rPr>
        <w:t xml:space="preserve">following principles: </w:t>
      </w:r>
    </w:p>
    <w:p w14:paraId="41762E1D" w14:textId="77777777" w:rsidR="00624DDE" w:rsidRPr="00C07E4C" w:rsidRDefault="00624DDE" w:rsidP="00D30285">
      <w:pPr>
        <w:pStyle w:val="Heading2"/>
        <w:spacing w:before="0" w:after="0" w:line="240" w:lineRule="auto"/>
        <w:jc w:val="both"/>
        <w:rPr>
          <w:rFonts w:asciiTheme="majorHAnsi" w:eastAsiaTheme="minorHAnsi" w:hAnsiTheme="majorHAnsi" w:cstheme="minorBidi"/>
          <w:color w:val="auto"/>
          <w:sz w:val="20"/>
          <w:szCs w:val="22"/>
          <w:lang w:eastAsia="en-US"/>
        </w:rPr>
      </w:pPr>
    </w:p>
    <w:p w14:paraId="17611735" w14:textId="1C92A950" w:rsidR="00624DDE" w:rsidRPr="00624DDE" w:rsidRDefault="000652E9" w:rsidP="00624DDE">
      <w:pPr>
        <w:pStyle w:val="Heading2"/>
        <w:numPr>
          <w:ilvl w:val="0"/>
          <w:numId w:val="15"/>
        </w:numPr>
        <w:spacing w:after="0" w:line="240" w:lineRule="auto"/>
        <w:jc w:val="both"/>
        <w:rPr>
          <w:rFonts w:asciiTheme="majorHAnsi" w:eastAsiaTheme="minorHAnsi" w:hAnsiTheme="majorHAnsi" w:cstheme="minorBidi"/>
          <w:color w:val="auto"/>
          <w:sz w:val="20"/>
          <w:szCs w:val="22"/>
          <w:lang w:eastAsia="en-US"/>
        </w:rPr>
      </w:pPr>
      <w:r>
        <w:rPr>
          <w:rFonts w:ascii="DINNextLTPro-Regular" w:hAnsi="DINNextLTPro-Regular" w:cs="DINNextLTPro-Regular"/>
          <w:noProof/>
          <w:color w:val="A7CF39"/>
          <w:sz w:val="28"/>
          <w:szCs w:val="28"/>
          <w:lang w:val="en-US" w:eastAsia="en-US"/>
        </w:rPr>
        <mc:AlternateContent>
          <mc:Choice Requires="wps">
            <w:drawing>
              <wp:anchor distT="0" distB="0" distL="114300" distR="114300" simplePos="0" relativeHeight="251761664" behindDoc="1" locked="0" layoutInCell="1" allowOverlap="1" wp14:anchorId="357F7307" wp14:editId="3E96CB9C">
                <wp:simplePos x="0" y="0"/>
                <wp:positionH relativeFrom="column">
                  <wp:posOffset>3419475</wp:posOffset>
                </wp:positionH>
                <wp:positionV relativeFrom="paragraph">
                  <wp:posOffset>27940</wp:posOffset>
                </wp:positionV>
                <wp:extent cx="2343150" cy="552450"/>
                <wp:effectExtent l="0" t="0" r="19050" b="1905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3431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8C269" w14:textId="77777777" w:rsidR="000652E9" w:rsidRPr="000652E9" w:rsidRDefault="000652E9" w:rsidP="000652E9">
                            <w:pPr>
                              <w:spacing w:after="0" w:line="240" w:lineRule="auto"/>
                              <w:rPr>
                                <w:rFonts w:asciiTheme="majorHAnsi" w:hAnsiTheme="majorHAnsi"/>
                                <w:color w:val="C00000"/>
                                <w:sz w:val="20"/>
                                <w:lang w:val="en-US"/>
                              </w:rPr>
                            </w:pPr>
                            <w:r w:rsidRPr="000652E9">
                              <w:rPr>
                                <w:rFonts w:asciiTheme="majorHAnsi" w:hAnsiTheme="majorHAnsi"/>
                                <w:color w:val="C00000"/>
                                <w:sz w:val="20"/>
                                <w:lang w:val="en-US"/>
                              </w:rPr>
                              <w:t xml:space="preserve">“Response should be as local as possible, and as international as necessary” </w:t>
                            </w:r>
                          </w:p>
                          <w:p w14:paraId="7DF71A05" w14:textId="77777777" w:rsidR="000652E9" w:rsidRPr="000652E9" w:rsidRDefault="000652E9" w:rsidP="000652E9">
                            <w:pPr>
                              <w:spacing w:after="0" w:line="240" w:lineRule="auto"/>
                              <w:rPr>
                                <w:rFonts w:asciiTheme="majorHAnsi" w:hAnsiTheme="majorHAnsi"/>
                                <w:i/>
                                <w:sz w:val="20"/>
                                <w:lang w:val="en-US"/>
                              </w:rPr>
                            </w:pPr>
                            <w:r w:rsidRPr="000652E9">
                              <w:rPr>
                                <w:rFonts w:asciiTheme="majorHAnsi" w:hAnsiTheme="majorHAnsi"/>
                                <w:i/>
                                <w:sz w:val="20"/>
                                <w:lang w:val="en-US"/>
                              </w:rPr>
                              <w:t>World Humanitarian Summit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7307" id="Text Box 8" o:spid="_x0000_s1028" type="#_x0000_t202" style="position:absolute;left:0;text-align:left;margin-left:269.25pt;margin-top:2.2pt;width:184.5pt;height:4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" fillcolor="white [3201]" strokeweight=".5pt">
                <v:textbox>
                  <w:txbxContent>
                    <w:p w14:paraId="7068C269" w14:textId="77777777" w:rsidR="000652E9" w:rsidRPr="000652E9" w:rsidRDefault="000652E9" w:rsidP="000652E9">
                      <w:pPr>
                        <w:spacing w:after="0" w:line="240" w:lineRule="auto"/>
                        <w:rPr>
                          <w:rFonts w:asciiTheme="majorHAnsi" w:hAnsiTheme="majorHAnsi"/>
                          <w:color w:val="C00000"/>
                          <w:sz w:val="20"/>
                          <w:lang w:val="en-US"/>
                        </w:rPr>
                      </w:pPr>
                      <w:r w:rsidRPr="000652E9">
                        <w:rPr>
                          <w:rFonts w:asciiTheme="majorHAnsi" w:hAnsiTheme="majorHAnsi"/>
                          <w:color w:val="C00000"/>
                          <w:sz w:val="20"/>
                          <w:lang w:val="en-US"/>
                        </w:rPr>
                        <w:t xml:space="preserve">“Response should be as local as possible, and as international as necessary” </w:t>
                      </w:r>
                    </w:p>
                    <w:p w14:paraId="7DF71A05" w14:textId="77777777" w:rsidR="000652E9" w:rsidRPr="000652E9" w:rsidRDefault="000652E9" w:rsidP="000652E9">
                      <w:pPr>
                        <w:spacing w:after="0" w:line="240" w:lineRule="auto"/>
                        <w:rPr>
                          <w:rFonts w:asciiTheme="majorHAnsi" w:hAnsiTheme="majorHAnsi"/>
                          <w:i/>
                          <w:sz w:val="20"/>
                          <w:lang w:val="en-US"/>
                        </w:rPr>
                      </w:pPr>
                      <w:r w:rsidRPr="000652E9">
                        <w:rPr>
                          <w:rFonts w:asciiTheme="majorHAnsi" w:hAnsiTheme="majorHAnsi"/>
                          <w:i/>
                          <w:sz w:val="20"/>
                          <w:lang w:val="en-US"/>
                        </w:rPr>
                        <w:t>World Humanitarian Summit</w:t>
                      </w:r>
                    </w:p>
                  </w:txbxContent>
                </v:textbox>
                <w10:wrap type="tight"/>
              </v:shape>
            </w:pict>
          </mc:Fallback>
        </mc:AlternateContent>
      </w:r>
      <w:r w:rsidR="00C07E4C" w:rsidRPr="00C07E4C">
        <w:rPr>
          <w:rFonts w:asciiTheme="majorHAnsi" w:eastAsiaTheme="minorHAnsi" w:hAnsiTheme="majorHAnsi" w:cstheme="minorBidi"/>
          <w:b/>
          <w:i/>
          <w:color w:val="auto"/>
          <w:sz w:val="20"/>
          <w:szCs w:val="22"/>
          <w:lang w:eastAsia="en-US"/>
        </w:rPr>
        <w:t>National Ownership</w:t>
      </w:r>
      <w:r w:rsidR="00C07E4C" w:rsidRPr="00C07E4C">
        <w:rPr>
          <w:rFonts w:asciiTheme="majorHAnsi" w:eastAsiaTheme="minorHAnsi" w:hAnsiTheme="majorHAnsi" w:cstheme="minorBidi"/>
          <w:color w:val="auto"/>
          <w:sz w:val="20"/>
          <w:szCs w:val="22"/>
          <w:lang w:eastAsia="en-US"/>
        </w:rPr>
        <w:t xml:space="preserve">. </w:t>
      </w:r>
      <w:r w:rsidR="00624DDE" w:rsidRPr="00624DDE">
        <w:rPr>
          <w:rFonts w:asciiTheme="majorHAnsi" w:eastAsiaTheme="minorHAnsi" w:hAnsiTheme="majorHAnsi" w:cstheme="minorBidi"/>
          <w:color w:val="auto"/>
          <w:sz w:val="20"/>
          <w:szCs w:val="22"/>
          <w:lang w:eastAsia="en-US"/>
        </w:rPr>
        <w:t xml:space="preserve">The investment needed for real transformational change in preparedness capacities must be first and foremost mobilized nationally. Governments have the lead role for preparedness, complemented by civil society and the private sector, and will be supported through the GPP by providing technical support for capacity building, as well as helping leverage and align other investments, including risk finance.  </w:t>
      </w:r>
    </w:p>
    <w:p w14:paraId="02C4117E" w14:textId="77777777" w:rsidR="00624DDE" w:rsidRPr="00624DDE" w:rsidRDefault="00624DDE" w:rsidP="00624DDE">
      <w:pPr>
        <w:pStyle w:val="Heading2"/>
        <w:numPr>
          <w:ilvl w:val="0"/>
          <w:numId w:val="15"/>
        </w:numPr>
        <w:spacing w:after="0" w:line="240" w:lineRule="auto"/>
        <w:jc w:val="both"/>
        <w:rPr>
          <w:rFonts w:asciiTheme="majorHAnsi" w:eastAsiaTheme="minorHAnsi" w:hAnsiTheme="majorHAnsi" w:cstheme="minorBidi"/>
          <w:color w:val="auto"/>
          <w:sz w:val="20"/>
          <w:szCs w:val="22"/>
          <w:lang w:eastAsia="en-US"/>
        </w:rPr>
      </w:pPr>
      <w:r w:rsidRPr="00624DDE">
        <w:rPr>
          <w:rFonts w:asciiTheme="majorHAnsi" w:eastAsiaTheme="minorHAnsi" w:hAnsiTheme="majorHAnsi" w:cstheme="minorBidi"/>
          <w:b/>
          <w:color w:val="auto"/>
          <w:sz w:val="20"/>
          <w:szCs w:val="22"/>
          <w:lang w:eastAsia="en-US"/>
        </w:rPr>
        <w:lastRenderedPageBreak/>
        <w:t>Joint Planning and Coordination</w:t>
      </w:r>
      <w:r w:rsidRPr="00624DDE">
        <w:rPr>
          <w:rFonts w:asciiTheme="majorHAnsi" w:eastAsiaTheme="minorHAnsi" w:hAnsiTheme="majorHAnsi" w:cstheme="minorBidi"/>
          <w:color w:val="auto"/>
          <w:sz w:val="20"/>
          <w:szCs w:val="22"/>
          <w:lang w:eastAsia="en-US"/>
        </w:rPr>
        <w:t xml:space="preserve">. Under the leadership of national governments and based on their priorities, the GPP Partners will jointly plan and identify specific action and investments required to strengthen national and sub-national preparedness, recognizing the comparative advantage of each organization. The GPP partners recognize that enhancing national preparedness requires a development approach, though informed by best practice and standards from humanitarian response, as well as respecting the humanitarian principles.  It also requires effective, quick, and flexible early-action when the warning signs of an impending emergency are raised. </w:t>
      </w:r>
    </w:p>
    <w:p w14:paraId="36DFBBF5" w14:textId="77777777" w:rsidR="00624DDE" w:rsidRPr="00624DDE" w:rsidRDefault="00624DDE" w:rsidP="00624DDE">
      <w:pPr>
        <w:pStyle w:val="Heading2"/>
        <w:numPr>
          <w:ilvl w:val="0"/>
          <w:numId w:val="15"/>
        </w:numPr>
        <w:spacing w:after="0" w:line="240" w:lineRule="auto"/>
        <w:jc w:val="both"/>
        <w:rPr>
          <w:rFonts w:asciiTheme="majorHAnsi" w:eastAsiaTheme="minorHAnsi" w:hAnsiTheme="majorHAnsi" w:cstheme="minorBidi"/>
          <w:color w:val="auto"/>
          <w:sz w:val="20"/>
          <w:szCs w:val="22"/>
          <w:lang w:eastAsia="en-US"/>
        </w:rPr>
      </w:pPr>
      <w:r w:rsidRPr="00624DDE">
        <w:rPr>
          <w:rFonts w:asciiTheme="majorHAnsi" w:eastAsiaTheme="minorHAnsi" w:hAnsiTheme="majorHAnsi" w:cstheme="minorBidi"/>
          <w:b/>
          <w:color w:val="auto"/>
          <w:sz w:val="20"/>
          <w:szCs w:val="22"/>
          <w:lang w:eastAsia="en-US"/>
        </w:rPr>
        <w:t>Context Specific</w:t>
      </w:r>
      <w:r w:rsidRPr="00624DDE">
        <w:rPr>
          <w:rFonts w:asciiTheme="majorHAnsi" w:eastAsiaTheme="minorHAnsi" w:hAnsiTheme="majorHAnsi" w:cstheme="minorBidi"/>
          <w:color w:val="auto"/>
          <w:sz w:val="20"/>
          <w:szCs w:val="22"/>
          <w:lang w:eastAsia="en-US"/>
        </w:rPr>
        <w:t xml:space="preserve">.  Supporting national and local capacities for preparedness should be context specific and should recognise and build on country and regional initiatives. </w:t>
      </w:r>
    </w:p>
    <w:p w14:paraId="578A6D3F" w14:textId="403A6DCA" w:rsidR="00D30285" w:rsidRPr="00C07E4C" w:rsidRDefault="00624DDE" w:rsidP="00624DDE">
      <w:pPr>
        <w:pStyle w:val="Heading2"/>
        <w:numPr>
          <w:ilvl w:val="0"/>
          <w:numId w:val="15"/>
        </w:numPr>
        <w:spacing w:before="0" w:after="0" w:line="240" w:lineRule="auto"/>
        <w:jc w:val="both"/>
        <w:rPr>
          <w:rFonts w:asciiTheme="majorHAnsi" w:eastAsiaTheme="minorHAnsi" w:hAnsiTheme="majorHAnsi" w:cstheme="minorBidi"/>
          <w:color w:val="auto"/>
          <w:sz w:val="20"/>
          <w:szCs w:val="22"/>
          <w:lang w:eastAsia="en-US"/>
        </w:rPr>
      </w:pPr>
      <w:r w:rsidRPr="00624DDE">
        <w:rPr>
          <w:rFonts w:asciiTheme="majorHAnsi" w:eastAsiaTheme="minorHAnsi" w:hAnsiTheme="majorHAnsi" w:cstheme="minorBidi"/>
          <w:b/>
          <w:color w:val="auto"/>
          <w:sz w:val="20"/>
          <w:szCs w:val="22"/>
          <w:lang w:eastAsia="en-US"/>
        </w:rPr>
        <w:t>Catalytic Approach</w:t>
      </w:r>
      <w:r w:rsidRPr="00624DDE">
        <w:rPr>
          <w:rFonts w:asciiTheme="majorHAnsi" w:eastAsiaTheme="minorHAnsi" w:hAnsiTheme="majorHAnsi" w:cstheme="minorBidi"/>
          <w:color w:val="auto"/>
          <w:sz w:val="20"/>
          <w:szCs w:val="22"/>
          <w:lang w:eastAsia="en-US"/>
        </w:rPr>
        <w:t>. The GPP will take a catalytic approach that is an integral part of wider national disaster risk reduction and risk management policies and frameworks.</w:t>
      </w:r>
    </w:p>
    <w:p w14:paraId="70E1F276" w14:textId="77777777" w:rsidR="00FB489B" w:rsidRDefault="00FB489B" w:rsidP="00D30285">
      <w:pPr>
        <w:pStyle w:val="Heading2"/>
        <w:spacing w:before="0" w:after="0" w:line="240" w:lineRule="auto"/>
        <w:jc w:val="both"/>
        <w:rPr>
          <w:rFonts w:asciiTheme="majorHAnsi" w:eastAsiaTheme="majorEastAsia" w:hAnsiTheme="majorHAnsi" w:cstheme="majorBidi"/>
          <w:b/>
          <w:bCs/>
          <w:color w:val="C00000"/>
          <w:sz w:val="28"/>
          <w:szCs w:val="22"/>
          <w:lang w:val="en-US" w:eastAsia="en-US"/>
        </w:rPr>
      </w:pPr>
    </w:p>
    <w:p w14:paraId="2ECD019E" w14:textId="5476B03D" w:rsidR="008822A7" w:rsidRDefault="008822A7" w:rsidP="00D30285">
      <w:pPr>
        <w:pStyle w:val="Heading2"/>
        <w:spacing w:before="0" w:after="0" w:line="240" w:lineRule="auto"/>
        <w:jc w:val="both"/>
        <w:rPr>
          <w:rFonts w:asciiTheme="majorHAnsi" w:eastAsiaTheme="majorEastAsia" w:hAnsiTheme="majorHAnsi" w:cstheme="majorBidi"/>
          <w:b/>
          <w:bCs/>
          <w:color w:val="C00000"/>
          <w:sz w:val="28"/>
          <w:szCs w:val="22"/>
          <w:lang w:val="en-US" w:eastAsia="en-US"/>
        </w:rPr>
      </w:pPr>
      <w:r w:rsidRPr="00C07E4C">
        <w:rPr>
          <w:rFonts w:asciiTheme="majorHAnsi" w:eastAsiaTheme="majorEastAsia" w:hAnsiTheme="majorHAnsi" w:cstheme="majorBidi"/>
          <w:b/>
          <w:bCs/>
          <w:color w:val="C00000"/>
          <w:sz w:val="28"/>
          <w:szCs w:val="22"/>
          <w:lang w:val="en-US" w:eastAsia="en-US"/>
        </w:rPr>
        <w:t>HOW will the partnership operate?</w:t>
      </w:r>
    </w:p>
    <w:p w14:paraId="748DFA6D" w14:textId="77777777" w:rsidR="00D30285" w:rsidRPr="00C07E4C" w:rsidRDefault="00D30285" w:rsidP="00D30285">
      <w:pPr>
        <w:pStyle w:val="Heading2"/>
        <w:spacing w:before="0" w:after="0" w:line="240" w:lineRule="auto"/>
        <w:jc w:val="both"/>
        <w:rPr>
          <w:rFonts w:asciiTheme="majorHAnsi" w:eastAsiaTheme="majorEastAsia" w:hAnsiTheme="majorHAnsi" w:cstheme="majorBidi"/>
          <w:b/>
          <w:bCs/>
          <w:color w:val="C00000"/>
          <w:sz w:val="28"/>
          <w:szCs w:val="22"/>
          <w:lang w:val="en-US" w:eastAsia="en-US"/>
        </w:rPr>
      </w:pPr>
    </w:p>
    <w:p w14:paraId="282AA9F1" w14:textId="3D7BDFE6" w:rsidR="00BA6931" w:rsidRPr="007352A1" w:rsidRDefault="00661F23" w:rsidP="00D30285">
      <w:pPr>
        <w:pStyle w:val="Heading2"/>
        <w:numPr>
          <w:ilvl w:val="0"/>
          <w:numId w:val="10"/>
        </w:numPr>
        <w:spacing w:before="0" w:after="0" w:line="240" w:lineRule="auto"/>
        <w:jc w:val="both"/>
        <w:rPr>
          <w:rFonts w:asciiTheme="majorHAnsi" w:eastAsiaTheme="minorHAnsi" w:hAnsiTheme="majorHAnsi" w:cstheme="minorBidi"/>
          <w:color w:val="373737" w:themeColor="accent1" w:themeShade="40"/>
          <w:sz w:val="20"/>
          <w:szCs w:val="20"/>
          <w:lang w:val="en-US" w:eastAsia="en-US"/>
        </w:rPr>
      </w:pPr>
      <w:r w:rsidRPr="007352A1">
        <w:rPr>
          <w:rFonts w:asciiTheme="majorHAnsi" w:eastAsiaTheme="minorHAnsi" w:hAnsiTheme="majorHAnsi" w:cstheme="minorBidi"/>
          <w:color w:val="373737" w:themeColor="accent1" w:themeShade="40"/>
          <w:sz w:val="20"/>
          <w:szCs w:val="20"/>
          <w:lang w:val="en-US" w:eastAsia="en-US"/>
        </w:rPr>
        <w:t xml:space="preserve">While </w:t>
      </w:r>
      <w:r w:rsidR="00AF6F07">
        <w:rPr>
          <w:rFonts w:asciiTheme="majorHAnsi" w:eastAsiaTheme="minorHAnsi" w:hAnsiTheme="majorHAnsi" w:cstheme="minorBidi"/>
          <w:color w:val="373737" w:themeColor="accent1" w:themeShade="40"/>
          <w:sz w:val="20"/>
          <w:szCs w:val="20"/>
          <w:lang w:eastAsia="en-US"/>
        </w:rPr>
        <w:t>GPP</w:t>
      </w:r>
      <w:r w:rsidR="008822A7" w:rsidRPr="007352A1">
        <w:rPr>
          <w:rFonts w:asciiTheme="majorHAnsi" w:eastAsiaTheme="minorHAnsi" w:hAnsiTheme="majorHAnsi" w:cstheme="minorBidi"/>
          <w:color w:val="373737" w:themeColor="accent1" w:themeShade="40"/>
          <w:sz w:val="20"/>
          <w:szCs w:val="20"/>
          <w:lang w:eastAsia="en-US"/>
        </w:rPr>
        <w:t>’s</w:t>
      </w:r>
      <w:r w:rsidR="008822A7" w:rsidRPr="007352A1">
        <w:rPr>
          <w:rFonts w:asciiTheme="majorHAnsi" w:eastAsiaTheme="minorHAnsi" w:hAnsiTheme="majorHAnsi" w:cstheme="minorBidi"/>
          <w:color w:val="373737" w:themeColor="accent1" w:themeShade="40"/>
          <w:sz w:val="20"/>
          <w:szCs w:val="20"/>
          <w:lang w:val="en-US" w:eastAsia="en-US"/>
        </w:rPr>
        <w:t xml:space="preserve"> </w:t>
      </w:r>
      <w:r w:rsidRPr="007352A1">
        <w:rPr>
          <w:rFonts w:asciiTheme="majorHAnsi" w:eastAsiaTheme="minorHAnsi" w:hAnsiTheme="majorHAnsi" w:cstheme="minorBidi"/>
          <w:color w:val="373737" w:themeColor="accent1" w:themeShade="40"/>
          <w:sz w:val="20"/>
          <w:szCs w:val="20"/>
          <w:lang w:val="en-US" w:eastAsia="en-US"/>
        </w:rPr>
        <w:t>focus will first be on disasters from natural hazards, the types of activities that the GPP would support are also important for countries to prepare for other threats</w:t>
      </w:r>
      <w:r w:rsidR="008822A7" w:rsidRPr="007352A1">
        <w:rPr>
          <w:rFonts w:asciiTheme="majorHAnsi" w:eastAsiaTheme="minorHAnsi" w:hAnsiTheme="majorHAnsi" w:cstheme="minorBidi"/>
          <w:color w:val="373737" w:themeColor="accent1" w:themeShade="40"/>
          <w:sz w:val="20"/>
          <w:szCs w:val="20"/>
          <w:lang w:val="en-US" w:eastAsia="en-US"/>
        </w:rPr>
        <w:t xml:space="preserve"> </w:t>
      </w:r>
      <w:r w:rsidRPr="007352A1">
        <w:rPr>
          <w:rFonts w:asciiTheme="majorHAnsi" w:eastAsiaTheme="minorHAnsi" w:hAnsiTheme="majorHAnsi" w:cstheme="minorBidi"/>
          <w:color w:val="373737" w:themeColor="accent1" w:themeShade="40"/>
          <w:sz w:val="20"/>
          <w:szCs w:val="20"/>
          <w:lang w:val="en-US" w:eastAsia="en-US"/>
        </w:rPr>
        <w:t>through strengthening civil protection services</w:t>
      </w:r>
      <w:r w:rsidR="008822A7" w:rsidRPr="007352A1">
        <w:rPr>
          <w:rFonts w:asciiTheme="majorHAnsi" w:eastAsiaTheme="minorHAnsi" w:hAnsiTheme="majorHAnsi" w:cstheme="minorBidi"/>
          <w:color w:val="373737" w:themeColor="accent1" w:themeShade="40"/>
          <w:sz w:val="20"/>
          <w:szCs w:val="20"/>
          <w:lang w:val="en-US" w:eastAsia="en-US"/>
        </w:rPr>
        <w:t xml:space="preserve"> and generic disaster risk management systems</w:t>
      </w:r>
      <w:r w:rsidR="008241EB" w:rsidRPr="007352A1">
        <w:rPr>
          <w:rFonts w:asciiTheme="majorHAnsi" w:eastAsiaTheme="minorHAnsi" w:hAnsiTheme="majorHAnsi" w:cstheme="minorBidi"/>
          <w:color w:val="373737" w:themeColor="accent1" w:themeShade="40"/>
          <w:sz w:val="20"/>
          <w:szCs w:val="20"/>
          <w:lang w:val="en-US" w:eastAsia="en-US"/>
        </w:rPr>
        <w:t>.</w:t>
      </w:r>
      <w:r w:rsidR="004E673F" w:rsidRPr="007352A1">
        <w:rPr>
          <w:rFonts w:asciiTheme="majorHAnsi" w:eastAsiaTheme="minorHAnsi" w:hAnsiTheme="majorHAnsi" w:cstheme="minorBidi"/>
          <w:color w:val="373737" w:themeColor="accent1" w:themeShade="40"/>
          <w:sz w:val="20"/>
          <w:szCs w:val="20"/>
          <w:lang w:val="en-US" w:eastAsia="en-US"/>
        </w:rPr>
        <w:t xml:space="preserve"> </w:t>
      </w:r>
    </w:p>
    <w:p w14:paraId="5620774D" w14:textId="41A244B5" w:rsidR="00661F23" w:rsidRPr="007352A1" w:rsidRDefault="002432F5" w:rsidP="00BA6931">
      <w:pPr>
        <w:pStyle w:val="Heading2"/>
        <w:numPr>
          <w:ilvl w:val="0"/>
          <w:numId w:val="10"/>
        </w:numPr>
        <w:spacing w:before="0" w:after="120" w:line="259" w:lineRule="auto"/>
        <w:jc w:val="both"/>
        <w:rPr>
          <w:rFonts w:asciiTheme="majorHAnsi" w:eastAsiaTheme="minorHAnsi" w:hAnsiTheme="majorHAnsi" w:cstheme="minorBidi"/>
          <w:color w:val="373737" w:themeColor="accent1" w:themeShade="40"/>
          <w:sz w:val="20"/>
          <w:szCs w:val="20"/>
          <w:lang w:val="en-US" w:eastAsia="en-US"/>
        </w:rPr>
      </w:pPr>
      <w:r w:rsidRPr="007352A1">
        <w:rPr>
          <w:rFonts w:asciiTheme="majorHAnsi" w:eastAsiaTheme="minorHAnsi" w:hAnsiTheme="majorHAnsi" w:cstheme="minorBidi"/>
          <w:color w:val="auto"/>
          <w:sz w:val="20"/>
          <w:szCs w:val="20"/>
          <w:lang w:eastAsia="en-US"/>
        </w:rPr>
        <w:t xml:space="preserve">The </w:t>
      </w:r>
      <w:r w:rsidR="00AF6F07">
        <w:rPr>
          <w:rFonts w:asciiTheme="majorHAnsi" w:eastAsiaTheme="minorHAnsi" w:hAnsiTheme="majorHAnsi" w:cstheme="minorBidi"/>
          <w:color w:val="373737" w:themeColor="accent1" w:themeShade="40"/>
          <w:sz w:val="20"/>
          <w:szCs w:val="20"/>
          <w:lang w:eastAsia="en-US"/>
        </w:rPr>
        <w:t>GPP</w:t>
      </w:r>
      <w:r w:rsidR="00BA6931" w:rsidRPr="007352A1">
        <w:rPr>
          <w:rFonts w:asciiTheme="majorHAnsi" w:eastAsiaTheme="minorHAnsi" w:hAnsiTheme="majorHAnsi" w:cstheme="minorBidi"/>
          <w:color w:val="auto"/>
          <w:sz w:val="20"/>
          <w:szCs w:val="20"/>
          <w:lang w:eastAsia="en-US"/>
        </w:rPr>
        <w:t xml:space="preserve"> </w:t>
      </w:r>
      <w:r w:rsidRPr="007352A1">
        <w:rPr>
          <w:rFonts w:asciiTheme="majorHAnsi" w:eastAsiaTheme="minorHAnsi" w:hAnsiTheme="majorHAnsi" w:cstheme="minorBidi"/>
          <w:color w:val="auto"/>
          <w:sz w:val="20"/>
          <w:szCs w:val="20"/>
          <w:lang w:eastAsia="en-US"/>
        </w:rPr>
        <w:t>will f</w:t>
      </w:r>
      <w:r w:rsidR="00661F23" w:rsidRPr="007352A1">
        <w:rPr>
          <w:rFonts w:asciiTheme="majorHAnsi" w:eastAsiaTheme="minorHAnsi" w:hAnsiTheme="majorHAnsi" w:cstheme="minorBidi"/>
          <w:color w:val="auto"/>
          <w:sz w:val="20"/>
          <w:szCs w:val="20"/>
          <w:lang w:eastAsia="en-US"/>
        </w:rPr>
        <w:t xml:space="preserve">ocus on up to 50 vulnerable countries, starting with </w:t>
      </w:r>
      <w:r w:rsidR="001C5785" w:rsidRPr="007352A1">
        <w:rPr>
          <w:rFonts w:asciiTheme="majorHAnsi" w:eastAsiaTheme="minorHAnsi" w:hAnsiTheme="majorHAnsi" w:cstheme="minorBidi"/>
          <w:color w:val="auto"/>
          <w:sz w:val="20"/>
          <w:szCs w:val="20"/>
          <w:lang w:val="en-US" w:eastAsia="en-US"/>
        </w:rPr>
        <w:t xml:space="preserve">a pilot phase of </w:t>
      </w:r>
      <w:r w:rsidR="00661F23" w:rsidRPr="007352A1">
        <w:rPr>
          <w:rFonts w:asciiTheme="majorHAnsi" w:eastAsiaTheme="minorHAnsi" w:hAnsiTheme="majorHAnsi" w:cstheme="minorBidi"/>
          <w:color w:val="auto"/>
          <w:sz w:val="20"/>
          <w:szCs w:val="20"/>
          <w:lang w:eastAsia="en-US"/>
        </w:rPr>
        <w:t xml:space="preserve">20. The list of recipient countries will be established in consultation with the </w:t>
      </w:r>
      <w:r w:rsidR="00B328EB" w:rsidRPr="007352A1">
        <w:rPr>
          <w:rFonts w:asciiTheme="majorHAnsi" w:eastAsiaTheme="minorHAnsi" w:hAnsiTheme="majorHAnsi" w:cstheme="minorBidi"/>
          <w:color w:val="auto"/>
          <w:sz w:val="20"/>
          <w:szCs w:val="20"/>
          <w:lang w:eastAsia="en-US"/>
        </w:rPr>
        <w:t>V20</w:t>
      </w:r>
      <w:r w:rsidR="00240475" w:rsidRPr="007352A1">
        <w:rPr>
          <w:rFonts w:asciiTheme="majorHAnsi" w:eastAsiaTheme="minorHAnsi" w:hAnsiTheme="majorHAnsi" w:cstheme="minorBidi"/>
          <w:color w:val="auto"/>
          <w:sz w:val="20"/>
          <w:szCs w:val="20"/>
          <w:lang w:eastAsia="en-US"/>
        </w:rPr>
        <w:t xml:space="preserve"> and in line with its Action Plan</w:t>
      </w:r>
      <w:r w:rsidR="004E673F" w:rsidRPr="007352A1">
        <w:rPr>
          <w:rFonts w:asciiTheme="majorHAnsi" w:eastAsiaTheme="minorHAnsi" w:hAnsiTheme="majorHAnsi" w:cstheme="minorBidi"/>
          <w:color w:val="auto"/>
          <w:sz w:val="20"/>
          <w:szCs w:val="20"/>
          <w:lang w:eastAsia="en-US"/>
        </w:rPr>
        <w:t>. O</w:t>
      </w:r>
      <w:r w:rsidR="00223AFC" w:rsidRPr="007352A1">
        <w:rPr>
          <w:rFonts w:asciiTheme="majorHAnsi" w:eastAsiaTheme="minorHAnsi" w:hAnsiTheme="majorHAnsi" w:cstheme="minorBidi"/>
          <w:color w:val="auto"/>
          <w:sz w:val="20"/>
          <w:szCs w:val="20"/>
          <w:lang w:eastAsia="en-US"/>
        </w:rPr>
        <w:t xml:space="preserve">ver time, the </w:t>
      </w:r>
      <w:r w:rsidR="00AF6F07">
        <w:rPr>
          <w:rFonts w:asciiTheme="majorHAnsi" w:eastAsiaTheme="minorHAnsi" w:hAnsiTheme="majorHAnsi" w:cstheme="minorBidi"/>
          <w:color w:val="373737" w:themeColor="accent1" w:themeShade="40"/>
          <w:sz w:val="20"/>
          <w:szCs w:val="20"/>
          <w:lang w:eastAsia="en-US"/>
        </w:rPr>
        <w:t>GPP</w:t>
      </w:r>
      <w:r w:rsidR="004A3751" w:rsidRPr="007352A1">
        <w:rPr>
          <w:rFonts w:asciiTheme="majorHAnsi" w:eastAsiaTheme="minorHAnsi" w:hAnsiTheme="majorHAnsi" w:cstheme="minorBidi"/>
          <w:color w:val="auto"/>
          <w:sz w:val="20"/>
          <w:szCs w:val="20"/>
          <w:lang w:eastAsia="en-US"/>
        </w:rPr>
        <w:t xml:space="preserve"> </w:t>
      </w:r>
      <w:r w:rsidR="00223AFC" w:rsidRPr="007352A1">
        <w:rPr>
          <w:rFonts w:asciiTheme="majorHAnsi" w:eastAsiaTheme="minorHAnsi" w:hAnsiTheme="majorHAnsi" w:cstheme="minorBidi"/>
          <w:color w:val="auto"/>
          <w:sz w:val="20"/>
          <w:szCs w:val="20"/>
          <w:lang w:eastAsia="en-US"/>
        </w:rPr>
        <w:t xml:space="preserve">will also include </w:t>
      </w:r>
      <w:r w:rsidR="003F61EE" w:rsidRPr="007352A1">
        <w:rPr>
          <w:rFonts w:asciiTheme="majorHAnsi" w:eastAsiaTheme="minorHAnsi" w:hAnsiTheme="majorHAnsi" w:cstheme="minorBidi"/>
          <w:color w:val="auto"/>
          <w:sz w:val="20"/>
          <w:szCs w:val="20"/>
          <w:lang w:eastAsia="en-US"/>
        </w:rPr>
        <w:t>vulnerable</w:t>
      </w:r>
      <w:r w:rsidR="00223AFC" w:rsidRPr="007352A1">
        <w:rPr>
          <w:rFonts w:asciiTheme="majorHAnsi" w:eastAsiaTheme="minorHAnsi" w:hAnsiTheme="majorHAnsi" w:cstheme="minorBidi"/>
          <w:color w:val="auto"/>
          <w:sz w:val="20"/>
          <w:szCs w:val="20"/>
          <w:lang w:eastAsia="en-US"/>
        </w:rPr>
        <w:t xml:space="preserve"> countries beyond </w:t>
      </w:r>
      <w:proofErr w:type="spellStart"/>
      <w:r w:rsidR="00223AFC" w:rsidRPr="007352A1">
        <w:rPr>
          <w:rFonts w:asciiTheme="majorHAnsi" w:eastAsiaTheme="minorHAnsi" w:hAnsiTheme="majorHAnsi" w:cstheme="minorBidi"/>
          <w:color w:val="auto"/>
          <w:sz w:val="20"/>
          <w:szCs w:val="20"/>
          <w:lang w:eastAsia="en-US"/>
        </w:rPr>
        <w:t>th</w:t>
      </w:r>
      <w:r w:rsidR="001C5785" w:rsidRPr="007352A1">
        <w:rPr>
          <w:rFonts w:asciiTheme="majorHAnsi" w:eastAsiaTheme="minorHAnsi" w:hAnsiTheme="majorHAnsi" w:cstheme="minorBidi"/>
          <w:color w:val="auto"/>
          <w:sz w:val="20"/>
          <w:szCs w:val="20"/>
          <w:lang w:val="en-US" w:eastAsia="en-US"/>
        </w:rPr>
        <w:t>ose</w:t>
      </w:r>
      <w:proofErr w:type="spellEnd"/>
      <w:r w:rsidR="001C5785" w:rsidRPr="007352A1">
        <w:rPr>
          <w:rFonts w:asciiTheme="majorHAnsi" w:eastAsiaTheme="minorHAnsi" w:hAnsiTheme="majorHAnsi" w:cstheme="minorBidi"/>
          <w:color w:val="auto"/>
          <w:sz w:val="20"/>
          <w:szCs w:val="20"/>
          <w:lang w:val="en-US" w:eastAsia="en-US"/>
        </w:rPr>
        <w:t xml:space="preserve"> in the</w:t>
      </w:r>
      <w:r w:rsidR="00223AFC" w:rsidRPr="007352A1">
        <w:rPr>
          <w:rFonts w:asciiTheme="majorHAnsi" w:eastAsiaTheme="minorHAnsi" w:hAnsiTheme="majorHAnsi" w:cstheme="minorBidi"/>
          <w:color w:val="auto"/>
          <w:sz w:val="20"/>
          <w:szCs w:val="20"/>
          <w:lang w:eastAsia="en-US"/>
        </w:rPr>
        <w:t xml:space="preserve"> V20.  The selection of countries will be </w:t>
      </w:r>
      <w:r w:rsidR="00661F23" w:rsidRPr="007352A1">
        <w:rPr>
          <w:rFonts w:asciiTheme="majorHAnsi" w:eastAsiaTheme="minorHAnsi" w:hAnsiTheme="majorHAnsi" w:cstheme="minorBidi"/>
          <w:color w:val="auto"/>
          <w:sz w:val="20"/>
          <w:szCs w:val="20"/>
          <w:lang w:eastAsia="en-US"/>
        </w:rPr>
        <w:t>based on:</w:t>
      </w:r>
    </w:p>
    <w:p w14:paraId="368DB391" w14:textId="77A0045C" w:rsidR="00661F23" w:rsidRPr="007352A1" w:rsidRDefault="00661F23" w:rsidP="00BA6931">
      <w:pPr>
        <w:pStyle w:val="Heading2"/>
        <w:numPr>
          <w:ilvl w:val="0"/>
          <w:numId w:val="13"/>
        </w:numPr>
        <w:spacing w:before="0" w:after="0" w:line="259" w:lineRule="auto"/>
        <w:jc w:val="both"/>
        <w:rPr>
          <w:rFonts w:asciiTheme="majorHAnsi" w:eastAsiaTheme="minorHAnsi" w:hAnsiTheme="majorHAnsi" w:cstheme="minorBidi"/>
          <w:color w:val="auto"/>
          <w:sz w:val="20"/>
          <w:szCs w:val="20"/>
          <w:lang w:eastAsia="en-US"/>
        </w:rPr>
      </w:pPr>
      <w:r w:rsidRPr="007352A1">
        <w:rPr>
          <w:rFonts w:asciiTheme="majorHAnsi" w:eastAsiaTheme="minorHAnsi" w:hAnsiTheme="majorHAnsi" w:cstheme="minorBidi"/>
          <w:b/>
          <w:color w:val="auto"/>
          <w:sz w:val="20"/>
          <w:szCs w:val="20"/>
          <w:lang w:eastAsia="en-US"/>
        </w:rPr>
        <w:t>Political will</w:t>
      </w:r>
      <w:r w:rsidRPr="007352A1">
        <w:rPr>
          <w:rFonts w:asciiTheme="majorHAnsi" w:eastAsiaTheme="minorHAnsi" w:hAnsiTheme="majorHAnsi" w:cstheme="minorBidi"/>
          <w:color w:val="auto"/>
          <w:sz w:val="20"/>
          <w:szCs w:val="20"/>
          <w:lang w:eastAsia="en-US"/>
        </w:rPr>
        <w:t>, including their commitment to provide national resources to the objectives of the partnership.</w:t>
      </w:r>
    </w:p>
    <w:p w14:paraId="752E9F68" w14:textId="78BD3B56" w:rsidR="00661F23" w:rsidRPr="007352A1" w:rsidRDefault="00661F23" w:rsidP="00BA6931">
      <w:pPr>
        <w:pStyle w:val="Heading2"/>
        <w:numPr>
          <w:ilvl w:val="0"/>
          <w:numId w:val="13"/>
        </w:numPr>
        <w:spacing w:before="0" w:after="0" w:line="259" w:lineRule="auto"/>
        <w:jc w:val="both"/>
        <w:rPr>
          <w:rFonts w:asciiTheme="majorHAnsi" w:eastAsiaTheme="minorHAnsi" w:hAnsiTheme="majorHAnsi" w:cstheme="minorBidi"/>
          <w:color w:val="auto"/>
          <w:sz w:val="20"/>
          <w:szCs w:val="20"/>
          <w:lang w:eastAsia="en-US"/>
        </w:rPr>
      </w:pPr>
      <w:r w:rsidRPr="007352A1">
        <w:rPr>
          <w:rFonts w:asciiTheme="majorHAnsi" w:eastAsiaTheme="minorHAnsi" w:hAnsiTheme="majorHAnsi" w:cstheme="minorBidi"/>
          <w:b/>
          <w:color w:val="auto"/>
          <w:sz w:val="20"/>
          <w:szCs w:val="20"/>
          <w:lang w:eastAsia="en-US"/>
        </w:rPr>
        <w:t>Multi-hazard vulnerability analysis</w:t>
      </w:r>
      <w:r w:rsidRPr="007352A1">
        <w:rPr>
          <w:rFonts w:asciiTheme="majorHAnsi" w:eastAsiaTheme="minorHAnsi" w:hAnsiTheme="majorHAnsi" w:cstheme="minorBidi"/>
          <w:color w:val="auto"/>
          <w:sz w:val="20"/>
          <w:szCs w:val="20"/>
          <w:lang w:eastAsia="en-US"/>
        </w:rPr>
        <w:t xml:space="preserve"> including risk of changing climate, a</w:t>
      </w:r>
      <w:r w:rsidR="00624DDE">
        <w:rPr>
          <w:rFonts w:asciiTheme="majorHAnsi" w:eastAsiaTheme="minorHAnsi" w:hAnsiTheme="majorHAnsi" w:cstheme="minorBidi"/>
          <w:color w:val="auto"/>
          <w:sz w:val="20"/>
          <w:szCs w:val="20"/>
          <w:lang w:eastAsia="en-US"/>
        </w:rPr>
        <w:t>nd compounding risks and vulnerabilities</w:t>
      </w:r>
      <w:r w:rsidRPr="007352A1">
        <w:rPr>
          <w:rFonts w:asciiTheme="majorHAnsi" w:eastAsiaTheme="minorHAnsi" w:hAnsiTheme="majorHAnsi" w:cstheme="minorBidi"/>
          <w:color w:val="auto"/>
          <w:sz w:val="20"/>
          <w:szCs w:val="20"/>
          <w:lang w:eastAsia="en-US"/>
        </w:rPr>
        <w:t>.</w:t>
      </w:r>
    </w:p>
    <w:p w14:paraId="18A661E7" w14:textId="3484B23C" w:rsidR="00661F23" w:rsidRPr="004A3751" w:rsidRDefault="00661F23" w:rsidP="00BA6931">
      <w:pPr>
        <w:pStyle w:val="Heading2"/>
        <w:numPr>
          <w:ilvl w:val="0"/>
          <w:numId w:val="13"/>
        </w:numPr>
        <w:spacing w:before="0" w:after="120" w:line="259" w:lineRule="auto"/>
        <w:jc w:val="both"/>
        <w:rPr>
          <w:rFonts w:asciiTheme="majorHAnsi" w:eastAsiaTheme="minorHAnsi" w:hAnsiTheme="majorHAnsi" w:cstheme="minorBidi"/>
          <w:color w:val="auto"/>
          <w:sz w:val="20"/>
          <w:szCs w:val="20"/>
          <w:lang w:eastAsia="en-US"/>
        </w:rPr>
      </w:pPr>
      <w:r w:rsidRPr="007352A1">
        <w:rPr>
          <w:rFonts w:asciiTheme="majorHAnsi" w:eastAsiaTheme="minorHAnsi" w:hAnsiTheme="majorHAnsi" w:cstheme="minorBidi"/>
          <w:b/>
          <w:color w:val="auto"/>
          <w:sz w:val="20"/>
          <w:szCs w:val="20"/>
          <w:lang w:eastAsia="en-US"/>
        </w:rPr>
        <w:t>Emerging or imminent hazards</w:t>
      </w:r>
      <w:r w:rsidRPr="007352A1">
        <w:rPr>
          <w:rFonts w:asciiTheme="majorHAnsi" w:eastAsiaTheme="minorHAnsi" w:hAnsiTheme="majorHAnsi" w:cstheme="minorBidi"/>
          <w:color w:val="auto"/>
          <w:sz w:val="20"/>
          <w:szCs w:val="20"/>
          <w:lang w:eastAsia="en-US"/>
        </w:rPr>
        <w:t xml:space="preserve"> for which preparedness needs to be scaled up</w:t>
      </w:r>
      <w:r w:rsidR="00A7252F" w:rsidRPr="007352A1">
        <w:rPr>
          <w:rFonts w:asciiTheme="majorHAnsi" w:eastAsiaTheme="minorHAnsi" w:hAnsiTheme="majorHAnsi" w:cstheme="minorBidi"/>
          <w:color w:val="auto"/>
          <w:sz w:val="20"/>
          <w:szCs w:val="20"/>
          <w:lang w:val="en-US" w:eastAsia="en-US"/>
        </w:rPr>
        <w:t>.</w:t>
      </w:r>
    </w:p>
    <w:p w14:paraId="1A6D62E2" w14:textId="40B21FA1" w:rsidR="009E541C" w:rsidRPr="00776CE5" w:rsidRDefault="00624DDE" w:rsidP="009E541C">
      <w:pPr>
        <w:pStyle w:val="Heading2"/>
        <w:numPr>
          <w:ilvl w:val="0"/>
          <w:numId w:val="10"/>
        </w:numPr>
        <w:spacing w:before="0" w:after="120" w:line="259" w:lineRule="auto"/>
        <w:jc w:val="both"/>
        <w:rPr>
          <w:rFonts w:asciiTheme="majorHAnsi" w:eastAsiaTheme="minorHAnsi" w:hAnsiTheme="majorHAnsi" w:cstheme="minorBidi"/>
          <w:color w:val="auto"/>
          <w:sz w:val="20"/>
          <w:szCs w:val="20"/>
          <w:lang w:val="en-US" w:eastAsia="en-US"/>
        </w:rPr>
      </w:pPr>
      <w:r w:rsidRPr="00624DDE">
        <w:rPr>
          <w:rFonts w:asciiTheme="majorHAnsi" w:eastAsiaTheme="minorHAnsi" w:hAnsiTheme="majorHAnsi" w:cstheme="minorBidi"/>
          <w:color w:val="auto"/>
          <w:sz w:val="20"/>
          <w:szCs w:val="20"/>
          <w:lang w:val="en-US" w:eastAsia="en-US"/>
        </w:rPr>
        <w:t>These principles will be translated into a program of action that leads to countries having arrangements in place to achieve a minimum level of readiness. These include: a) an understanding of risks and vulnerabilities; b) the ability to coordinate and manage different stakeholders prior to and during a crisis, based on response and recovery plans that have clear roles and responsibilities and decision making mechanisms, such as triggers, that lead to early action; c) having the operational capabilities and systems in place prior to a shock to allow rapid delivery; and d) undertaking careful financial planning as an essential part of preparedness planning, so that a set of financial instruments are in place to allow access to both quick response and recovery finance.</w:t>
      </w:r>
    </w:p>
    <w:p w14:paraId="05CD210F" w14:textId="223EDA07" w:rsidR="00D30285" w:rsidRPr="009E541C" w:rsidRDefault="00D30285" w:rsidP="00D30285">
      <w:pPr>
        <w:pStyle w:val="Heading2"/>
        <w:numPr>
          <w:ilvl w:val="0"/>
          <w:numId w:val="10"/>
        </w:numPr>
        <w:spacing w:before="0" w:after="120" w:line="259" w:lineRule="auto"/>
        <w:jc w:val="both"/>
        <w:rPr>
          <w:rFonts w:asciiTheme="majorHAnsi" w:eastAsiaTheme="minorHAnsi" w:hAnsiTheme="majorHAnsi" w:cstheme="minorBidi"/>
          <w:color w:val="auto"/>
          <w:sz w:val="20"/>
          <w:szCs w:val="20"/>
          <w:lang w:val="en-US" w:eastAsia="en-US"/>
        </w:rPr>
      </w:pPr>
      <w:r w:rsidRPr="00971121">
        <w:rPr>
          <w:rFonts w:asciiTheme="majorHAnsi" w:eastAsiaTheme="minorHAnsi" w:hAnsiTheme="majorHAnsi" w:cstheme="minorBidi"/>
          <w:color w:val="161616" w:themeColor="accent1" w:themeShade="1A"/>
          <w:sz w:val="20"/>
          <w:szCs w:val="20"/>
          <w:lang w:eastAsia="en-US"/>
        </w:rPr>
        <w:t xml:space="preserve">The </w:t>
      </w:r>
      <w:r w:rsidR="00AF6F07" w:rsidRPr="00971121">
        <w:rPr>
          <w:rFonts w:asciiTheme="majorHAnsi" w:eastAsiaTheme="minorHAnsi" w:hAnsiTheme="majorHAnsi" w:cstheme="minorBidi"/>
          <w:color w:val="161616" w:themeColor="accent1" w:themeShade="1A"/>
          <w:sz w:val="20"/>
          <w:szCs w:val="20"/>
          <w:lang w:eastAsia="en-US"/>
        </w:rPr>
        <w:t>GPP</w:t>
      </w:r>
      <w:r w:rsidR="00971121">
        <w:rPr>
          <w:rFonts w:asciiTheme="majorHAnsi" w:eastAsiaTheme="minorHAnsi" w:hAnsiTheme="majorHAnsi" w:cstheme="minorBidi"/>
          <w:b/>
          <w:color w:val="auto"/>
          <w:sz w:val="20"/>
          <w:szCs w:val="20"/>
          <w:lang w:eastAsia="en-US"/>
        </w:rPr>
        <w:t xml:space="preserve"> </w:t>
      </w:r>
      <w:r w:rsidR="00971121">
        <w:rPr>
          <w:rFonts w:asciiTheme="majorHAnsi" w:eastAsiaTheme="minorHAnsi" w:hAnsiTheme="majorHAnsi" w:cstheme="minorBidi"/>
          <w:color w:val="auto"/>
          <w:sz w:val="20"/>
          <w:szCs w:val="20"/>
          <w:lang w:eastAsia="en-US"/>
        </w:rPr>
        <w:t>can support the following four components</w:t>
      </w:r>
      <w:r>
        <w:rPr>
          <w:rFonts w:asciiTheme="majorHAnsi" w:eastAsiaTheme="minorHAnsi" w:hAnsiTheme="majorHAnsi" w:cstheme="minorBidi"/>
          <w:b/>
          <w:color w:val="auto"/>
          <w:sz w:val="20"/>
          <w:szCs w:val="20"/>
          <w:lang w:eastAsia="en-US"/>
        </w:rPr>
        <w:t>:</w:t>
      </w:r>
    </w:p>
    <w:p w14:paraId="0AC8A67D" w14:textId="77777777" w:rsidR="00486B56" w:rsidRPr="00486B56" w:rsidRDefault="00486B56" w:rsidP="00486B56">
      <w:pPr>
        <w:pStyle w:val="Heading2"/>
        <w:numPr>
          <w:ilvl w:val="0"/>
          <w:numId w:val="5"/>
        </w:numPr>
        <w:spacing w:before="120" w:after="0" w:line="240" w:lineRule="auto"/>
        <w:ind w:left="450"/>
        <w:jc w:val="both"/>
        <w:rPr>
          <w:rFonts w:asciiTheme="majorHAnsi" w:eastAsiaTheme="minorHAnsi" w:hAnsiTheme="majorHAnsi" w:cstheme="minorBidi"/>
          <w:color w:val="auto"/>
          <w:sz w:val="20"/>
          <w:szCs w:val="20"/>
          <w:lang w:eastAsia="en-US"/>
        </w:rPr>
      </w:pPr>
      <w:r w:rsidRPr="00486B56">
        <w:rPr>
          <w:rFonts w:asciiTheme="majorHAnsi" w:eastAsiaTheme="minorHAnsi" w:hAnsiTheme="majorHAnsi" w:cstheme="minorBidi"/>
          <w:b/>
          <w:i/>
          <w:color w:val="auto"/>
          <w:sz w:val="20"/>
          <w:szCs w:val="20"/>
          <w:lang w:eastAsia="en-US"/>
        </w:rPr>
        <w:t>Assessment of country-level readiness and identifying priority gaps,</w:t>
      </w:r>
      <w:r w:rsidRPr="00486B56">
        <w:rPr>
          <w:rFonts w:asciiTheme="majorHAnsi" w:eastAsiaTheme="minorHAnsi" w:hAnsiTheme="majorHAnsi" w:cstheme="minorBidi"/>
          <w:i/>
          <w:color w:val="auto"/>
          <w:sz w:val="20"/>
          <w:szCs w:val="20"/>
          <w:lang w:eastAsia="en-US"/>
        </w:rPr>
        <w:t xml:space="preserve"> such as for response and recovery capacities</w:t>
      </w:r>
      <w:r w:rsidRPr="00486B56">
        <w:rPr>
          <w:rFonts w:asciiTheme="majorHAnsi" w:eastAsiaTheme="minorHAnsi" w:hAnsiTheme="majorHAnsi" w:cstheme="minorBidi"/>
          <w:color w:val="auto"/>
          <w:sz w:val="20"/>
          <w:szCs w:val="20"/>
          <w:lang w:eastAsia="en-US"/>
        </w:rPr>
        <w:t>. A diagnostic tool will be developed This will build on existing best practice, such as the country capacity development matrix for preparedness developed by IASC’s thematic group on preparedness. This would include assessing the current programs supporting preparedness, and improving the alignment of these to national plans.</w:t>
      </w:r>
    </w:p>
    <w:p w14:paraId="487FCB8B" w14:textId="7689E861" w:rsidR="00D30285" w:rsidRPr="00486B56" w:rsidRDefault="00486B56" w:rsidP="00486B56">
      <w:pPr>
        <w:pStyle w:val="Heading2"/>
        <w:numPr>
          <w:ilvl w:val="0"/>
          <w:numId w:val="5"/>
        </w:numPr>
        <w:spacing w:before="120" w:after="0" w:line="240" w:lineRule="auto"/>
        <w:ind w:left="450"/>
        <w:jc w:val="both"/>
        <w:rPr>
          <w:rFonts w:asciiTheme="minorHAnsi" w:eastAsiaTheme="minorHAnsi" w:hAnsiTheme="minorHAnsi" w:cstheme="minorBidi"/>
          <w:color w:val="auto"/>
          <w:sz w:val="22"/>
          <w:szCs w:val="22"/>
          <w:lang w:eastAsia="en-US"/>
        </w:rPr>
      </w:pPr>
      <w:r>
        <w:rPr>
          <w:rFonts w:asciiTheme="majorHAnsi" w:hAnsiTheme="majorHAnsi"/>
          <w:b/>
          <w:i/>
          <w:sz w:val="20"/>
          <w:szCs w:val="20"/>
        </w:rPr>
        <w:t>Targeted preparedness building programmes</w:t>
      </w:r>
      <w:r>
        <w:rPr>
          <w:rFonts w:asciiTheme="majorHAnsi" w:hAnsiTheme="majorHAnsi"/>
          <w:i/>
          <w:sz w:val="20"/>
          <w:szCs w:val="20"/>
        </w:rPr>
        <w:t xml:space="preserve"> </w:t>
      </w:r>
      <w:r>
        <w:rPr>
          <w:rFonts w:asciiTheme="majorHAnsi" w:hAnsiTheme="majorHAnsi"/>
          <w:sz w:val="20"/>
          <w:szCs w:val="20"/>
        </w:rPr>
        <w:t>within the following categories:</w:t>
      </w:r>
      <w:r w:rsidR="00D30285" w:rsidRPr="00486B56">
        <w:rPr>
          <w:rFonts w:asciiTheme="majorHAnsi" w:hAnsiTheme="majorHAnsi"/>
          <w:sz w:val="20"/>
          <w:szCs w:val="20"/>
        </w:rPr>
        <w:t xml:space="preserve"> </w:t>
      </w:r>
    </w:p>
    <w:p w14:paraId="69B0623E" w14:textId="77777777" w:rsidR="00D30285" w:rsidRPr="007352A1" w:rsidRDefault="00D30285" w:rsidP="00D30285">
      <w:pPr>
        <w:pStyle w:val="ListParagraph"/>
        <w:numPr>
          <w:ilvl w:val="0"/>
          <w:numId w:val="16"/>
        </w:numPr>
        <w:spacing w:line="259" w:lineRule="auto"/>
        <w:jc w:val="both"/>
        <w:rPr>
          <w:rFonts w:asciiTheme="majorHAnsi" w:hAnsiTheme="majorHAnsi"/>
          <w:sz w:val="20"/>
          <w:szCs w:val="20"/>
        </w:rPr>
      </w:pPr>
      <w:r w:rsidRPr="007352A1">
        <w:rPr>
          <w:rFonts w:asciiTheme="majorHAnsi" w:hAnsiTheme="majorHAnsi"/>
          <w:sz w:val="20"/>
        </w:rPr>
        <w:t>Institutional &amp; legislative frameworks</w:t>
      </w:r>
      <w:r w:rsidRPr="007352A1">
        <w:rPr>
          <w:rFonts w:asciiTheme="majorHAnsi" w:hAnsiTheme="majorHAnsi" w:cs="Times New Roman"/>
          <w:sz w:val="20"/>
          <w:szCs w:val="20"/>
        </w:rPr>
        <w:t xml:space="preserve"> </w:t>
      </w:r>
    </w:p>
    <w:p w14:paraId="2EB5E10E" w14:textId="77777777" w:rsidR="00D30285" w:rsidRPr="00F32275" w:rsidRDefault="00D30285" w:rsidP="00D30285">
      <w:pPr>
        <w:pStyle w:val="ListParagraph"/>
        <w:numPr>
          <w:ilvl w:val="0"/>
          <w:numId w:val="16"/>
        </w:numPr>
        <w:spacing w:line="259" w:lineRule="auto"/>
        <w:jc w:val="both"/>
        <w:rPr>
          <w:rFonts w:asciiTheme="majorHAnsi" w:hAnsiTheme="majorHAnsi"/>
          <w:sz w:val="20"/>
          <w:szCs w:val="20"/>
        </w:rPr>
      </w:pPr>
      <w:r w:rsidRPr="004A3751">
        <w:rPr>
          <w:rFonts w:asciiTheme="majorHAnsi" w:hAnsiTheme="majorHAnsi"/>
          <w:sz w:val="20"/>
        </w:rPr>
        <w:t>Hazard</w:t>
      </w:r>
      <w:r>
        <w:rPr>
          <w:rFonts w:asciiTheme="majorHAnsi" w:hAnsiTheme="majorHAnsi"/>
          <w:sz w:val="20"/>
        </w:rPr>
        <w:t>s</w:t>
      </w:r>
      <w:r w:rsidRPr="004A3751">
        <w:rPr>
          <w:rFonts w:asciiTheme="majorHAnsi" w:hAnsiTheme="majorHAnsi"/>
          <w:sz w:val="20"/>
        </w:rPr>
        <w:t>, risk</w:t>
      </w:r>
      <w:r>
        <w:rPr>
          <w:rFonts w:asciiTheme="majorHAnsi" w:hAnsiTheme="majorHAnsi"/>
          <w:sz w:val="20"/>
        </w:rPr>
        <w:t>s</w:t>
      </w:r>
      <w:r w:rsidRPr="004A3751">
        <w:rPr>
          <w:rFonts w:asciiTheme="majorHAnsi" w:hAnsiTheme="majorHAnsi"/>
          <w:sz w:val="20"/>
        </w:rPr>
        <w:t xml:space="preserve"> and vulnerabilities diagnosis</w:t>
      </w:r>
      <w:r>
        <w:rPr>
          <w:rFonts w:asciiTheme="majorHAnsi" w:hAnsiTheme="majorHAnsi"/>
          <w:sz w:val="20"/>
        </w:rPr>
        <w:t xml:space="preserve"> </w:t>
      </w:r>
    </w:p>
    <w:p w14:paraId="1287AB95" w14:textId="77777777" w:rsidR="00D30285" w:rsidRPr="007352A1" w:rsidRDefault="00D30285" w:rsidP="00D30285">
      <w:pPr>
        <w:pStyle w:val="ListParagraph"/>
        <w:numPr>
          <w:ilvl w:val="0"/>
          <w:numId w:val="16"/>
        </w:numPr>
        <w:spacing w:line="259" w:lineRule="auto"/>
        <w:jc w:val="both"/>
        <w:rPr>
          <w:rFonts w:asciiTheme="majorHAnsi" w:hAnsiTheme="majorHAnsi"/>
          <w:sz w:val="20"/>
          <w:szCs w:val="20"/>
        </w:rPr>
      </w:pPr>
      <w:r>
        <w:rPr>
          <w:rFonts w:asciiTheme="majorHAnsi" w:hAnsiTheme="majorHAnsi"/>
          <w:sz w:val="20"/>
        </w:rPr>
        <w:t>Emergency c</w:t>
      </w:r>
      <w:proofErr w:type="spellStart"/>
      <w:r w:rsidRPr="007352A1">
        <w:rPr>
          <w:rFonts w:asciiTheme="majorHAnsi" w:hAnsiTheme="majorHAnsi"/>
          <w:sz w:val="20"/>
          <w:lang w:val="en-US"/>
        </w:rPr>
        <w:t>oordination</w:t>
      </w:r>
      <w:proofErr w:type="spellEnd"/>
      <w:r>
        <w:rPr>
          <w:rFonts w:asciiTheme="majorHAnsi" w:hAnsiTheme="majorHAnsi"/>
          <w:sz w:val="20"/>
          <w:lang w:val="en-US"/>
        </w:rPr>
        <w:t xml:space="preserve"> and financial architecture</w:t>
      </w:r>
      <w:r>
        <w:rPr>
          <w:rFonts w:asciiTheme="majorHAnsi" w:hAnsiTheme="majorHAnsi"/>
          <w:sz w:val="20"/>
        </w:rPr>
        <w:t xml:space="preserve"> schemes</w:t>
      </w:r>
    </w:p>
    <w:p w14:paraId="79CE3044" w14:textId="77777777" w:rsidR="00D30285" w:rsidRPr="004A3751" w:rsidRDefault="00D30285" w:rsidP="00D30285">
      <w:pPr>
        <w:pStyle w:val="ListParagraph"/>
        <w:numPr>
          <w:ilvl w:val="0"/>
          <w:numId w:val="16"/>
        </w:numPr>
        <w:spacing w:line="259" w:lineRule="auto"/>
        <w:jc w:val="both"/>
        <w:rPr>
          <w:rFonts w:asciiTheme="majorHAnsi" w:hAnsiTheme="majorHAnsi"/>
          <w:sz w:val="20"/>
          <w:szCs w:val="20"/>
        </w:rPr>
      </w:pPr>
      <w:r w:rsidRPr="004A3751">
        <w:rPr>
          <w:rFonts w:asciiTheme="majorHAnsi" w:hAnsiTheme="majorHAnsi"/>
          <w:sz w:val="20"/>
        </w:rPr>
        <w:t>Information management and communication</w:t>
      </w:r>
      <w:r w:rsidRPr="004A3751">
        <w:rPr>
          <w:rFonts w:asciiTheme="majorHAnsi" w:hAnsiTheme="majorHAnsi" w:cs="Times New Roman"/>
          <w:sz w:val="20"/>
          <w:szCs w:val="20"/>
        </w:rPr>
        <w:t xml:space="preserve"> </w:t>
      </w:r>
    </w:p>
    <w:p w14:paraId="761EA94B" w14:textId="77777777" w:rsidR="00D30285" w:rsidRPr="004A3751" w:rsidRDefault="00D30285" w:rsidP="00D30285">
      <w:pPr>
        <w:pStyle w:val="ListParagraph"/>
        <w:numPr>
          <w:ilvl w:val="0"/>
          <w:numId w:val="16"/>
        </w:numPr>
        <w:spacing w:line="259" w:lineRule="auto"/>
        <w:jc w:val="both"/>
        <w:rPr>
          <w:rFonts w:asciiTheme="majorHAnsi" w:hAnsiTheme="majorHAnsi"/>
          <w:sz w:val="20"/>
          <w:szCs w:val="20"/>
        </w:rPr>
      </w:pPr>
      <w:r w:rsidRPr="004A3751">
        <w:rPr>
          <w:rFonts w:asciiTheme="majorHAnsi" w:hAnsiTheme="majorHAnsi"/>
          <w:sz w:val="20"/>
        </w:rPr>
        <w:t xml:space="preserve">Emergency services, standby and prepositioning arrangements </w:t>
      </w:r>
    </w:p>
    <w:p w14:paraId="1151A78C" w14:textId="77777777" w:rsidR="00D30285" w:rsidRPr="00486B56" w:rsidRDefault="00D30285" w:rsidP="00D30285">
      <w:pPr>
        <w:pStyle w:val="ListParagraph"/>
        <w:numPr>
          <w:ilvl w:val="0"/>
          <w:numId w:val="16"/>
        </w:numPr>
        <w:spacing w:line="259" w:lineRule="auto"/>
        <w:jc w:val="both"/>
        <w:rPr>
          <w:rFonts w:asciiTheme="majorHAnsi" w:hAnsiTheme="majorHAnsi"/>
          <w:sz w:val="20"/>
          <w:szCs w:val="20"/>
        </w:rPr>
      </w:pPr>
      <w:r w:rsidRPr="004A3751">
        <w:rPr>
          <w:rFonts w:asciiTheme="majorHAnsi" w:hAnsiTheme="majorHAnsi"/>
          <w:sz w:val="20"/>
        </w:rPr>
        <w:t>Knowledge and know-how management</w:t>
      </w:r>
    </w:p>
    <w:p w14:paraId="07FA8797" w14:textId="77777777" w:rsidR="00486B56" w:rsidRDefault="00486B56" w:rsidP="00486B56">
      <w:pPr>
        <w:numPr>
          <w:ilvl w:val="0"/>
          <w:numId w:val="5"/>
        </w:numPr>
        <w:autoSpaceDE w:val="0"/>
        <w:autoSpaceDN w:val="0"/>
        <w:adjustRightInd w:val="0"/>
        <w:spacing w:after="0" w:line="240" w:lineRule="auto"/>
        <w:ind w:left="450"/>
        <w:contextualSpacing/>
        <w:jc w:val="both"/>
        <w:rPr>
          <w:rFonts w:asciiTheme="majorHAnsi" w:hAnsiTheme="majorHAnsi" w:cs="Times New Roman"/>
          <w:color w:val="000000"/>
          <w:sz w:val="20"/>
          <w:szCs w:val="20"/>
          <w:lang w:val="en-US"/>
        </w:rPr>
      </w:pPr>
      <w:r w:rsidRPr="00486B56">
        <w:rPr>
          <w:rFonts w:asciiTheme="majorHAnsi" w:hAnsiTheme="majorHAnsi" w:cs="Times New Roman"/>
          <w:b/>
          <w:i/>
          <w:color w:val="000000"/>
          <w:sz w:val="20"/>
          <w:szCs w:val="20"/>
          <w:lang w:val="en-US"/>
        </w:rPr>
        <w:lastRenderedPageBreak/>
        <w:t>Promoting knowledge sharing between V20 countries</w:t>
      </w:r>
      <w:r w:rsidRPr="00486B56">
        <w:rPr>
          <w:rFonts w:asciiTheme="majorHAnsi" w:hAnsiTheme="majorHAnsi" w:cs="Times New Roman"/>
          <w:color w:val="000000"/>
          <w:sz w:val="20"/>
          <w:szCs w:val="20"/>
          <w:lang w:val="en-US"/>
        </w:rPr>
        <w:t>, and also other countries. This will include an exchange program to look at each other’s response and recovery systems, and how they are financed. The partnership will also generate evidence on the value for money of preparedness investments.</w:t>
      </w:r>
    </w:p>
    <w:p w14:paraId="2810CE31" w14:textId="77777777" w:rsidR="00486B56" w:rsidRDefault="00486B56" w:rsidP="00486B56">
      <w:pPr>
        <w:autoSpaceDE w:val="0"/>
        <w:autoSpaceDN w:val="0"/>
        <w:adjustRightInd w:val="0"/>
        <w:spacing w:after="0" w:line="240" w:lineRule="auto"/>
        <w:ind w:left="450"/>
        <w:contextualSpacing/>
        <w:jc w:val="both"/>
        <w:rPr>
          <w:rFonts w:asciiTheme="majorHAnsi" w:hAnsiTheme="majorHAnsi" w:cs="Times New Roman"/>
          <w:color w:val="000000"/>
          <w:sz w:val="20"/>
          <w:szCs w:val="20"/>
          <w:lang w:val="en-US"/>
        </w:rPr>
      </w:pPr>
    </w:p>
    <w:p w14:paraId="7B68A587" w14:textId="1076BEBA" w:rsidR="00486B56" w:rsidRPr="00486B56" w:rsidRDefault="00D30285" w:rsidP="00486B56">
      <w:pPr>
        <w:numPr>
          <w:ilvl w:val="0"/>
          <w:numId w:val="5"/>
        </w:numPr>
        <w:autoSpaceDE w:val="0"/>
        <w:autoSpaceDN w:val="0"/>
        <w:adjustRightInd w:val="0"/>
        <w:spacing w:after="0" w:line="240" w:lineRule="auto"/>
        <w:ind w:left="450"/>
        <w:contextualSpacing/>
        <w:jc w:val="both"/>
        <w:rPr>
          <w:rStyle w:val="A4"/>
          <w:rFonts w:asciiTheme="majorHAnsi" w:hAnsiTheme="majorHAnsi" w:cs="Times New Roman"/>
          <w:b w:val="0"/>
          <w:bCs w:val="0"/>
          <w:sz w:val="20"/>
          <w:szCs w:val="20"/>
          <w:lang w:val="en-US"/>
        </w:rPr>
      </w:pPr>
      <w:r w:rsidRPr="00486B56">
        <w:rPr>
          <w:rFonts w:asciiTheme="majorHAnsi" w:hAnsiTheme="majorHAnsi"/>
          <w:b/>
          <w:i/>
          <w:sz w:val="20"/>
          <w:szCs w:val="20"/>
        </w:rPr>
        <w:t>Program management and monitoring &amp; evaluation</w:t>
      </w:r>
      <w:r w:rsidRPr="00486B56">
        <w:rPr>
          <w:rFonts w:asciiTheme="majorHAnsi" w:hAnsiTheme="majorHAnsi"/>
          <w:sz w:val="20"/>
          <w:szCs w:val="20"/>
        </w:rPr>
        <w:t>. All individual programmes will have regular and rigorous progress monitoring review. This will also include a system to ensure and measure tangible impact on vulnerable populations. Trend analysis and lessons learnt based on evaluations will inform future operations and allocation decisions.</w:t>
      </w:r>
    </w:p>
    <w:p w14:paraId="27C2E8C5" w14:textId="77777777" w:rsidR="00486B56" w:rsidRPr="00486B56" w:rsidRDefault="00486B56" w:rsidP="00486B56">
      <w:pPr>
        <w:autoSpaceDE w:val="0"/>
        <w:autoSpaceDN w:val="0"/>
        <w:adjustRightInd w:val="0"/>
        <w:spacing w:after="0" w:line="240" w:lineRule="auto"/>
        <w:ind w:left="450"/>
        <w:contextualSpacing/>
        <w:jc w:val="both"/>
        <w:rPr>
          <w:rStyle w:val="A4"/>
          <w:rFonts w:asciiTheme="majorHAnsi" w:hAnsiTheme="majorHAnsi" w:cs="Times New Roman"/>
          <w:b w:val="0"/>
          <w:bCs w:val="0"/>
          <w:sz w:val="20"/>
          <w:szCs w:val="20"/>
          <w:lang w:val="en-US"/>
        </w:rPr>
      </w:pPr>
    </w:p>
    <w:p w14:paraId="2A14BB95" w14:textId="4F2FE99E" w:rsidR="007E15D1" w:rsidRPr="00D30285" w:rsidRDefault="00C07E4C" w:rsidP="00B709CE">
      <w:pPr>
        <w:pStyle w:val="Heading2"/>
        <w:numPr>
          <w:ilvl w:val="0"/>
          <w:numId w:val="10"/>
        </w:numPr>
        <w:spacing w:before="0" w:after="120" w:line="259" w:lineRule="auto"/>
        <w:jc w:val="both"/>
        <w:rPr>
          <w:rFonts w:asciiTheme="majorHAnsi" w:eastAsiaTheme="minorHAnsi" w:hAnsiTheme="majorHAnsi" w:cstheme="minorBidi"/>
          <w:color w:val="auto"/>
          <w:sz w:val="20"/>
          <w:szCs w:val="20"/>
          <w:lang w:val="en-US" w:eastAsia="en-US"/>
        </w:rPr>
      </w:pPr>
      <w:r w:rsidRPr="00D30285">
        <w:rPr>
          <w:rFonts w:asciiTheme="majorHAnsi" w:eastAsiaTheme="minorHAnsi" w:hAnsiTheme="majorHAnsi" w:cstheme="minorBidi"/>
          <w:color w:val="161616" w:themeColor="accent1" w:themeShade="1A"/>
          <w:sz w:val="20"/>
          <w:szCs w:val="20"/>
          <w:lang w:val="en-US" w:eastAsia="en-US"/>
        </w:rPr>
        <w:t xml:space="preserve">With the </w:t>
      </w:r>
      <w:r w:rsidR="00AF6F07">
        <w:rPr>
          <w:rFonts w:asciiTheme="majorHAnsi" w:eastAsiaTheme="minorHAnsi" w:hAnsiTheme="majorHAnsi" w:cstheme="minorBidi"/>
          <w:color w:val="161616" w:themeColor="accent1" w:themeShade="1A"/>
          <w:sz w:val="20"/>
          <w:szCs w:val="20"/>
          <w:lang w:eastAsia="en-US"/>
        </w:rPr>
        <w:t>GPP</w:t>
      </w:r>
      <w:r w:rsidRPr="00D30285">
        <w:rPr>
          <w:rFonts w:asciiTheme="majorHAnsi" w:eastAsiaTheme="minorHAnsi" w:hAnsiTheme="majorHAnsi" w:cstheme="minorBidi"/>
          <w:color w:val="auto"/>
          <w:sz w:val="20"/>
          <w:szCs w:val="20"/>
          <w:lang w:val="en-US" w:eastAsia="en-US"/>
        </w:rPr>
        <w:t xml:space="preserve">’s principles of engagement </w:t>
      </w:r>
      <w:r w:rsidR="00D30285">
        <w:rPr>
          <w:rFonts w:asciiTheme="majorHAnsi" w:eastAsiaTheme="minorHAnsi" w:hAnsiTheme="majorHAnsi" w:cstheme="minorBidi"/>
          <w:color w:val="auto"/>
          <w:sz w:val="20"/>
          <w:szCs w:val="20"/>
          <w:lang w:val="en-US" w:eastAsia="en-US"/>
        </w:rPr>
        <w:t xml:space="preserve">and the types of services provided </w:t>
      </w:r>
      <w:r w:rsidRPr="00D30285">
        <w:rPr>
          <w:rFonts w:asciiTheme="majorHAnsi" w:eastAsiaTheme="minorHAnsi" w:hAnsiTheme="majorHAnsi" w:cstheme="minorBidi"/>
          <w:color w:val="auto"/>
          <w:sz w:val="20"/>
          <w:szCs w:val="20"/>
          <w:lang w:val="en-US" w:eastAsia="en-US"/>
        </w:rPr>
        <w:t xml:space="preserve">in mind, </w:t>
      </w:r>
      <w:r w:rsidR="007E15D1" w:rsidRPr="00D30285">
        <w:rPr>
          <w:rFonts w:asciiTheme="majorHAnsi" w:eastAsiaTheme="minorHAnsi" w:hAnsiTheme="majorHAnsi" w:cstheme="minorBidi"/>
          <w:b/>
          <w:color w:val="auto"/>
          <w:sz w:val="20"/>
          <w:szCs w:val="20"/>
          <w:lang w:val="en-US" w:eastAsia="en-US"/>
        </w:rPr>
        <w:t xml:space="preserve">the </w:t>
      </w:r>
      <w:r w:rsidR="00D30285" w:rsidRPr="00D30285">
        <w:rPr>
          <w:rFonts w:asciiTheme="majorHAnsi" w:eastAsiaTheme="minorHAnsi" w:hAnsiTheme="majorHAnsi" w:cstheme="minorBidi"/>
          <w:b/>
          <w:color w:val="auto"/>
          <w:sz w:val="20"/>
          <w:szCs w:val="20"/>
          <w:lang w:val="en-US" w:eastAsia="en-US"/>
        </w:rPr>
        <w:t xml:space="preserve">overall </w:t>
      </w:r>
      <w:r w:rsidR="007E15D1" w:rsidRPr="00D30285">
        <w:rPr>
          <w:rFonts w:asciiTheme="majorHAnsi" w:eastAsiaTheme="minorHAnsi" w:hAnsiTheme="majorHAnsi" w:cstheme="minorBidi"/>
          <w:b/>
          <w:color w:val="auto"/>
          <w:sz w:val="20"/>
          <w:szCs w:val="20"/>
          <w:lang w:val="en-US" w:eastAsia="en-US"/>
        </w:rPr>
        <w:t xml:space="preserve">objective of the </w:t>
      </w:r>
      <w:r w:rsidR="00AF6F07">
        <w:rPr>
          <w:rFonts w:asciiTheme="majorHAnsi" w:eastAsiaTheme="minorHAnsi" w:hAnsiTheme="majorHAnsi" w:cstheme="minorBidi"/>
          <w:b/>
          <w:color w:val="161616" w:themeColor="accent1" w:themeShade="1A"/>
          <w:sz w:val="20"/>
          <w:szCs w:val="20"/>
          <w:lang w:eastAsia="en-US"/>
        </w:rPr>
        <w:t>GPP</w:t>
      </w:r>
      <w:r w:rsidR="007E15D1" w:rsidRPr="00D30285">
        <w:rPr>
          <w:rFonts w:asciiTheme="majorHAnsi" w:eastAsiaTheme="minorHAnsi" w:hAnsiTheme="majorHAnsi" w:cstheme="minorBidi"/>
          <w:b/>
          <w:color w:val="161616" w:themeColor="accent1" w:themeShade="1A"/>
          <w:sz w:val="20"/>
          <w:szCs w:val="20"/>
          <w:lang w:eastAsia="en-US"/>
        </w:rPr>
        <w:t xml:space="preserve"> is to support countries in understanding and achieving </w:t>
      </w:r>
      <w:r w:rsidR="002B50AC" w:rsidRPr="00D30285">
        <w:rPr>
          <w:rFonts w:asciiTheme="majorHAnsi" w:eastAsiaTheme="minorHAnsi" w:hAnsiTheme="majorHAnsi" w:cstheme="minorBidi"/>
          <w:b/>
          <w:color w:val="auto"/>
          <w:sz w:val="20"/>
          <w:szCs w:val="20"/>
          <w:lang w:val="en-US" w:eastAsia="en-US"/>
        </w:rPr>
        <w:t xml:space="preserve">the </w:t>
      </w:r>
      <w:r w:rsidR="007E15D1" w:rsidRPr="00D30285">
        <w:rPr>
          <w:rFonts w:asciiTheme="majorHAnsi" w:eastAsiaTheme="minorHAnsi" w:hAnsiTheme="majorHAnsi" w:cstheme="minorBidi"/>
          <w:b/>
          <w:color w:val="auto"/>
          <w:sz w:val="20"/>
          <w:szCs w:val="20"/>
          <w:lang w:val="en-US" w:eastAsia="en-US"/>
        </w:rPr>
        <w:t>core capabilities</w:t>
      </w:r>
      <w:r w:rsidR="002B50AC" w:rsidRPr="00D30285">
        <w:rPr>
          <w:rFonts w:asciiTheme="majorHAnsi" w:eastAsiaTheme="minorHAnsi" w:hAnsiTheme="majorHAnsi" w:cstheme="minorBidi"/>
          <w:color w:val="auto"/>
          <w:sz w:val="20"/>
          <w:szCs w:val="20"/>
          <w:lang w:val="en-US" w:eastAsia="en-US"/>
        </w:rPr>
        <w:t xml:space="preserve"> that </w:t>
      </w:r>
      <w:r w:rsidR="007E15D1" w:rsidRPr="00D30285">
        <w:rPr>
          <w:rFonts w:asciiTheme="majorHAnsi" w:eastAsiaTheme="minorHAnsi" w:hAnsiTheme="majorHAnsi" w:cstheme="minorBidi"/>
          <w:color w:val="auto"/>
          <w:sz w:val="20"/>
          <w:szCs w:val="20"/>
          <w:lang w:val="en-US" w:eastAsia="en-US"/>
        </w:rPr>
        <w:t>they</w:t>
      </w:r>
      <w:r w:rsidR="002B50AC" w:rsidRPr="00D30285">
        <w:rPr>
          <w:rFonts w:asciiTheme="majorHAnsi" w:eastAsiaTheme="minorHAnsi" w:hAnsiTheme="majorHAnsi" w:cstheme="minorBidi"/>
          <w:color w:val="auto"/>
          <w:sz w:val="20"/>
          <w:szCs w:val="20"/>
          <w:lang w:val="en-US" w:eastAsia="en-US"/>
        </w:rPr>
        <w:t xml:space="preserve"> need to have in order</w:t>
      </w:r>
      <w:r w:rsidR="009636AC" w:rsidRPr="00D30285">
        <w:rPr>
          <w:rFonts w:asciiTheme="majorHAnsi" w:eastAsiaTheme="minorHAnsi" w:hAnsiTheme="majorHAnsi" w:cstheme="minorBidi"/>
          <w:color w:val="auto"/>
          <w:sz w:val="20"/>
          <w:szCs w:val="20"/>
          <w:lang w:val="en-US" w:eastAsia="en-US"/>
        </w:rPr>
        <w:t xml:space="preserve"> to achieve a requisite level of </w:t>
      </w:r>
      <w:r w:rsidR="007E15D1" w:rsidRPr="00D30285">
        <w:rPr>
          <w:rFonts w:asciiTheme="majorHAnsi" w:eastAsiaTheme="minorHAnsi" w:hAnsiTheme="majorHAnsi" w:cstheme="minorBidi"/>
          <w:color w:val="auto"/>
          <w:sz w:val="20"/>
          <w:szCs w:val="20"/>
          <w:lang w:val="en-US" w:eastAsia="en-US"/>
        </w:rPr>
        <w:t xml:space="preserve">response management </w:t>
      </w:r>
      <w:r w:rsidR="00D30285">
        <w:rPr>
          <w:rFonts w:asciiTheme="majorHAnsi" w:eastAsiaTheme="minorHAnsi" w:hAnsiTheme="majorHAnsi" w:cstheme="minorBidi"/>
          <w:color w:val="auto"/>
          <w:sz w:val="20"/>
          <w:szCs w:val="20"/>
          <w:lang w:val="en-US" w:eastAsia="en-US"/>
        </w:rPr>
        <w:t xml:space="preserve">readiness. </w:t>
      </w:r>
      <w:r w:rsidR="009636AC" w:rsidRPr="00D30285">
        <w:rPr>
          <w:rFonts w:asciiTheme="majorHAnsi" w:eastAsiaTheme="minorHAnsi" w:hAnsiTheme="majorHAnsi" w:cstheme="minorBidi"/>
          <w:color w:val="auto"/>
          <w:sz w:val="20"/>
          <w:szCs w:val="20"/>
          <w:lang w:val="en-US" w:eastAsia="en-US"/>
        </w:rPr>
        <w:t xml:space="preserve">These </w:t>
      </w:r>
      <w:r w:rsidR="009E541C" w:rsidRPr="00D30285">
        <w:rPr>
          <w:rFonts w:asciiTheme="majorHAnsi" w:eastAsiaTheme="minorHAnsi" w:hAnsiTheme="majorHAnsi" w:cstheme="minorBidi"/>
          <w:color w:val="auto"/>
          <w:sz w:val="20"/>
          <w:szCs w:val="20"/>
          <w:lang w:val="en-US" w:eastAsia="en-US"/>
        </w:rPr>
        <w:t xml:space="preserve">core </w:t>
      </w:r>
      <w:r w:rsidR="009636AC" w:rsidRPr="00D30285">
        <w:rPr>
          <w:rFonts w:asciiTheme="majorHAnsi" w:eastAsiaTheme="minorHAnsi" w:hAnsiTheme="majorHAnsi" w:cstheme="minorBidi"/>
          <w:color w:val="auto"/>
          <w:sz w:val="20"/>
          <w:szCs w:val="20"/>
          <w:lang w:val="en-US" w:eastAsia="en-US"/>
        </w:rPr>
        <w:t>capa</w:t>
      </w:r>
      <w:r w:rsidR="007E15D1" w:rsidRPr="00D30285">
        <w:rPr>
          <w:rFonts w:asciiTheme="majorHAnsi" w:eastAsiaTheme="minorHAnsi" w:hAnsiTheme="majorHAnsi" w:cstheme="minorBidi"/>
          <w:color w:val="auto"/>
          <w:sz w:val="20"/>
          <w:szCs w:val="20"/>
          <w:lang w:val="en-US" w:eastAsia="en-US"/>
        </w:rPr>
        <w:t>bilities</w:t>
      </w:r>
      <w:r w:rsidR="009636AC" w:rsidRPr="00D30285">
        <w:rPr>
          <w:rFonts w:asciiTheme="majorHAnsi" w:eastAsiaTheme="minorHAnsi" w:hAnsiTheme="majorHAnsi" w:cstheme="minorBidi"/>
          <w:color w:val="auto"/>
          <w:sz w:val="20"/>
          <w:szCs w:val="20"/>
          <w:lang w:val="en-US" w:eastAsia="en-US"/>
        </w:rPr>
        <w:t xml:space="preserve"> </w:t>
      </w:r>
      <w:r w:rsidR="009E541C" w:rsidRPr="00D30285">
        <w:rPr>
          <w:rFonts w:asciiTheme="majorHAnsi" w:eastAsiaTheme="minorHAnsi" w:hAnsiTheme="majorHAnsi" w:cstheme="minorBidi"/>
          <w:color w:val="auto"/>
          <w:sz w:val="20"/>
          <w:szCs w:val="20"/>
          <w:lang w:val="en-US" w:eastAsia="en-US"/>
        </w:rPr>
        <w:t xml:space="preserve">are regrouped in </w:t>
      </w:r>
      <w:r w:rsidR="007E15D1" w:rsidRPr="00D30285">
        <w:rPr>
          <w:rFonts w:asciiTheme="majorHAnsi" w:eastAsiaTheme="minorHAnsi" w:hAnsiTheme="majorHAnsi" w:cstheme="minorBidi"/>
          <w:color w:val="auto"/>
          <w:sz w:val="20"/>
          <w:szCs w:val="20"/>
          <w:lang w:val="en-US" w:eastAsia="en-US"/>
        </w:rPr>
        <w:t>four building blocks</w:t>
      </w:r>
      <w:r w:rsidR="009636AC" w:rsidRPr="00D30285">
        <w:rPr>
          <w:rFonts w:asciiTheme="majorHAnsi" w:eastAsiaTheme="minorHAnsi" w:hAnsiTheme="majorHAnsi" w:cstheme="minorBidi"/>
          <w:color w:val="auto"/>
          <w:sz w:val="20"/>
          <w:szCs w:val="20"/>
          <w:lang w:val="en-US" w:eastAsia="en-US"/>
        </w:rPr>
        <w:t xml:space="preserve">: </w:t>
      </w:r>
    </w:p>
    <w:p w14:paraId="188FBEDC" w14:textId="77777777" w:rsidR="009E541C" w:rsidRDefault="009E541C" w:rsidP="009E541C">
      <w:pPr>
        <w:pStyle w:val="Heading2"/>
        <w:spacing w:before="0" w:after="120" w:line="259" w:lineRule="auto"/>
        <w:ind w:left="720"/>
        <w:jc w:val="both"/>
        <w:rPr>
          <w:rFonts w:asciiTheme="majorHAnsi" w:eastAsiaTheme="minorHAnsi" w:hAnsiTheme="majorHAnsi" w:cstheme="minorBidi"/>
          <w:color w:val="auto"/>
          <w:sz w:val="20"/>
          <w:szCs w:val="20"/>
          <w:lang w:val="en-US" w:eastAsia="en-US"/>
        </w:rPr>
      </w:pPr>
    </w:p>
    <w:p w14:paraId="367FA0EA" w14:textId="77777777" w:rsidR="00486B56" w:rsidRDefault="00486B56" w:rsidP="009E541C">
      <w:pPr>
        <w:pStyle w:val="Heading2"/>
        <w:spacing w:before="0" w:after="120" w:line="259" w:lineRule="auto"/>
        <w:ind w:left="720"/>
        <w:jc w:val="both"/>
        <w:rPr>
          <w:rFonts w:asciiTheme="majorHAnsi" w:eastAsiaTheme="minorHAnsi" w:hAnsiTheme="majorHAnsi" w:cstheme="minorBidi"/>
          <w:color w:val="auto"/>
          <w:sz w:val="20"/>
          <w:szCs w:val="20"/>
          <w:lang w:val="en-US" w:eastAsia="en-US"/>
        </w:rPr>
      </w:pPr>
    </w:p>
    <w:tbl>
      <w:tblPr>
        <w:tblStyle w:val="TableGrid"/>
        <w:tblW w:w="0" w:type="auto"/>
        <w:jc w:val="center"/>
        <w:shd w:val="clear" w:color="auto" w:fill="D5D5D5" w:themeFill="accent3" w:themeFillTint="66"/>
        <w:tblLook w:val="04A0" w:firstRow="1" w:lastRow="0" w:firstColumn="1" w:lastColumn="0" w:noHBand="0" w:noVBand="1"/>
      </w:tblPr>
      <w:tblGrid>
        <w:gridCol w:w="2830"/>
        <w:gridCol w:w="2840"/>
      </w:tblGrid>
      <w:tr w:rsidR="007E15D1" w14:paraId="6F2DC9E9" w14:textId="77777777" w:rsidTr="00506CDA">
        <w:trPr>
          <w:trHeight w:val="1597"/>
          <w:jc w:val="center"/>
        </w:trPr>
        <w:tc>
          <w:tcPr>
            <w:tcW w:w="2830" w:type="dxa"/>
            <w:shd w:val="clear" w:color="auto" w:fill="D5D5D5" w:themeFill="accent3" w:themeFillTint="66"/>
            <w:vAlign w:val="center"/>
          </w:tcPr>
          <w:p w14:paraId="59DA3494" w14:textId="231FF772" w:rsidR="007E15D1" w:rsidRPr="00506CDA" w:rsidRDefault="007E15D1" w:rsidP="007E15D1">
            <w:pPr>
              <w:pStyle w:val="Heading2"/>
              <w:spacing w:before="0" w:after="0" w:line="259" w:lineRule="auto"/>
              <w:jc w:val="center"/>
              <w:outlineLvl w:val="1"/>
              <w:rPr>
                <w:rFonts w:asciiTheme="majorHAnsi" w:eastAsiaTheme="minorHAnsi" w:hAnsiTheme="majorHAnsi" w:cstheme="minorBidi"/>
                <w:b/>
                <w:color w:val="C00000"/>
                <w:sz w:val="24"/>
                <w:szCs w:val="20"/>
                <w:lang w:val="en-US" w:eastAsia="en-US"/>
              </w:rPr>
            </w:pPr>
            <w:r w:rsidRPr="00506CDA">
              <w:rPr>
                <w:rFonts w:asciiTheme="majorHAnsi" w:eastAsiaTheme="minorHAnsi" w:hAnsiTheme="majorHAnsi" w:cstheme="minorBidi"/>
                <w:b/>
                <w:color w:val="C00000"/>
                <w:sz w:val="24"/>
                <w:szCs w:val="20"/>
                <w:lang w:val="en-US" w:eastAsia="en-US"/>
              </w:rPr>
              <w:t>Capability 1</w:t>
            </w:r>
          </w:p>
          <w:p w14:paraId="2C0562F3" w14:textId="59F0534C" w:rsidR="007E15D1" w:rsidRDefault="007E15D1" w:rsidP="007E15D1">
            <w:pPr>
              <w:pStyle w:val="Heading2"/>
              <w:spacing w:before="0" w:after="0" w:line="259" w:lineRule="auto"/>
              <w:jc w:val="center"/>
              <w:outlineLvl w:val="1"/>
              <w:rPr>
                <w:rFonts w:asciiTheme="majorHAnsi" w:eastAsiaTheme="minorHAnsi" w:hAnsiTheme="majorHAnsi" w:cstheme="minorBidi"/>
                <w:color w:val="auto"/>
                <w:sz w:val="20"/>
                <w:szCs w:val="20"/>
                <w:lang w:val="en-US" w:eastAsia="en-US"/>
              </w:rPr>
            </w:pPr>
            <w:r>
              <w:rPr>
                <w:rFonts w:asciiTheme="majorHAnsi" w:eastAsiaTheme="minorHAnsi" w:hAnsiTheme="majorHAnsi" w:cstheme="minorBidi"/>
                <w:color w:val="auto"/>
                <w:sz w:val="20"/>
                <w:szCs w:val="20"/>
                <w:lang w:val="en-US" w:eastAsia="en-US"/>
              </w:rPr>
              <w:t>Understand</w:t>
            </w:r>
            <w:r w:rsidRPr="007352A1">
              <w:rPr>
                <w:rFonts w:asciiTheme="majorHAnsi" w:eastAsiaTheme="minorHAnsi" w:hAnsiTheme="majorHAnsi" w:cstheme="minorBidi"/>
                <w:color w:val="auto"/>
                <w:sz w:val="20"/>
                <w:szCs w:val="20"/>
                <w:lang w:val="en-US" w:eastAsia="en-US"/>
              </w:rPr>
              <w:t xml:space="preserve"> risks and vulnerabilities</w:t>
            </w:r>
          </w:p>
        </w:tc>
        <w:tc>
          <w:tcPr>
            <w:tcW w:w="2840" w:type="dxa"/>
            <w:shd w:val="clear" w:color="auto" w:fill="E5E5E5" w:themeFill="accent4" w:themeFillTint="33"/>
            <w:vAlign w:val="center"/>
          </w:tcPr>
          <w:p w14:paraId="1D09C38C" w14:textId="16C2839B" w:rsidR="007E15D1" w:rsidRPr="00506CDA" w:rsidRDefault="007E15D1" w:rsidP="007E15D1">
            <w:pPr>
              <w:pStyle w:val="Heading2"/>
              <w:spacing w:before="0" w:after="0" w:line="259" w:lineRule="auto"/>
              <w:jc w:val="center"/>
              <w:outlineLvl w:val="1"/>
              <w:rPr>
                <w:rFonts w:asciiTheme="majorHAnsi" w:eastAsiaTheme="minorHAnsi" w:hAnsiTheme="majorHAnsi" w:cstheme="minorBidi"/>
                <w:b/>
                <w:color w:val="C00000"/>
                <w:sz w:val="24"/>
                <w:szCs w:val="20"/>
                <w:lang w:val="en-US" w:eastAsia="en-US"/>
              </w:rPr>
            </w:pPr>
            <w:r w:rsidRPr="00506CDA">
              <w:rPr>
                <w:rFonts w:asciiTheme="majorHAnsi" w:eastAsiaTheme="minorHAnsi" w:hAnsiTheme="majorHAnsi" w:cstheme="minorBidi"/>
                <w:b/>
                <w:color w:val="C00000"/>
                <w:sz w:val="24"/>
                <w:szCs w:val="20"/>
                <w:lang w:val="en-US" w:eastAsia="en-US"/>
              </w:rPr>
              <w:t>Capability 2</w:t>
            </w:r>
          </w:p>
          <w:p w14:paraId="65B1C05E" w14:textId="5C12F6AF" w:rsidR="007E15D1" w:rsidRDefault="007E15D1" w:rsidP="007E15D1">
            <w:pPr>
              <w:pStyle w:val="Heading2"/>
              <w:spacing w:before="0" w:after="0" w:line="259" w:lineRule="auto"/>
              <w:jc w:val="center"/>
              <w:outlineLvl w:val="1"/>
              <w:rPr>
                <w:rFonts w:asciiTheme="majorHAnsi" w:eastAsiaTheme="minorHAnsi" w:hAnsiTheme="majorHAnsi" w:cstheme="minorBidi"/>
                <w:color w:val="auto"/>
                <w:sz w:val="20"/>
                <w:szCs w:val="20"/>
                <w:lang w:val="en-US" w:eastAsia="en-US"/>
              </w:rPr>
            </w:pPr>
            <w:r>
              <w:rPr>
                <w:rFonts w:asciiTheme="majorHAnsi" w:eastAsiaTheme="minorHAnsi" w:hAnsiTheme="majorHAnsi" w:cstheme="minorBidi"/>
                <w:color w:val="auto"/>
                <w:sz w:val="20"/>
                <w:szCs w:val="20"/>
                <w:lang w:val="en-US" w:eastAsia="en-US"/>
              </w:rPr>
              <w:t>C</w:t>
            </w:r>
            <w:r w:rsidRPr="007352A1">
              <w:rPr>
                <w:rFonts w:asciiTheme="majorHAnsi" w:eastAsiaTheme="minorHAnsi" w:hAnsiTheme="majorHAnsi" w:cstheme="minorBidi"/>
                <w:color w:val="auto"/>
                <w:sz w:val="20"/>
                <w:szCs w:val="20"/>
                <w:lang w:val="en-US" w:eastAsia="en-US"/>
              </w:rPr>
              <w:t xml:space="preserve">oordinate and manage different partners prior to and during a </w:t>
            </w:r>
            <w:r w:rsidR="009E541C">
              <w:rPr>
                <w:rFonts w:asciiTheme="majorHAnsi" w:eastAsiaTheme="minorHAnsi" w:hAnsiTheme="majorHAnsi" w:cstheme="minorBidi"/>
                <w:color w:val="auto"/>
                <w:sz w:val="20"/>
                <w:szCs w:val="20"/>
                <w:lang w:val="en-US" w:eastAsia="en-US"/>
              </w:rPr>
              <w:t>shock/</w:t>
            </w:r>
            <w:r w:rsidRPr="007352A1">
              <w:rPr>
                <w:rFonts w:asciiTheme="majorHAnsi" w:eastAsiaTheme="minorHAnsi" w:hAnsiTheme="majorHAnsi" w:cstheme="minorBidi"/>
                <w:color w:val="auto"/>
                <w:sz w:val="20"/>
                <w:szCs w:val="20"/>
                <w:lang w:val="en-US" w:eastAsia="en-US"/>
              </w:rPr>
              <w:t>crisis</w:t>
            </w:r>
          </w:p>
        </w:tc>
      </w:tr>
      <w:tr w:rsidR="007E15D1" w14:paraId="123AB9B4" w14:textId="77777777" w:rsidTr="00506CDA">
        <w:trPr>
          <w:trHeight w:val="1755"/>
          <w:jc w:val="center"/>
        </w:trPr>
        <w:tc>
          <w:tcPr>
            <w:tcW w:w="2830" w:type="dxa"/>
            <w:shd w:val="clear" w:color="auto" w:fill="E5E5E5" w:themeFill="accent4" w:themeFillTint="33"/>
            <w:vAlign w:val="center"/>
          </w:tcPr>
          <w:p w14:paraId="73B86DA9" w14:textId="0553F18C" w:rsidR="007E15D1" w:rsidRPr="00506CDA" w:rsidRDefault="007E15D1" w:rsidP="007E15D1">
            <w:pPr>
              <w:pStyle w:val="Heading2"/>
              <w:spacing w:before="0" w:after="0" w:line="259" w:lineRule="auto"/>
              <w:jc w:val="center"/>
              <w:outlineLvl w:val="1"/>
              <w:rPr>
                <w:rFonts w:asciiTheme="majorHAnsi" w:eastAsiaTheme="minorHAnsi" w:hAnsiTheme="majorHAnsi" w:cstheme="minorBidi"/>
                <w:b/>
                <w:color w:val="C00000"/>
                <w:sz w:val="24"/>
                <w:szCs w:val="20"/>
                <w:lang w:val="en-US" w:eastAsia="en-US"/>
              </w:rPr>
            </w:pPr>
            <w:r w:rsidRPr="00506CDA">
              <w:rPr>
                <w:rFonts w:asciiTheme="majorHAnsi" w:eastAsiaTheme="minorHAnsi" w:hAnsiTheme="majorHAnsi" w:cstheme="minorBidi"/>
                <w:b/>
                <w:color w:val="C00000"/>
                <w:sz w:val="24"/>
                <w:szCs w:val="20"/>
                <w:lang w:val="en-US" w:eastAsia="en-US"/>
              </w:rPr>
              <w:t>Capability 3</w:t>
            </w:r>
          </w:p>
          <w:p w14:paraId="4AA7E1D6" w14:textId="157359CC" w:rsidR="007E15D1" w:rsidRDefault="007E15D1" w:rsidP="007E15D1">
            <w:pPr>
              <w:pStyle w:val="Heading2"/>
              <w:spacing w:before="0" w:after="0" w:line="259" w:lineRule="auto"/>
              <w:jc w:val="center"/>
              <w:outlineLvl w:val="1"/>
              <w:rPr>
                <w:rFonts w:asciiTheme="majorHAnsi" w:eastAsiaTheme="minorHAnsi" w:hAnsiTheme="majorHAnsi" w:cstheme="minorBidi"/>
                <w:color w:val="auto"/>
                <w:sz w:val="20"/>
                <w:szCs w:val="20"/>
                <w:lang w:val="en-US" w:eastAsia="en-US"/>
              </w:rPr>
            </w:pPr>
            <w:r>
              <w:rPr>
                <w:rFonts w:asciiTheme="majorHAnsi" w:eastAsiaTheme="minorHAnsi" w:hAnsiTheme="majorHAnsi" w:cstheme="minorBidi"/>
                <w:color w:val="auto"/>
                <w:sz w:val="20"/>
                <w:szCs w:val="20"/>
                <w:lang w:val="en-US" w:eastAsia="en-US"/>
              </w:rPr>
              <w:t>H</w:t>
            </w:r>
            <w:r w:rsidRPr="007352A1">
              <w:rPr>
                <w:rFonts w:asciiTheme="majorHAnsi" w:eastAsiaTheme="minorHAnsi" w:hAnsiTheme="majorHAnsi" w:cstheme="minorBidi"/>
                <w:color w:val="auto"/>
                <w:sz w:val="20"/>
                <w:szCs w:val="20"/>
                <w:lang w:val="en-US" w:eastAsia="en-US"/>
              </w:rPr>
              <w:t>av</w:t>
            </w:r>
            <w:r>
              <w:rPr>
                <w:rFonts w:asciiTheme="majorHAnsi" w:eastAsiaTheme="minorHAnsi" w:hAnsiTheme="majorHAnsi" w:cstheme="minorBidi"/>
                <w:color w:val="auto"/>
                <w:sz w:val="20"/>
                <w:szCs w:val="20"/>
                <w:lang w:val="en-US" w:eastAsia="en-US"/>
              </w:rPr>
              <w:t>e</w:t>
            </w:r>
            <w:r w:rsidRPr="007352A1">
              <w:rPr>
                <w:rFonts w:asciiTheme="majorHAnsi" w:eastAsiaTheme="minorHAnsi" w:hAnsiTheme="majorHAnsi" w:cstheme="minorBidi"/>
                <w:color w:val="auto"/>
                <w:sz w:val="20"/>
                <w:szCs w:val="20"/>
                <w:lang w:val="en-US" w:eastAsia="en-US"/>
              </w:rPr>
              <w:t xml:space="preserve"> the operational </w:t>
            </w:r>
            <w:r>
              <w:rPr>
                <w:rFonts w:asciiTheme="majorHAnsi" w:eastAsiaTheme="minorHAnsi" w:hAnsiTheme="majorHAnsi" w:cstheme="minorBidi"/>
                <w:color w:val="auto"/>
                <w:sz w:val="20"/>
                <w:szCs w:val="20"/>
                <w:lang w:val="en-US" w:eastAsia="en-US"/>
              </w:rPr>
              <w:t xml:space="preserve">assets and </w:t>
            </w:r>
            <w:r w:rsidRPr="007352A1">
              <w:rPr>
                <w:rFonts w:asciiTheme="majorHAnsi" w:eastAsiaTheme="minorHAnsi" w:hAnsiTheme="majorHAnsi" w:cstheme="minorBidi"/>
                <w:color w:val="auto"/>
                <w:sz w:val="20"/>
                <w:szCs w:val="20"/>
                <w:lang w:val="en-US" w:eastAsia="en-US"/>
              </w:rPr>
              <w:t>capa</w:t>
            </w:r>
            <w:r>
              <w:rPr>
                <w:rFonts w:asciiTheme="majorHAnsi" w:eastAsiaTheme="minorHAnsi" w:hAnsiTheme="majorHAnsi" w:cstheme="minorBidi"/>
                <w:color w:val="auto"/>
                <w:sz w:val="20"/>
                <w:szCs w:val="20"/>
                <w:lang w:val="en-US" w:eastAsia="en-US"/>
              </w:rPr>
              <w:t xml:space="preserve">cities </w:t>
            </w:r>
            <w:r w:rsidRPr="007352A1">
              <w:rPr>
                <w:rFonts w:asciiTheme="majorHAnsi" w:eastAsiaTheme="minorHAnsi" w:hAnsiTheme="majorHAnsi" w:cstheme="minorBidi"/>
                <w:color w:val="auto"/>
                <w:sz w:val="20"/>
                <w:szCs w:val="20"/>
                <w:lang w:val="en-US" w:eastAsia="en-US"/>
              </w:rPr>
              <w:t xml:space="preserve">in place </w:t>
            </w:r>
            <w:r>
              <w:rPr>
                <w:rFonts w:asciiTheme="majorHAnsi" w:eastAsiaTheme="minorHAnsi" w:hAnsiTheme="majorHAnsi" w:cstheme="minorBidi"/>
                <w:color w:val="auto"/>
                <w:sz w:val="20"/>
                <w:szCs w:val="20"/>
                <w:lang w:val="en-US" w:eastAsia="en-US"/>
              </w:rPr>
              <w:t xml:space="preserve">in advance to the </w:t>
            </w:r>
            <w:r w:rsidRPr="007352A1">
              <w:rPr>
                <w:rFonts w:asciiTheme="majorHAnsi" w:eastAsiaTheme="minorHAnsi" w:hAnsiTheme="majorHAnsi" w:cstheme="minorBidi"/>
                <w:color w:val="auto"/>
                <w:sz w:val="20"/>
                <w:szCs w:val="20"/>
                <w:lang w:val="en-US" w:eastAsia="en-US"/>
              </w:rPr>
              <w:t>shock</w:t>
            </w:r>
            <w:r>
              <w:rPr>
                <w:rFonts w:asciiTheme="majorHAnsi" w:eastAsiaTheme="minorHAnsi" w:hAnsiTheme="majorHAnsi" w:cstheme="minorBidi"/>
                <w:color w:val="auto"/>
                <w:sz w:val="20"/>
                <w:szCs w:val="20"/>
                <w:lang w:val="en-US" w:eastAsia="en-US"/>
              </w:rPr>
              <w:t xml:space="preserve"> / crisis</w:t>
            </w:r>
          </w:p>
        </w:tc>
        <w:tc>
          <w:tcPr>
            <w:tcW w:w="2840" w:type="dxa"/>
            <w:shd w:val="clear" w:color="auto" w:fill="D5D5D5" w:themeFill="accent3" w:themeFillTint="66"/>
            <w:vAlign w:val="center"/>
          </w:tcPr>
          <w:p w14:paraId="05489CB0" w14:textId="77777777" w:rsidR="007E15D1" w:rsidRPr="00506CDA" w:rsidRDefault="007E15D1" w:rsidP="007E15D1">
            <w:pPr>
              <w:pStyle w:val="Heading2"/>
              <w:spacing w:before="0" w:after="0" w:line="259" w:lineRule="auto"/>
              <w:jc w:val="center"/>
              <w:outlineLvl w:val="1"/>
              <w:rPr>
                <w:rFonts w:asciiTheme="majorHAnsi" w:eastAsiaTheme="minorHAnsi" w:hAnsiTheme="majorHAnsi" w:cstheme="minorBidi"/>
                <w:b/>
                <w:color w:val="C00000"/>
                <w:sz w:val="24"/>
                <w:szCs w:val="20"/>
                <w:lang w:val="en-US" w:eastAsia="en-US"/>
              </w:rPr>
            </w:pPr>
            <w:r w:rsidRPr="00506CDA">
              <w:rPr>
                <w:rFonts w:asciiTheme="majorHAnsi" w:eastAsiaTheme="minorHAnsi" w:hAnsiTheme="majorHAnsi" w:cstheme="minorBidi"/>
                <w:b/>
                <w:color w:val="C00000"/>
                <w:sz w:val="24"/>
                <w:szCs w:val="20"/>
                <w:lang w:val="en-US" w:eastAsia="en-US"/>
              </w:rPr>
              <w:t>Capability 4</w:t>
            </w:r>
          </w:p>
          <w:p w14:paraId="258FA1B1" w14:textId="118CD0E7" w:rsidR="007E15D1" w:rsidRDefault="007E15D1" w:rsidP="009E541C">
            <w:pPr>
              <w:pStyle w:val="Heading2"/>
              <w:spacing w:before="0" w:after="0" w:line="259" w:lineRule="auto"/>
              <w:jc w:val="center"/>
              <w:outlineLvl w:val="1"/>
              <w:rPr>
                <w:rFonts w:asciiTheme="majorHAnsi" w:eastAsiaTheme="minorHAnsi" w:hAnsiTheme="majorHAnsi" w:cstheme="minorBidi"/>
                <w:color w:val="auto"/>
                <w:sz w:val="20"/>
                <w:szCs w:val="20"/>
                <w:lang w:val="en-US" w:eastAsia="en-US"/>
              </w:rPr>
            </w:pPr>
            <w:r>
              <w:rPr>
                <w:rFonts w:asciiTheme="majorHAnsi" w:eastAsiaTheme="minorHAnsi" w:hAnsiTheme="majorHAnsi" w:cstheme="minorBidi"/>
                <w:color w:val="auto"/>
                <w:sz w:val="20"/>
                <w:szCs w:val="20"/>
                <w:lang w:val="en-US" w:eastAsia="en-US"/>
              </w:rPr>
              <w:t xml:space="preserve">Have the </w:t>
            </w:r>
            <w:r w:rsidRPr="007352A1">
              <w:rPr>
                <w:rFonts w:asciiTheme="majorHAnsi" w:eastAsiaTheme="minorHAnsi" w:hAnsiTheme="majorHAnsi" w:cstheme="minorBidi"/>
                <w:color w:val="auto"/>
                <w:sz w:val="20"/>
                <w:szCs w:val="20"/>
                <w:lang w:val="en-US" w:eastAsia="en-US"/>
              </w:rPr>
              <w:t xml:space="preserve">financial </w:t>
            </w:r>
            <w:r>
              <w:rPr>
                <w:rFonts w:asciiTheme="majorHAnsi" w:eastAsiaTheme="minorHAnsi" w:hAnsiTheme="majorHAnsi" w:cstheme="minorBidi"/>
                <w:color w:val="auto"/>
                <w:sz w:val="20"/>
                <w:szCs w:val="20"/>
                <w:lang w:val="en-US" w:eastAsia="en-US"/>
              </w:rPr>
              <w:t xml:space="preserve">means and </w:t>
            </w:r>
            <w:r w:rsidRPr="007352A1">
              <w:rPr>
                <w:rFonts w:asciiTheme="majorHAnsi" w:eastAsiaTheme="minorHAnsi" w:hAnsiTheme="majorHAnsi" w:cstheme="minorBidi"/>
                <w:color w:val="auto"/>
                <w:sz w:val="20"/>
                <w:szCs w:val="20"/>
                <w:lang w:val="en-US" w:eastAsia="en-US"/>
              </w:rPr>
              <w:t xml:space="preserve">flexibility in place to rapidly mobilize resources when </w:t>
            </w:r>
            <w:r w:rsidR="009E541C">
              <w:rPr>
                <w:rFonts w:asciiTheme="majorHAnsi" w:eastAsiaTheme="minorHAnsi" w:hAnsiTheme="majorHAnsi" w:cstheme="minorBidi"/>
                <w:color w:val="auto"/>
                <w:sz w:val="20"/>
                <w:szCs w:val="20"/>
                <w:lang w:val="en-US" w:eastAsia="en-US"/>
              </w:rPr>
              <w:t>needed prior, during and after the shock /crisis</w:t>
            </w:r>
          </w:p>
        </w:tc>
      </w:tr>
    </w:tbl>
    <w:p w14:paraId="0626BBE1" w14:textId="77777777" w:rsidR="009E541C" w:rsidRDefault="009E541C" w:rsidP="009E541C">
      <w:pPr>
        <w:pStyle w:val="Heading2"/>
        <w:spacing w:before="0" w:after="120" w:line="259" w:lineRule="auto"/>
        <w:jc w:val="both"/>
        <w:rPr>
          <w:rFonts w:asciiTheme="majorHAnsi" w:eastAsiaTheme="minorHAnsi" w:hAnsiTheme="majorHAnsi" w:cstheme="minorBidi"/>
          <w:color w:val="auto"/>
          <w:sz w:val="20"/>
          <w:szCs w:val="20"/>
          <w:lang w:eastAsia="en-US"/>
        </w:rPr>
      </w:pPr>
    </w:p>
    <w:p w14:paraId="4E51D86A" w14:textId="565F4203" w:rsidR="009E541C" w:rsidRDefault="000652E9">
      <w:pPr>
        <w:rPr>
          <w:rFonts w:asciiTheme="majorHAnsi" w:hAnsiTheme="majorHAnsi"/>
          <w:sz w:val="20"/>
          <w:szCs w:val="20"/>
        </w:rPr>
      </w:pPr>
      <w:r>
        <w:rPr>
          <w:rFonts w:ascii="DINNextLTPro-Regular" w:hAnsi="DINNextLTPro-Regular" w:cs="DINNextLTPro-Regular"/>
          <w:noProof/>
          <w:color w:val="A7CF39"/>
          <w:sz w:val="28"/>
          <w:szCs w:val="28"/>
          <w:lang w:val="en-US"/>
        </w:rPr>
        <mc:AlternateContent>
          <mc:Choice Requires="wps">
            <w:drawing>
              <wp:anchor distT="0" distB="0" distL="114300" distR="114300" simplePos="0" relativeHeight="251762688" behindDoc="1" locked="0" layoutInCell="1" allowOverlap="1" wp14:anchorId="58791A67" wp14:editId="2A6F52E1">
                <wp:simplePos x="0" y="0"/>
                <wp:positionH relativeFrom="column">
                  <wp:posOffset>171450</wp:posOffset>
                </wp:positionH>
                <wp:positionV relativeFrom="paragraph">
                  <wp:posOffset>957580</wp:posOffset>
                </wp:positionV>
                <wp:extent cx="5381625" cy="1076325"/>
                <wp:effectExtent l="0" t="0" r="0" b="0"/>
                <wp:wrapTight wrapText="bothSides">
                  <wp:wrapPolygon edited="0">
                    <wp:start x="229" y="0"/>
                    <wp:lineTo x="229" y="21027"/>
                    <wp:lineTo x="21332" y="21027"/>
                    <wp:lineTo x="21332" y="0"/>
                    <wp:lineTo x="229" y="0"/>
                  </wp:wrapPolygon>
                </wp:wrapTight>
                <wp:docPr id="9" name="Text Box 9"/>
                <wp:cNvGraphicFramePr/>
                <a:graphic xmlns:a="http://schemas.openxmlformats.org/drawingml/2006/main">
                  <a:graphicData uri="http://schemas.microsoft.com/office/word/2010/wordprocessingShape">
                    <wps:wsp>
                      <wps:cNvSpPr txBox="1"/>
                      <wps:spPr>
                        <a:xfrm>
                          <a:off x="0" y="0"/>
                          <a:ext cx="538162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C1ABE" w14:textId="45F07591" w:rsidR="000652E9" w:rsidRPr="00FB489B" w:rsidRDefault="000652E9" w:rsidP="00FB489B">
                            <w:pPr>
                              <w:spacing w:after="0" w:line="240" w:lineRule="auto"/>
                              <w:jc w:val="center"/>
                              <w:rPr>
                                <w:rFonts w:asciiTheme="majorHAnsi" w:hAnsiTheme="majorHAnsi"/>
                                <w:color w:val="C00000"/>
                                <w:sz w:val="44"/>
                                <w:lang w:val="en-US"/>
                              </w:rPr>
                            </w:pPr>
                            <w:r w:rsidRPr="00FB489B">
                              <w:rPr>
                                <w:rFonts w:asciiTheme="majorHAnsi" w:hAnsiTheme="majorHAnsi"/>
                                <w:color w:val="C00000"/>
                                <w:sz w:val="44"/>
                                <w:lang w:val="en-US"/>
                              </w:rPr>
                              <w:t>“Anticipate, do not wait for crises”</w:t>
                            </w:r>
                          </w:p>
                          <w:p w14:paraId="6B0AB892" w14:textId="50411FCE" w:rsidR="000652E9" w:rsidRPr="00FB489B" w:rsidRDefault="000652E9" w:rsidP="00FB489B">
                            <w:pPr>
                              <w:spacing w:after="0" w:line="240" w:lineRule="auto"/>
                              <w:jc w:val="center"/>
                              <w:rPr>
                                <w:rFonts w:asciiTheme="majorHAnsi" w:hAnsiTheme="majorHAnsi"/>
                                <w:i/>
                                <w:sz w:val="44"/>
                                <w:lang w:val="en-US"/>
                              </w:rPr>
                            </w:pPr>
                            <w:r w:rsidRPr="00FB489B">
                              <w:rPr>
                                <w:rFonts w:asciiTheme="majorHAnsi" w:hAnsiTheme="majorHAnsi"/>
                                <w:i/>
                                <w:sz w:val="44"/>
                                <w:lang w:val="en-US"/>
                              </w:rPr>
                              <w:t>UN Secretary General’s Agenda for Humanity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1A67" id="Text Box 9" o:spid="_x0000_s1029" type="#_x0000_t202" style="position:absolute;margin-left:13.5pt;margin-top:75.4pt;width:423.75pt;height:84.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" filled="f" stroked="f" strokeweight=".5pt">
                <v:textbox>
                  <w:txbxContent>
                    <w:p w14:paraId="442C1ABE" w14:textId="45F07591" w:rsidR="000652E9" w:rsidRPr="00FB489B" w:rsidRDefault="000652E9" w:rsidP="00FB489B">
                      <w:pPr>
                        <w:spacing w:after="0" w:line="240" w:lineRule="auto"/>
                        <w:jc w:val="center"/>
                        <w:rPr>
                          <w:rFonts w:asciiTheme="majorHAnsi" w:hAnsiTheme="majorHAnsi"/>
                          <w:color w:val="C00000"/>
                          <w:sz w:val="44"/>
                          <w:lang w:val="en-US"/>
                        </w:rPr>
                      </w:pPr>
                      <w:r w:rsidRPr="00FB489B">
                        <w:rPr>
                          <w:rFonts w:asciiTheme="majorHAnsi" w:hAnsiTheme="majorHAnsi"/>
                          <w:color w:val="C00000"/>
                          <w:sz w:val="44"/>
                          <w:lang w:val="en-US"/>
                        </w:rPr>
                        <w:t>“Anticipate, do not wait for crises”</w:t>
                      </w:r>
                    </w:p>
                    <w:p w14:paraId="6B0AB892" w14:textId="50411FCE" w:rsidR="000652E9" w:rsidRPr="00FB489B" w:rsidRDefault="000652E9" w:rsidP="00FB489B">
                      <w:pPr>
                        <w:spacing w:after="0" w:line="240" w:lineRule="auto"/>
                        <w:jc w:val="center"/>
                        <w:rPr>
                          <w:rFonts w:asciiTheme="majorHAnsi" w:hAnsiTheme="majorHAnsi"/>
                          <w:i/>
                          <w:sz w:val="44"/>
                          <w:lang w:val="en-US"/>
                        </w:rPr>
                      </w:pPr>
                      <w:r w:rsidRPr="00FB489B">
                        <w:rPr>
                          <w:rFonts w:asciiTheme="majorHAnsi" w:hAnsiTheme="majorHAnsi"/>
                          <w:i/>
                          <w:sz w:val="44"/>
                          <w:lang w:val="en-US"/>
                        </w:rPr>
                        <w:t>UN Secretary General’s Agenda for Humanity</w:t>
                      </w:r>
                    </w:p>
                  </w:txbxContent>
                </v:textbox>
                <w10:wrap type="tight"/>
              </v:shape>
            </w:pict>
          </mc:Fallback>
        </mc:AlternateContent>
      </w:r>
      <w:r w:rsidR="009E541C">
        <w:rPr>
          <w:rFonts w:asciiTheme="majorHAnsi" w:hAnsiTheme="majorHAnsi"/>
          <w:sz w:val="20"/>
          <w:szCs w:val="20"/>
        </w:rPr>
        <w:br w:type="page"/>
      </w:r>
    </w:p>
    <w:p w14:paraId="376D5C47" w14:textId="55667920" w:rsidR="004A3751" w:rsidRPr="00C07E4C" w:rsidRDefault="004A3751" w:rsidP="004A3751">
      <w:pPr>
        <w:pStyle w:val="Heading2"/>
        <w:spacing w:before="0" w:after="120" w:line="259" w:lineRule="auto"/>
        <w:jc w:val="both"/>
        <w:rPr>
          <w:rFonts w:asciiTheme="majorHAnsi" w:eastAsiaTheme="majorEastAsia" w:hAnsiTheme="majorHAnsi" w:cstheme="majorBidi"/>
          <w:b/>
          <w:bCs/>
          <w:color w:val="C00000"/>
          <w:sz w:val="28"/>
          <w:szCs w:val="22"/>
          <w:lang w:val="en-US" w:eastAsia="en-US"/>
        </w:rPr>
      </w:pPr>
      <w:r w:rsidRPr="00C07E4C">
        <w:rPr>
          <w:rFonts w:asciiTheme="majorHAnsi" w:eastAsiaTheme="majorEastAsia" w:hAnsiTheme="majorHAnsi" w:cstheme="majorBidi"/>
          <w:b/>
          <w:bCs/>
          <w:color w:val="C00000"/>
          <w:sz w:val="28"/>
          <w:szCs w:val="22"/>
          <w:lang w:val="en-US" w:eastAsia="en-US"/>
        </w:rPr>
        <w:lastRenderedPageBreak/>
        <w:t xml:space="preserve">HOW will the partnership </w:t>
      </w:r>
      <w:r>
        <w:rPr>
          <w:rFonts w:asciiTheme="majorHAnsi" w:eastAsiaTheme="majorEastAsia" w:hAnsiTheme="majorHAnsi" w:cstheme="majorBidi"/>
          <w:b/>
          <w:bCs/>
          <w:color w:val="C00000"/>
          <w:sz w:val="28"/>
          <w:szCs w:val="22"/>
          <w:lang w:val="en-US" w:eastAsia="en-US"/>
        </w:rPr>
        <w:t>be managed</w:t>
      </w:r>
      <w:r w:rsidRPr="00C07E4C">
        <w:rPr>
          <w:rFonts w:asciiTheme="majorHAnsi" w:eastAsiaTheme="majorEastAsia" w:hAnsiTheme="majorHAnsi" w:cstheme="majorBidi"/>
          <w:b/>
          <w:bCs/>
          <w:color w:val="C00000"/>
          <w:sz w:val="28"/>
          <w:szCs w:val="22"/>
          <w:lang w:val="en-US" w:eastAsia="en-US"/>
        </w:rPr>
        <w:t>?</w:t>
      </w:r>
    </w:p>
    <w:p w14:paraId="372B5B7B" w14:textId="446EC0BC" w:rsidR="00486B56" w:rsidRPr="00486B56" w:rsidRDefault="00486B56" w:rsidP="00486B56">
      <w:pPr>
        <w:pStyle w:val="Heading2"/>
        <w:spacing w:before="0" w:after="120" w:line="259" w:lineRule="auto"/>
        <w:jc w:val="both"/>
        <w:rPr>
          <w:rFonts w:asciiTheme="majorHAnsi" w:eastAsiaTheme="minorHAnsi" w:hAnsiTheme="majorHAnsi"/>
          <w:color w:val="auto"/>
          <w:sz w:val="20"/>
          <w:szCs w:val="22"/>
          <w:lang w:eastAsia="en-US"/>
        </w:rPr>
      </w:pPr>
      <w:r w:rsidRPr="00486B56">
        <w:rPr>
          <w:rFonts w:asciiTheme="majorHAnsi" w:eastAsiaTheme="minorHAnsi" w:hAnsiTheme="majorHAnsi"/>
          <w:color w:val="auto"/>
          <w:sz w:val="20"/>
          <w:szCs w:val="22"/>
          <w:lang w:eastAsia="en-US"/>
        </w:rPr>
        <w:t>The GPP will require a dedicated governance mechanism. Financing will be managed through a two-fund architecture, and complemented by additional funding mechanisms and implementing arrangements</w:t>
      </w:r>
      <w:r w:rsidR="00971121">
        <w:rPr>
          <w:rFonts w:asciiTheme="majorHAnsi" w:eastAsiaTheme="minorHAnsi" w:hAnsiTheme="majorHAnsi"/>
          <w:color w:val="auto"/>
          <w:sz w:val="20"/>
          <w:szCs w:val="22"/>
          <w:lang w:eastAsia="en-US"/>
        </w:rPr>
        <w:t>.</w:t>
      </w:r>
    </w:p>
    <w:p w14:paraId="496FD97B" w14:textId="0D8C8431" w:rsidR="00063ED7" w:rsidRPr="00063ED7" w:rsidRDefault="00063ED7" w:rsidP="00063ED7">
      <w:pPr>
        <w:pStyle w:val="Heading2"/>
        <w:spacing w:before="0" w:after="120" w:line="259" w:lineRule="auto"/>
        <w:rPr>
          <w:rFonts w:asciiTheme="majorHAnsi" w:hAnsiTheme="majorHAnsi"/>
          <w:sz w:val="20"/>
          <w:lang w:val="en-US"/>
        </w:rPr>
      </w:pPr>
      <w:r>
        <w:rPr>
          <w:rFonts w:asciiTheme="majorHAnsi" w:hAnsiTheme="majorHAnsi"/>
          <w:b/>
          <w:sz w:val="20"/>
        </w:rPr>
        <w:t xml:space="preserve">Governance and management arrangements.  </w:t>
      </w:r>
      <w:r w:rsidRPr="00063ED7">
        <w:rPr>
          <w:rFonts w:asciiTheme="majorHAnsi" w:hAnsiTheme="majorHAnsi"/>
          <w:sz w:val="20"/>
        </w:rPr>
        <w:t>The GPP’s governance will be defined through a consultative process involving key stakeholders. Governance arrangements will be designed to generate greater coherence amongst relevant preparedness actors, and promote</w:t>
      </w:r>
      <w:r w:rsidRPr="00063ED7">
        <w:rPr>
          <w:rFonts w:asciiTheme="majorHAnsi" w:hAnsiTheme="majorHAnsi"/>
          <w:sz w:val="20"/>
          <w:lang w:val="en-US"/>
        </w:rPr>
        <w:t xml:space="preserve"> representativeness, efficiency, demand responsiveness, and transparency. These arrangements could including the following elements:</w:t>
      </w:r>
    </w:p>
    <w:p w14:paraId="62F71CF5" w14:textId="77777777" w:rsidR="00063ED7" w:rsidRPr="00063ED7" w:rsidRDefault="00063ED7" w:rsidP="00063ED7">
      <w:pPr>
        <w:pStyle w:val="Heading2"/>
        <w:numPr>
          <w:ilvl w:val="0"/>
          <w:numId w:val="22"/>
        </w:numPr>
        <w:spacing w:before="0" w:after="120" w:line="259" w:lineRule="auto"/>
        <w:rPr>
          <w:rFonts w:asciiTheme="majorHAnsi" w:hAnsiTheme="majorHAnsi"/>
          <w:sz w:val="20"/>
        </w:rPr>
      </w:pPr>
      <w:r w:rsidRPr="00063ED7">
        <w:rPr>
          <w:rFonts w:asciiTheme="majorHAnsi" w:hAnsiTheme="majorHAnsi"/>
          <w:sz w:val="20"/>
        </w:rPr>
        <w:t>A</w:t>
      </w:r>
      <w:r w:rsidRPr="00063ED7">
        <w:rPr>
          <w:rFonts w:asciiTheme="majorHAnsi" w:hAnsiTheme="majorHAnsi"/>
          <w:b/>
          <w:sz w:val="20"/>
        </w:rPr>
        <w:t xml:space="preserve"> </w:t>
      </w:r>
      <w:r w:rsidRPr="00063ED7">
        <w:rPr>
          <w:rFonts w:asciiTheme="majorHAnsi" w:hAnsiTheme="majorHAnsi"/>
          <w:b/>
          <w:i/>
          <w:sz w:val="20"/>
        </w:rPr>
        <w:t>Steering Committee</w:t>
      </w:r>
      <w:r w:rsidRPr="00063ED7">
        <w:rPr>
          <w:rFonts w:asciiTheme="majorHAnsi" w:hAnsiTheme="majorHAnsi"/>
          <w:b/>
          <w:sz w:val="20"/>
        </w:rPr>
        <w:t xml:space="preserve"> </w:t>
      </w:r>
      <w:r w:rsidRPr="00063ED7">
        <w:rPr>
          <w:rFonts w:asciiTheme="majorHAnsi" w:hAnsiTheme="majorHAnsi"/>
          <w:sz w:val="20"/>
        </w:rPr>
        <w:t>responsible for setting the GPP’s priorities and</w:t>
      </w:r>
      <w:r w:rsidRPr="00063ED7">
        <w:rPr>
          <w:rFonts w:asciiTheme="majorHAnsi" w:hAnsiTheme="majorHAnsi"/>
          <w:b/>
          <w:sz w:val="20"/>
        </w:rPr>
        <w:t xml:space="preserve"> strategic direction and through transparent and accountable decision-making.</w:t>
      </w:r>
      <w:r w:rsidRPr="00063ED7">
        <w:rPr>
          <w:rFonts w:asciiTheme="majorHAnsi" w:hAnsiTheme="majorHAnsi"/>
          <w:sz w:val="20"/>
        </w:rPr>
        <w:t xml:space="preserve"> </w:t>
      </w:r>
      <w:r w:rsidRPr="00063ED7">
        <w:rPr>
          <w:rFonts w:asciiTheme="majorHAnsi" w:hAnsiTheme="majorHAnsi"/>
          <w:sz w:val="20"/>
          <w:lang w:val="en-US"/>
        </w:rPr>
        <w:t xml:space="preserve">In addition, it could serve as a forum for policy dialogue between vulnerable countries and the international community on preparedness.  </w:t>
      </w:r>
      <w:r w:rsidRPr="00063ED7">
        <w:rPr>
          <w:rFonts w:asciiTheme="majorHAnsi" w:hAnsiTheme="majorHAnsi"/>
          <w:sz w:val="20"/>
        </w:rPr>
        <w:t xml:space="preserve">The Steering Committee will be composed of the GPP Partners, including representation from at risk countries through the V20, donors and implementing partners. </w:t>
      </w:r>
      <w:r w:rsidRPr="00063ED7">
        <w:rPr>
          <w:rFonts w:asciiTheme="majorHAnsi" w:hAnsiTheme="majorHAnsi"/>
          <w:sz w:val="20"/>
          <w:lang w:val="en-US"/>
        </w:rPr>
        <w:t>T</w:t>
      </w:r>
      <w:r w:rsidRPr="00063ED7">
        <w:rPr>
          <w:rFonts w:asciiTheme="majorHAnsi" w:hAnsiTheme="majorHAnsi"/>
          <w:sz w:val="20"/>
        </w:rPr>
        <w:t xml:space="preserve">he Steering Committee will be </w:t>
      </w:r>
      <w:r w:rsidRPr="00063ED7">
        <w:rPr>
          <w:rFonts w:asciiTheme="majorHAnsi" w:hAnsiTheme="majorHAnsi"/>
          <w:sz w:val="20"/>
          <w:lang w:val="en-US"/>
        </w:rPr>
        <w:t xml:space="preserve">chaired by an at-risk country and </w:t>
      </w:r>
      <w:r w:rsidRPr="00063ED7">
        <w:rPr>
          <w:rFonts w:asciiTheme="majorHAnsi" w:hAnsiTheme="majorHAnsi"/>
          <w:sz w:val="20"/>
        </w:rPr>
        <w:t xml:space="preserve">co-chaired by a donor and a partner from the multilateral system. </w:t>
      </w:r>
    </w:p>
    <w:p w14:paraId="3D1EE049" w14:textId="77777777" w:rsidR="00063ED7" w:rsidRPr="00063ED7" w:rsidRDefault="00063ED7" w:rsidP="00063ED7">
      <w:pPr>
        <w:pStyle w:val="Heading2"/>
        <w:numPr>
          <w:ilvl w:val="0"/>
          <w:numId w:val="22"/>
        </w:numPr>
        <w:spacing w:before="0" w:after="120" w:line="259" w:lineRule="auto"/>
        <w:rPr>
          <w:rFonts w:asciiTheme="majorHAnsi" w:hAnsiTheme="majorHAnsi"/>
          <w:sz w:val="20"/>
        </w:rPr>
      </w:pPr>
      <w:r w:rsidRPr="00063ED7">
        <w:rPr>
          <w:rFonts w:asciiTheme="majorHAnsi" w:hAnsiTheme="majorHAnsi"/>
          <w:sz w:val="20"/>
        </w:rPr>
        <w:t>A</w:t>
      </w:r>
      <w:r w:rsidRPr="00063ED7">
        <w:rPr>
          <w:rFonts w:asciiTheme="majorHAnsi" w:hAnsiTheme="majorHAnsi"/>
          <w:b/>
          <w:sz w:val="20"/>
        </w:rPr>
        <w:t xml:space="preserve"> </w:t>
      </w:r>
      <w:r w:rsidRPr="00063ED7">
        <w:rPr>
          <w:rFonts w:asciiTheme="majorHAnsi" w:hAnsiTheme="majorHAnsi"/>
          <w:b/>
          <w:i/>
          <w:sz w:val="20"/>
        </w:rPr>
        <w:t>Technical Secretariat</w:t>
      </w:r>
      <w:r w:rsidRPr="00063ED7">
        <w:rPr>
          <w:rFonts w:asciiTheme="majorHAnsi" w:hAnsiTheme="majorHAnsi"/>
          <w:sz w:val="20"/>
        </w:rPr>
        <w:t>, which could provide direct support to the Steering Committee on general partnership operations, portfolio cycle management</w:t>
      </w:r>
      <w:r w:rsidRPr="00063ED7">
        <w:rPr>
          <w:rFonts w:asciiTheme="majorHAnsi" w:hAnsiTheme="majorHAnsi"/>
          <w:sz w:val="20"/>
          <w:lang w:val="en-US"/>
        </w:rPr>
        <w:t>, communications, fundraising,</w:t>
      </w:r>
      <w:r w:rsidRPr="00063ED7">
        <w:rPr>
          <w:rFonts w:asciiTheme="majorHAnsi" w:hAnsiTheme="majorHAnsi"/>
          <w:sz w:val="20"/>
        </w:rPr>
        <w:t xml:space="preserve"> and general coordinating of monitoring, evaluating and reporting processes. </w:t>
      </w:r>
    </w:p>
    <w:p w14:paraId="6F0ECFC9" w14:textId="3E68BC5C" w:rsidR="00063ED7" w:rsidRPr="00063ED7" w:rsidRDefault="00063ED7" w:rsidP="00063ED7">
      <w:pPr>
        <w:pStyle w:val="Heading2"/>
        <w:numPr>
          <w:ilvl w:val="0"/>
          <w:numId w:val="22"/>
        </w:numPr>
        <w:spacing w:before="0" w:after="120" w:line="259" w:lineRule="auto"/>
        <w:rPr>
          <w:rFonts w:asciiTheme="majorHAnsi" w:hAnsiTheme="majorHAnsi"/>
          <w:sz w:val="20"/>
        </w:rPr>
      </w:pPr>
      <w:r w:rsidRPr="00063ED7">
        <w:rPr>
          <w:rFonts w:asciiTheme="majorHAnsi" w:hAnsiTheme="majorHAnsi"/>
          <w:b/>
          <w:i/>
          <w:sz w:val="20"/>
        </w:rPr>
        <w:t>Implementing Entities</w:t>
      </w:r>
      <w:r w:rsidRPr="00063ED7">
        <w:rPr>
          <w:rFonts w:asciiTheme="majorHAnsi" w:hAnsiTheme="majorHAnsi"/>
          <w:sz w:val="20"/>
        </w:rPr>
        <w:t xml:space="preserve">. The GPP will seek different global, national and local implementing entities, the selection of which will be based on demonstrated comparative advantage, knowledge and capacity to </w:t>
      </w:r>
      <w:r>
        <w:rPr>
          <w:rFonts w:asciiTheme="majorHAnsi" w:hAnsiTheme="majorHAnsi"/>
          <w:sz w:val="20"/>
        </w:rPr>
        <w:t>undertake the work.</w:t>
      </w:r>
    </w:p>
    <w:p w14:paraId="71F87005" w14:textId="6D1915FB" w:rsidR="00063ED7" w:rsidRPr="00063ED7" w:rsidRDefault="00063ED7" w:rsidP="00971121">
      <w:pPr>
        <w:spacing w:before="120" w:after="0" w:line="240" w:lineRule="auto"/>
        <w:jc w:val="both"/>
        <w:outlineLvl w:val="1"/>
        <w:rPr>
          <w:rFonts w:asciiTheme="majorHAnsi" w:eastAsia="Times New Roman" w:hAnsiTheme="majorHAnsi" w:cs="Times New Roman"/>
          <w:b/>
          <w:bCs/>
          <w:color w:val="5B9BD5"/>
          <w:sz w:val="20"/>
          <w:szCs w:val="20"/>
        </w:rPr>
      </w:pPr>
      <w:r>
        <w:rPr>
          <w:rFonts w:asciiTheme="majorHAnsi" w:eastAsia="Calibri" w:hAnsiTheme="majorHAnsi" w:cs="Times New Roman"/>
          <w:b/>
          <w:sz w:val="20"/>
          <w:szCs w:val="20"/>
        </w:rPr>
        <w:t xml:space="preserve">Finance arrangements.  </w:t>
      </w:r>
      <w:r w:rsidRPr="00063ED7">
        <w:rPr>
          <w:rFonts w:asciiTheme="majorHAnsi" w:eastAsia="Calibri" w:hAnsiTheme="majorHAnsi" w:cs="Times New Roman"/>
          <w:sz w:val="20"/>
          <w:szCs w:val="20"/>
        </w:rPr>
        <w:t>Finance, predominantly in the form of grants, for the GPP will be supported by a two-fund architecture and be sufficiently flexible to accommodate contributions from other funding mechanisms</w:t>
      </w:r>
      <w:r w:rsidR="00971121">
        <w:rPr>
          <w:rFonts w:asciiTheme="majorHAnsi" w:eastAsia="Calibri" w:hAnsiTheme="majorHAnsi" w:cs="Times New Roman"/>
          <w:sz w:val="20"/>
          <w:szCs w:val="20"/>
        </w:rPr>
        <w:t>.</w:t>
      </w:r>
      <w:r w:rsidRPr="00063ED7">
        <w:rPr>
          <w:rFonts w:asciiTheme="majorHAnsi" w:eastAsia="Calibri" w:hAnsiTheme="majorHAnsi" w:cs="Times New Roman"/>
          <w:sz w:val="20"/>
          <w:szCs w:val="20"/>
        </w:rPr>
        <w:t xml:space="preserve"> </w:t>
      </w:r>
      <w:r w:rsidRPr="00063ED7">
        <w:rPr>
          <w:rFonts w:asciiTheme="majorHAnsi" w:eastAsia="Calibri" w:hAnsiTheme="majorHAnsi" w:cs="Arial"/>
          <w:sz w:val="20"/>
          <w:szCs w:val="20"/>
        </w:rPr>
        <w:t>This will consist of:</w:t>
      </w:r>
    </w:p>
    <w:p w14:paraId="62EE7496" w14:textId="77777777" w:rsidR="00063ED7" w:rsidRPr="00063ED7" w:rsidRDefault="00063ED7" w:rsidP="00063ED7">
      <w:pPr>
        <w:numPr>
          <w:ilvl w:val="0"/>
          <w:numId w:val="7"/>
        </w:numPr>
        <w:spacing w:before="120" w:after="0" w:line="240" w:lineRule="auto"/>
        <w:jc w:val="both"/>
        <w:outlineLvl w:val="1"/>
        <w:rPr>
          <w:rFonts w:asciiTheme="majorHAnsi" w:eastAsia="Calibri" w:hAnsiTheme="majorHAnsi" w:cs="Arial"/>
          <w:sz w:val="20"/>
          <w:szCs w:val="20"/>
        </w:rPr>
      </w:pPr>
      <w:r w:rsidRPr="00063ED7">
        <w:rPr>
          <w:rFonts w:asciiTheme="majorHAnsi" w:eastAsia="Calibri" w:hAnsiTheme="majorHAnsi" w:cs="Arial"/>
          <w:b/>
          <w:i/>
          <w:sz w:val="20"/>
          <w:szCs w:val="20"/>
        </w:rPr>
        <w:t>A Multi-Partner Trust Fund</w:t>
      </w:r>
      <w:r w:rsidRPr="00063ED7">
        <w:rPr>
          <w:rFonts w:asciiTheme="majorHAnsi" w:eastAsia="Calibri" w:hAnsiTheme="majorHAnsi" w:cs="Arial"/>
          <w:sz w:val="20"/>
          <w:szCs w:val="20"/>
        </w:rPr>
        <w:t xml:space="preserve"> (MPTF), which w</w:t>
      </w:r>
      <w:r w:rsidRPr="00063ED7">
        <w:rPr>
          <w:rFonts w:asciiTheme="majorHAnsi" w:eastAsia="Calibri" w:hAnsiTheme="majorHAnsi" w:cs="Arial"/>
          <w:sz w:val="20"/>
          <w:szCs w:val="20"/>
          <w:lang w:val="en-US"/>
        </w:rPr>
        <w:t>ill</w:t>
      </w:r>
      <w:r w:rsidRPr="00063ED7">
        <w:rPr>
          <w:rFonts w:asciiTheme="majorHAnsi" w:eastAsia="Calibri" w:hAnsiTheme="majorHAnsi" w:cs="Arial"/>
          <w:sz w:val="20"/>
          <w:szCs w:val="20"/>
        </w:rPr>
        <w:t xml:space="preserve"> manage funds held in trust, disburse funding based on </w:t>
      </w:r>
      <w:r w:rsidRPr="00063ED7">
        <w:rPr>
          <w:rFonts w:asciiTheme="majorHAnsi" w:eastAsia="Calibri" w:hAnsiTheme="majorHAnsi" w:cs="Arial"/>
          <w:sz w:val="20"/>
          <w:szCs w:val="20"/>
          <w:lang w:val="en-US"/>
        </w:rPr>
        <w:t>guidance provided</w:t>
      </w:r>
      <w:r w:rsidRPr="00063ED7">
        <w:rPr>
          <w:rFonts w:asciiTheme="majorHAnsi" w:eastAsia="Calibri" w:hAnsiTheme="majorHAnsi" w:cs="Arial"/>
          <w:sz w:val="20"/>
          <w:szCs w:val="20"/>
        </w:rPr>
        <w:t xml:space="preserve"> the Steering Committee as well as provide fund management tools to ensure transparency and consolidates programme and financial reports to provide accurate and timely information to all concerned stakeholders.</w:t>
      </w:r>
    </w:p>
    <w:p w14:paraId="70FB9999" w14:textId="77777777" w:rsidR="00063ED7" w:rsidRPr="00063ED7" w:rsidRDefault="00063ED7" w:rsidP="00063ED7">
      <w:pPr>
        <w:numPr>
          <w:ilvl w:val="0"/>
          <w:numId w:val="7"/>
        </w:numPr>
        <w:spacing w:after="0" w:line="240" w:lineRule="auto"/>
        <w:jc w:val="both"/>
        <w:outlineLvl w:val="1"/>
        <w:rPr>
          <w:rFonts w:asciiTheme="majorHAnsi" w:eastAsia="Times New Roman" w:hAnsiTheme="majorHAnsi" w:cs="Times New Roman"/>
          <w:b/>
          <w:bCs/>
          <w:color w:val="5B9BD5"/>
          <w:sz w:val="20"/>
          <w:szCs w:val="20"/>
          <w:lang w:val="en-US"/>
        </w:rPr>
      </w:pPr>
      <w:r w:rsidRPr="00063ED7">
        <w:rPr>
          <w:rFonts w:asciiTheme="majorHAnsi" w:eastAsia="Calibri" w:hAnsiTheme="majorHAnsi" w:cs="Arial"/>
          <w:b/>
          <w:i/>
          <w:sz w:val="20"/>
          <w:szCs w:val="20"/>
        </w:rPr>
        <w:t xml:space="preserve">A World Bank Trust Fund </w:t>
      </w:r>
      <w:r w:rsidRPr="00063ED7">
        <w:rPr>
          <w:rFonts w:asciiTheme="majorHAnsi" w:eastAsia="Calibri" w:hAnsiTheme="majorHAnsi" w:cs="Arial"/>
          <w:sz w:val="20"/>
          <w:szCs w:val="20"/>
        </w:rPr>
        <w:t>(WBTTF), which w</w:t>
      </w:r>
      <w:r w:rsidRPr="00063ED7">
        <w:rPr>
          <w:rFonts w:asciiTheme="majorHAnsi" w:eastAsia="Calibri" w:hAnsiTheme="majorHAnsi" w:cs="Arial"/>
          <w:sz w:val="20"/>
          <w:szCs w:val="20"/>
          <w:lang w:val="en-US"/>
        </w:rPr>
        <w:t>ill</w:t>
      </w:r>
      <w:r w:rsidRPr="00063ED7">
        <w:rPr>
          <w:rFonts w:asciiTheme="majorHAnsi" w:eastAsia="Calibri" w:hAnsiTheme="majorHAnsi" w:cs="Arial"/>
          <w:sz w:val="20"/>
          <w:szCs w:val="20"/>
        </w:rPr>
        <w:t xml:space="preserve"> channel funds managed by WB/GFDRR and used to provide  assistance directly to governments</w:t>
      </w:r>
      <w:r w:rsidRPr="00063ED7">
        <w:rPr>
          <w:rFonts w:asciiTheme="majorHAnsi" w:eastAsia="Calibri" w:hAnsiTheme="majorHAnsi" w:cs="Arial"/>
          <w:sz w:val="20"/>
          <w:szCs w:val="20"/>
          <w:lang w:val="en-US"/>
        </w:rPr>
        <w:t>, as well as through World Bank and UN teams,</w:t>
      </w:r>
      <w:r w:rsidRPr="00063ED7">
        <w:rPr>
          <w:rFonts w:asciiTheme="majorHAnsi" w:eastAsia="Calibri" w:hAnsiTheme="majorHAnsi" w:cs="Arial"/>
          <w:sz w:val="20"/>
          <w:szCs w:val="20"/>
        </w:rPr>
        <w:t xml:space="preserve"> to support the GPP objectives, and as </w:t>
      </w:r>
      <w:r w:rsidRPr="00063ED7">
        <w:rPr>
          <w:rFonts w:asciiTheme="majorHAnsi" w:eastAsia="Calibri" w:hAnsiTheme="majorHAnsi" w:cs="Arial"/>
          <w:sz w:val="20"/>
          <w:szCs w:val="20"/>
          <w:lang w:val="en-US"/>
        </w:rPr>
        <w:t>guided by</w:t>
      </w:r>
      <w:r w:rsidRPr="00063ED7">
        <w:rPr>
          <w:rFonts w:asciiTheme="majorHAnsi" w:eastAsia="Calibri" w:hAnsiTheme="majorHAnsi" w:cs="Arial"/>
          <w:sz w:val="20"/>
          <w:szCs w:val="20"/>
        </w:rPr>
        <w:t xml:space="preserve"> the Steering Committee. Activities would be implemented </w:t>
      </w:r>
      <w:r w:rsidRPr="00063ED7">
        <w:rPr>
          <w:rFonts w:asciiTheme="majorHAnsi" w:eastAsia="Calibri" w:hAnsiTheme="majorHAnsi" w:cs="Arial"/>
          <w:sz w:val="20"/>
          <w:szCs w:val="20"/>
          <w:lang w:val="en-US"/>
        </w:rPr>
        <w:t>by</w:t>
      </w:r>
      <w:r w:rsidRPr="00063ED7">
        <w:rPr>
          <w:rFonts w:asciiTheme="majorHAnsi" w:eastAsia="Calibri" w:hAnsiTheme="majorHAnsi" w:cs="Arial"/>
          <w:sz w:val="20"/>
          <w:szCs w:val="20"/>
        </w:rPr>
        <w:t xml:space="preserve"> the governments</w:t>
      </w:r>
      <w:r w:rsidRPr="00063ED7">
        <w:rPr>
          <w:rFonts w:asciiTheme="majorHAnsi" w:eastAsia="Calibri" w:hAnsiTheme="majorHAnsi" w:cs="Arial"/>
          <w:sz w:val="20"/>
          <w:szCs w:val="20"/>
          <w:lang w:val="en-US"/>
        </w:rPr>
        <w:t xml:space="preserve"> in close coordination with</w:t>
      </w:r>
      <w:r w:rsidRPr="00063ED7">
        <w:rPr>
          <w:rFonts w:asciiTheme="majorHAnsi" w:eastAsia="Calibri" w:hAnsiTheme="majorHAnsi" w:cs="Arial"/>
          <w:sz w:val="20"/>
          <w:szCs w:val="20"/>
        </w:rPr>
        <w:t xml:space="preserve"> relevant partners. </w:t>
      </w:r>
    </w:p>
    <w:p w14:paraId="7F406D20" w14:textId="77777777" w:rsidR="00063ED7" w:rsidRPr="00063ED7" w:rsidRDefault="00063ED7" w:rsidP="00063ED7">
      <w:pPr>
        <w:numPr>
          <w:ilvl w:val="0"/>
          <w:numId w:val="7"/>
        </w:numPr>
        <w:spacing w:before="120" w:after="0" w:line="240" w:lineRule="auto"/>
        <w:jc w:val="both"/>
        <w:outlineLvl w:val="1"/>
        <w:rPr>
          <w:rFonts w:asciiTheme="majorHAnsi" w:eastAsia="Times New Roman" w:hAnsiTheme="majorHAnsi" w:cs="Times New Roman"/>
          <w:b/>
          <w:bCs/>
          <w:sz w:val="20"/>
          <w:szCs w:val="20"/>
          <w:lang w:val="en-US"/>
        </w:rPr>
      </w:pPr>
      <w:r w:rsidRPr="00063ED7">
        <w:rPr>
          <w:rFonts w:asciiTheme="majorHAnsi" w:eastAsia="Times New Roman" w:hAnsiTheme="majorHAnsi" w:cs="Times New Roman"/>
          <w:b/>
          <w:bCs/>
          <w:sz w:val="20"/>
          <w:szCs w:val="20"/>
          <w:lang w:val="en-US"/>
        </w:rPr>
        <w:t xml:space="preserve">Complementary funding arrangements </w:t>
      </w:r>
      <w:r w:rsidRPr="00063ED7">
        <w:rPr>
          <w:rFonts w:asciiTheme="majorHAnsi" w:eastAsia="Times New Roman" w:hAnsiTheme="majorHAnsi" w:cs="Times New Roman"/>
          <w:bCs/>
          <w:sz w:val="20"/>
          <w:szCs w:val="20"/>
          <w:lang w:val="en-US"/>
        </w:rPr>
        <w:t xml:space="preserve">at the national level, including bilateral project funding and risk financing mechanisms, which support the strategic approach and priorities of the GPP. These additional sources of funding should also seek to ‘crowd in’ investments and capacity from the private sector to strengthen national preparedness systems. </w:t>
      </w:r>
    </w:p>
    <w:p w14:paraId="65A77037" w14:textId="77777777" w:rsidR="00063ED7" w:rsidRPr="00063ED7" w:rsidRDefault="00063ED7" w:rsidP="00063ED7">
      <w:pPr>
        <w:spacing w:after="0" w:line="240" w:lineRule="auto"/>
        <w:jc w:val="both"/>
        <w:outlineLvl w:val="1"/>
        <w:rPr>
          <w:rFonts w:asciiTheme="majorHAnsi" w:eastAsia="Times New Roman" w:hAnsiTheme="majorHAnsi" w:cs="Times New Roman"/>
          <w:b/>
          <w:bCs/>
          <w:color w:val="5B9BD5"/>
          <w:sz w:val="20"/>
          <w:szCs w:val="20"/>
          <w:lang w:val="en-US"/>
        </w:rPr>
      </w:pPr>
    </w:p>
    <w:p w14:paraId="386DA1CE" w14:textId="4BF18F62" w:rsidR="00661F23" w:rsidRDefault="00063ED7" w:rsidP="00063ED7">
      <w:pPr>
        <w:spacing w:before="120" w:after="0" w:line="240" w:lineRule="auto"/>
        <w:jc w:val="both"/>
        <w:outlineLvl w:val="1"/>
        <w:rPr>
          <w:rFonts w:asciiTheme="majorHAnsi" w:eastAsiaTheme="majorEastAsia" w:hAnsiTheme="majorHAnsi" w:cstheme="majorBidi"/>
          <w:b/>
          <w:bCs/>
          <w:color w:val="DDDDDD" w:themeColor="accent1"/>
          <w:sz w:val="24"/>
          <w:lang w:val="en-US"/>
        </w:rPr>
      </w:pPr>
      <w:r w:rsidRPr="00063ED7">
        <w:rPr>
          <w:rFonts w:asciiTheme="majorHAnsi" w:eastAsia="Calibri" w:hAnsiTheme="majorHAnsi" w:cs="Times New Roman"/>
          <w:b/>
          <w:sz w:val="20"/>
          <w:szCs w:val="20"/>
          <w:lang w:val="en-US"/>
        </w:rPr>
        <w:t xml:space="preserve">Estimated financing needs:  </w:t>
      </w:r>
      <w:r w:rsidRPr="00063ED7">
        <w:rPr>
          <w:rFonts w:asciiTheme="majorHAnsi" w:eastAsia="Calibri" w:hAnsiTheme="majorHAnsi" w:cs="Times New Roman"/>
          <w:sz w:val="20"/>
          <w:szCs w:val="20"/>
          <w:lang w:val="en-US"/>
        </w:rPr>
        <w:t xml:space="preserve">The initial phase of the GPP, covering 20 countries over a two-year period, is estimated to cost $100 - 130 million.  A longer-term program of five years, covering 50 vulnerable nations, would involve $250 - $330 million.  </w:t>
      </w:r>
      <w:r w:rsidRPr="00063ED7">
        <w:rPr>
          <w:rFonts w:asciiTheme="majorHAnsi" w:eastAsia="Calibri" w:hAnsiTheme="majorHAnsi" w:cs="Times New Roman"/>
          <w:sz w:val="20"/>
          <w:szCs w:val="20"/>
        </w:rPr>
        <w:t xml:space="preserve">A detailed budget will be elaborated </w:t>
      </w:r>
      <w:r w:rsidRPr="00063ED7">
        <w:rPr>
          <w:rFonts w:asciiTheme="majorHAnsi" w:eastAsia="Calibri" w:hAnsiTheme="majorHAnsi" w:cs="Times New Roman"/>
          <w:sz w:val="20"/>
          <w:szCs w:val="20"/>
          <w:lang w:val="en-US"/>
        </w:rPr>
        <w:t>following</w:t>
      </w:r>
      <w:r w:rsidRPr="00063ED7">
        <w:rPr>
          <w:rFonts w:asciiTheme="majorHAnsi" w:eastAsia="Calibri" w:hAnsiTheme="majorHAnsi" w:cs="Times New Roman"/>
          <w:sz w:val="20"/>
          <w:szCs w:val="20"/>
        </w:rPr>
        <w:t xml:space="preserve"> the WHS launch.</w:t>
      </w:r>
      <w:r w:rsidRPr="00063ED7">
        <w:rPr>
          <w:rFonts w:asciiTheme="majorHAnsi" w:eastAsia="Calibri" w:hAnsiTheme="majorHAnsi" w:cs="Times New Roman"/>
          <w:sz w:val="20"/>
          <w:szCs w:val="20"/>
          <w:lang w:val="en-US"/>
        </w:rPr>
        <w:t xml:space="preserve">  This financing would also leverage far greater resources from development partners, the private sector and par</w:t>
      </w:r>
      <w:r>
        <w:rPr>
          <w:rFonts w:asciiTheme="majorHAnsi" w:eastAsia="Calibri" w:hAnsiTheme="majorHAnsi" w:cs="Times New Roman"/>
          <w:sz w:val="20"/>
          <w:szCs w:val="20"/>
          <w:lang w:val="en-US"/>
        </w:rPr>
        <w:t>ticipating countries</w:t>
      </w:r>
      <w:r w:rsidRPr="00063ED7">
        <w:rPr>
          <w:rFonts w:asciiTheme="majorHAnsi" w:eastAsia="Calibri" w:hAnsiTheme="majorHAnsi" w:cs="Times New Roman"/>
          <w:sz w:val="20"/>
          <w:szCs w:val="20"/>
          <w:lang w:val="en-US"/>
        </w:rPr>
        <w:t>.</w:t>
      </w:r>
      <w:r w:rsidR="00661F23" w:rsidRPr="007D1609">
        <w:rPr>
          <w:rFonts w:asciiTheme="majorHAnsi" w:eastAsiaTheme="majorEastAsia" w:hAnsiTheme="majorHAnsi" w:cstheme="majorBidi"/>
          <w:b/>
          <w:bCs/>
          <w:color w:val="DDDDDD" w:themeColor="accent1"/>
          <w:sz w:val="24"/>
          <w:lang w:val="en-US"/>
        </w:rPr>
        <w:t>*</w:t>
      </w:r>
    </w:p>
    <w:p w14:paraId="766D3817" w14:textId="77777777" w:rsidR="00971121" w:rsidRPr="00063ED7" w:rsidRDefault="00971121" w:rsidP="00063ED7">
      <w:pPr>
        <w:spacing w:before="120" w:after="0" w:line="240" w:lineRule="auto"/>
        <w:jc w:val="both"/>
        <w:outlineLvl w:val="1"/>
        <w:rPr>
          <w:rFonts w:asciiTheme="majorHAnsi" w:eastAsia="Times New Roman" w:hAnsiTheme="majorHAnsi" w:cs="Times New Roman"/>
          <w:b/>
          <w:i/>
          <w:color w:val="362F2D"/>
          <w:sz w:val="20"/>
          <w:szCs w:val="20"/>
          <w:lang w:val="en-US" w:eastAsia="en-GB"/>
        </w:rPr>
      </w:pPr>
    </w:p>
    <w:p w14:paraId="2C51B1A7" w14:textId="18B28E76" w:rsidR="00253581" w:rsidRPr="007D1609" w:rsidRDefault="00971121" w:rsidP="00661F23">
      <w:pPr>
        <w:jc w:val="center"/>
        <w:rPr>
          <w:rFonts w:asciiTheme="majorHAnsi" w:hAnsiTheme="majorHAnsi"/>
          <w:b/>
        </w:rPr>
      </w:pPr>
      <w:r w:rsidRPr="007D1609">
        <w:rPr>
          <w:rFonts w:asciiTheme="majorHAnsi" w:hAnsiTheme="majorHAnsi"/>
          <w:noProof/>
          <w:lang w:val="en-US"/>
        </w:rPr>
        <w:drawing>
          <wp:anchor distT="0" distB="0" distL="114300" distR="114300" simplePos="0" relativeHeight="251821056" behindDoc="1" locked="0" layoutInCell="1" allowOverlap="1" wp14:anchorId="078BAD89" wp14:editId="7C6F253C">
            <wp:simplePos x="0" y="0"/>
            <wp:positionH relativeFrom="column">
              <wp:posOffset>685800</wp:posOffset>
            </wp:positionH>
            <wp:positionV relativeFrom="paragraph">
              <wp:posOffset>11430</wp:posOffset>
            </wp:positionV>
            <wp:extent cx="659765" cy="659765"/>
            <wp:effectExtent l="0" t="0" r="6985" b="6985"/>
            <wp:wrapTight wrapText="bothSides">
              <wp:wrapPolygon edited="0">
                <wp:start x="0" y="0"/>
                <wp:lineTo x="0" y="21205"/>
                <wp:lineTo x="21205" y="21205"/>
                <wp:lineTo x="21205" y="0"/>
                <wp:lineTo x="0" y="0"/>
              </wp:wrapPolygon>
            </wp:wrapTight>
            <wp:docPr id="295" name="Picture 295" descr="https://upload.wikimedia.org/wikipedia/commons/thumb/d/db/FAO_logo.svg/2000px-FA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b/FAO_logo.svg/2000px-FAO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609">
        <w:rPr>
          <w:rFonts w:asciiTheme="majorHAnsi" w:hAnsiTheme="majorHAnsi"/>
          <w:noProof/>
          <w:lang w:val="en-US"/>
        </w:rPr>
        <w:drawing>
          <wp:anchor distT="0" distB="0" distL="114300" distR="114300" simplePos="0" relativeHeight="251792384" behindDoc="1" locked="0" layoutInCell="1" allowOverlap="1" wp14:anchorId="5C7F2F8A" wp14:editId="150FFD84">
            <wp:simplePos x="0" y="0"/>
            <wp:positionH relativeFrom="column">
              <wp:posOffset>3786505</wp:posOffset>
            </wp:positionH>
            <wp:positionV relativeFrom="paragraph">
              <wp:posOffset>11430</wp:posOffset>
            </wp:positionV>
            <wp:extent cx="1855470" cy="552450"/>
            <wp:effectExtent l="0" t="0" r="0" b="0"/>
            <wp:wrapTight wrapText="bothSides">
              <wp:wrapPolygon edited="0">
                <wp:start x="0" y="0"/>
                <wp:lineTo x="0" y="20855"/>
                <wp:lineTo x="21290" y="20855"/>
                <wp:lineTo x="21290" y="0"/>
                <wp:lineTo x="0" y="0"/>
              </wp:wrapPolygon>
            </wp:wrapTight>
            <wp:docPr id="294" name="Picture 294" descr="https://docs.unocha.org/sites/dms/CAR/UN-OCHA-Logo_hor-blu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unocha.org/sites/dms/CAR/UN-OCHA-Logo_hor-blu6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D7" w:rsidRPr="007D1609">
        <w:rPr>
          <w:rFonts w:asciiTheme="majorHAnsi" w:hAnsiTheme="majorHAnsi"/>
          <w:noProof/>
          <w:lang w:val="en-US"/>
        </w:rPr>
        <w:drawing>
          <wp:anchor distT="0" distB="0" distL="114300" distR="114300" simplePos="0" relativeHeight="251876352" behindDoc="0" locked="0" layoutInCell="1" allowOverlap="1" wp14:anchorId="10EA2DEA" wp14:editId="2ECB8839">
            <wp:simplePos x="0" y="0"/>
            <wp:positionH relativeFrom="column">
              <wp:posOffset>2714625</wp:posOffset>
            </wp:positionH>
            <wp:positionV relativeFrom="paragraph">
              <wp:posOffset>68580</wp:posOffset>
            </wp:positionV>
            <wp:extent cx="780871" cy="1274007"/>
            <wp:effectExtent l="0" t="0" r="635" b="0"/>
            <wp:wrapNone/>
            <wp:docPr id="3" name="Picture 3" descr="C:\Users\LANDBA~1\AppData\Local\Temp\Rar$DIa0.500\CVFlogo_CMYK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BA~1\AppData\Local\Temp\Rar$DIa0.500\CVFlogo_CMYK_V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006" cy="1284016"/>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E9" w:rsidRPr="007D1609">
        <w:rPr>
          <w:rFonts w:asciiTheme="majorHAnsi" w:hAnsiTheme="majorHAnsi"/>
          <w:noProof/>
          <w:lang w:val="en-US"/>
        </w:rPr>
        <w:drawing>
          <wp:anchor distT="0" distB="0" distL="114300" distR="114300" simplePos="0" relativeHeight="251847680" behindDoc="0" locked="0" layoutInCell="1" allowOverlap="1" wp14:anchorId="063CC4CF" wp14:editId="2EFB0486">
            <wp:simplePos x="0" y="0"/>
            <wp:positionH relativeFrom="margin">
              <wp:posOffset>1600200</wp:posOffset>
            </wp:positionH>
            <wp:positionV relativeFrom="paragraph">
              <wp:posOffset>5715</wp:posOffset>
            </wp:positionV>
            <wp:extent cx="741680" cy="1412240"/>
            <wp:effectExtent l="0" t="0" r="0" b="10160"/>
            <wp:wrapNone/>
            <wp:docPr id="292" name="Picture 29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8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7E161" w14:textId="77777777" w:rsidR="00971121" w:rsidRDefault="00971121">
      <w:pPr>
        <w:rPr>
          <w:rFonts w:asciiTheme="majorHAnsi" w:hAnsiTheme="majorHAnsi"/>
          <w:b/>
        </w:rPr>
      </w:pPr>
    </w:p>
    <w:p w14:paraId="231BD892" w14:textId="38D59D37" w:rsidR="007352A1" w:rsidRDefault="000652E9">
      <w:pPr>
        <w:rPr>
          <w:rFonts w:asciiTheme="majorHAnsi" w:hAnsiTheme="majorHAnsi"/>
          <w:b/>
        </w:rPr>
      </w:pPr>
      <w:r w:rsidRPr="007D1609">
        <w:rPr>
          <w:rFonts w:asciiTheme="majorHAnsi" w:hAnsiTheme="majorHAnsi"/>
          <w:noProof/>
          <w:lang w:val="en-US"/>
        </w:rPr>
        <w:drawing>
          <wp:anchor distT="0" distB="0" distL="114300" distR="114300" simplePos="0" relativeHeight="251866112" behindDoc="1" locked="0" layoutInCell="1" allowOverlap="1" wp14:anchorId="757A9DC0" wp14:editId="6B46BBDB">
            <wp:simplePos x="0" y="0"/>
            <wp:positionH relativeFrom="column">
              <wp:posOffset>4038600</wp:posOffset>
            </wp:positionH>
            <wp:positionV relativeFrom="paragraph">
              <wp:posOffset>154305</wp:posOffset>
            </wp:positionV>
            <wp:extent cx="1474470" cy="335915"/>
            <wp:effectExtent l="0" t="0" r="0" b="6985"/>
            <wp:wrapTight wrapText="bothSides">
              <wp:wrapPolygon edited="0">
                <wp:start x="0" y="0"/>
                <wp:lineTo x="0" y="20824"/>
                <wp:lineTo x="21209" y="20824"/>
                <wp:lineTo x="21209" y="0"/>
                <wp:lineTo x="0" y="0"/>
              </wp:wrapPolygon>
            </wp:wrapTight>
            <wp:docPr id="11" name="Picture 11" descr="https://www.gfdrr.org/sites/all/themes/at_sub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fdrr.org/sites/all/themes/at_subtheme/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D7">
        <w:rPr>
          <w:rFonts w:asciiTheme="majorHAnsi" w:hAnsiTheme="majorHAnsi"/>
          <w:b/>
        </w:rPr>
        <w:t xml:space="preserve">  </w:t>
      </w:r>
      <w:r w:rsidR="00063ED7" w:rsidRPr="00063ED7">
        <w:rPr>
          <w:rFonts w:asciiTheme="majorHAnsi" w:hAnsiTheme="majorHAnsi"/>
          <w:b/>
          <w:noProof/>
          <w:lang w:val="en-US"/>
        </w:rPr>
        <w:drawing>
          <wp:inline distT="0" distB="0" distL="0" distR="0" wp14:anchorId="4BD291AF" wp14:editId="29E0E914">
            <wp:extent cx="1143000" cy="502972"/>
            <wp:effectExtent l="0" t="0" r="0" b="0"/>
            <wp:docPr id="2" name="Picture 2" descr="C:\Users\wb13272\WinRAR-HOLD\Rar$DI37.808\JPEG Blue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13272\WinRAR-HOLD\Rar$DI37.808\JPEG Blue Stand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02972"/>
                    </a:xfrm>
                    <a:prstGeom prst="rect">
                      <a:avLst/>
                    </a:prstGeom>
                    <a:noFill/>
                    <a:ln>
                      <a:noFill/>
                    </a:ln>
                  </pic:spPr>
                </pic:pic>
              </a:graphicData>
            </a:graphic>
          </wp:inline>
        </w:drawing>
      </w:r>
    </w:p>
    <w:sectPr w:rsidR="007352A1" w:rsidSect="009E4AD4">
      <w:footerReference w:type="default" r:id="rId14"/>
      <w:headerReference w:type="first" r:id="rId15"/>
      <w:pgSz w:w="11907" w:h="16839" w:code="9"/>
      <w:pgMar w:top="1350" w:right="1440" w:bottom="810" w:left="1350" w:header="720" w:footer="720" w:gutter="0"/>
      <w:pgBorders w:offsetFrom="page">
        <w:top w:val="single" w:sz="2" w:space="24" w:color="008080" w:shadow="1"/>
        <w:left w:val="single" w:sz="2" w:space="24" w:color="008080" w:shadow="1"/>
        <w:bottom w:val="single" w:sz="2" w:space="24" w:color="008080" w:shadow="1"/>
        <w:right w:val="single" w:sz="2" w:space="24" w:color="008080"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A9D33" w14:textId="77777777" w:rsidR="006A004D" w:rsidRDefault="006A004D" w:rsidP="00661F23">
      <w:r>
        <w:separator/>
      </w:r>
    </w:p>
  </w:endnote>
  <w:endnote w:type="continuationSeparator" w:id="0">
    <w:p w14:paraId="2EC3F40B" w14:textId="77777777" w:rsidR="006A004D" w:rsidRDefault="006A004D" w:rsidP="0066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DINNextLT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94253"/>
      <w:docPartObj>
        <w:docPartGallery w:val="Page Numbers (Bottom of Page)"/>
        <w:docPartUnique/>
      </w:docPartObj>
    </w:sdtPr>
    <w:sdtEndPr>
      <w:rPr>
        <w:color w:val="7F7F7F" w:themeColor="background1" w:themeShade="7F"/>
        <w:spacing w:val="60"/>
      </w:rPr>
    </w:sdtEndPr>
    <w:sdtContent>
      <w:p w14:paraId="7CEADC33" w14:textId="77777777" w:rsidR="00506CDA" w:rsidRDefault="00506C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5485">
          <w:rPr>
            <w:noProof/>
          </w:rPr>
          <w:t>6</w:t>
        </w:r>
        <w:r>
          <w:rPr>
            <w:noProof/>
          </w:rPr>
          <w:fldChar w:fldCharType="end"/>
        </w:r>
        <w:r>
          <w:t xml:space="preserve"> | </w:t>
        </w:r>
        <w:r>
          <w:rPr>
            <w:color w:val="7F7F7F" w:themeColor="background1" w:themeShade="7F"/>
            <w:spacing w:val="60"/>
          </w:rPr>
          <w:t>Page</w:t>
        </w:r>
      </w:p>
    </w:sdtContent>
  </w:sdt>
  <w:p w14:paraId="590E8DA8" w14:textId="77777777" w:rsidR="00506CDA" w:rsidRDefault="0050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AAC2C" w14:textId="77777777" w:rsidR="006A004D" w:rsidRDefault="006A004D" w:rsidP="00661F23">
      <w:r>
        <w:separator/>
      </w:r>
    </w:p>
  </w:footnote>
  <w:footnote w:type="continuationSeparator" w:id="0">
    <w:p w14:paraId="3C1D7048" w14:textId="77777777" w:rsidR="006A004D" w:rsidRDefault="006A004D" w:rsidP="00661F23">
      <w:r>
        <w:continuationSeparator/>
      </w:r>
    </w:p>
  </w:footnote>
  <w:footnote w:id="1">
    <w:p w14:paraId="205E5E93" w14:textId="77777777" w:rsidR="00F0666F" w:rsidRPr="00146333" w:rsidRDefault="00F0666F" w:rsidP="00F0666F">
      <w:pPr>
        <w:pStyle w:val="FootnoteText"/>
        <w:jc w:val="both"/>
        <w:rPr>
          <w:sz w:val="18"/>
          <w:szCs w:val="18"/>
          <w:lang w:val="en-US"/>
        </w:rPr>
      </w:pPr>
      <w:r w:rsidRPr="00146333">
        <w:rPr>
          <w:rStyle w:val="FootnoteReference"/>
          <w:sz w:val="18"/>
          <w:szCs w:val="18"/>
        </w:rPr>
        <w:footnoteRef/>
      </w:r>
      <w:r w:rsidRPr="00146333">
        <w:rPr>
          <w:sz w:val="18"/>
          <w:szCs w:val="18"/>
          <w:lang w:val="en-US"/>
        </w:rPr>
        <w:t xml:space="preserve"> The </w:t>
      </w:r>
      <w:r w:rsidRPr="00146333">
        <w:rPr>
          <w:sz w:val="18"/>
          <w:szCs w:val="18"/>
        </w:rPr>
        <w:t>V20 are the Finance Ministers of the member states of the Climate Vulnerable Forum, a group of 43 highly vulnerable developing countries affected by climate change from Africa, Asia, the Caribbean, Latin America and the Pacific.</w:t>
      </w:r>
      <w:r w:rsidRPr="00146333">
        <w:rPr>
          <w:sz w:val="18"/>
          <w:szCs w:val="18"/>
          <w:shd w:val="clear" w:color="auto" w:fill="FFFFFF"/>
        </w:rPr>
        <w:t> </w:t>
      </w:r>
      <w:r w:rsidRPr="00146333">
        <w:rPr>
          <w:sz w:val="18"/>
          <w:szCs w:val="18"/>
          <w:lang w:val="en-US"/>
        </w:rPr>
        <w:t>Further details on the wok of the group and its members can be found at: http://www.v-20.org/</w:t>
      </w:r>
    </w:p>
  </w:footnote>
  <w:footnote w:id="2">
    <w:p w14:paraId="5C8ADBAF" w14:textId="77777777" w:rsidR="00D6674D" w:rsidRPr="003C32EF" w:rsidRDefault="00D6674D" w:rsidP="00D6674D">
      <w:pPr>
        <w:pStyle w:val="FootnoteText"/>
        <w:rPr>
          <w:sz w:val="18"/>
          <w:szCs w:val="18"/>
          <w:lang w:val="en-US"/>
        </w:rPr>
      </w:pPr>
      <w:r w:rsidRPr="003C32EF">
        <w:rPr>
          <w:rStyle w:val="FootnoteReference"/>
          <w:sz w:val="18"/>
          <w:szCs w:val="18"/>
        </w:rPr>
        <w:footnoteRef/>
      </w:r>
      <w:r>
        <w:rPr>
          <w:sz w:val="18"/>
          <w:szCs w:val="18"/>
        </w:rPr>
        <w:t xml:space="preserve"> </w:t>
      </w:r>
      <w:r w:rsidRPr="003C32EF">
        <w:rPr>
          <w:sz w:val="18"/>
          <w:szCs w:val="18"/>
        </w:rPr>
        <w:t>Swiss Re, “The USD 1.3 trillion disaster protection gap: innovative insurance tools exist to support governments to be better prepared”, October 2015</w:t>
      </w:r>
      <w:r>
        <w:rPr>
          <w:sz w:val="18"/>
          <w:szCs w:val="18"/>
          <w:lang w:val="en-US"/>
        </w:rPr>
        <w:t>.</w:t>
      </w:r>
    </w:p>
  </w:footnote>
  <w:footnote w:id="3">
    <w:p w14:paraId="561AB5D2" w14:textId="77777777" w:rsidR="00D6674D" w:rsidRPr="00D36A1D" w:rsidRDefault="00D6674D" w:rsidP="00D6674D">
      <w:pPr>
        <w:pStyle w:val="FootnoteText"/>
      </w:pPr>
      <w:r>
        <w:rPr>
          <w:rStyle w:val="FootnoteReference"/>
        </w:rPr>
        <w:footnoteRef/>
      </w:r>
      <w:r>
        <w:t xml:space="preserve"> </w:t>
      </w:r>
      <w:r w:rsidRPr="00D36A1D">
        <w:rPr>
          <w:sz w:val="18"/>
          <w:szCs w:val="18"/>
        </w:rPr>
        <w:t xml:space="preserve">According to ISDR, preparedness is </w:t>
      </w:r>
      <w:r w:rsidRPr="00D36A1D">
        <w:rPr>
          <w:sz w:val="18"/>
          <w:szCs w:val="18"/>
          <w:lang w:val="en-US"/>
        </w:rPr>
        <w:t>defined as “the knowledge and capacities developed by governments, professional response and recovery organizations, communities and individuals to effectively anticipate, respond to, and recover from, the impacts of likely, imminent or current hazard events or conditions.”</w:t>
      </w:r>
    </w:p>
  </w:footnote>
  <w:footnote w:id="4">
    <w:p w14:paraId="6D6363D7" w14:textId="77777777" w:rsidR="00776CE5" w:rsidRPr="003C32EF" w:rsidRDefault="00776CE5" w:rsidP="00776CE5">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lang w:val="en-US"/>
        </w:rPr>
        <w:t xml:space="preserve">See Kellett and </w:t>
      </w:r>
      <w:proofErr w:type="spellStart"/>
      <w:r w:rsidRPr="003C32EF">
        <w:rPr>
          <w:sz w:val="18"/>
          <w:szCs w:val="18"/>
          <w:lang w:val="en-US"/>
        </w:rPr>
        <w:t>Caravani</w:t>
      </w:r>
      <w:proofErr w:type="spellEnd"/>
      <w:r w:rsidRPr="003C32EF">
        <w:rPr>
          <w:sz w:val="18"/>
          <w:szCs w:val="18"/>
          <w:lang w:val="en-US"/>
        </w:rPr>
        <w:t xml:space="preserve"> (ODI, 2013) Disaster Risk Reduction, </w:t>
      </w:r>
      <w:proofErr w:type="gramStart"/>
      <w:r w:rsidRPr="003C32EF">
        <w:rPr>
          <w:sz w:val="18"/>
          <w:szCs w:val="18"/>
          <w:lang w:val="en-US"/>
        </w:rPr>
        <w:t>A</w:t>
      </w:r>
      <w:proofErr w:type="gramEnd"/>
      <w:r w:rsidRPr="003C32EF">
        <w:rPr>
          <w:sz w:val="18"/>
          <w:szCs w:val="18"/>
          <w:lang w:val="en-US"/>
        </w:rPr>
        <w:t xml:space="preserve"> 20 Year Story of International Aid.</w:t>
      </w:r>
      <w:r w:rsidRPr="003C32EF">
        <w:rPr>
          <w:sz w:val="18"/>
          <w:szCs w:val="18"/>
        </w:rPr>
        <w:t xml:space="preserve"> </w:t>
      </w:r>
    </w:p>
  </w:footnote>
  <w:footnote w:id="5">
    <w:p w14:paraId="46EF6DC1" w14:textId="77777777" w:rsidR="00776CE5" w:rsidRPr="003C32EF" w:rsidRDefault="00776CE5" w:rsidP="00776CE5">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rPr>
        <w:t>The UN General Assembly Resolution 46/182 of 19 December 1991 on the Strengthening of the coordination of humanitarian emphasises the need for the international community to provide coordinated support to national preparedness measures.</w:t>
      </w:r>
    </w:p>
  </w:footnote>
  <w:footnote w:id="6">
    <w:p w14:paraId="6A525DE7" w14:textId="77777777" w:rsidR="00776CE5" w:rsidRPr="003C32EF" w:rsidRDefault="00776CE5" w:rsidP="00776CE5">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rPr>
        <w:t>Endorsed by the Inter Agency Standing Committee (IASC) Principals, the International Strategy for Disaster Risk Reduction (ISDR), and the United Nations Development Group (UNDG), the CFP is an approach towards coordinating the actions that international humanitarian and development actors take to support the development at country level of national and local capacity to prepare for, respond to, and recover from emergencies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8F41" w14:textId="5C77879F" w:rsidR="00506CDA" w:rsidRDefault="00506CDA" w:rsidP="00C124A4">
    <w:pPr>
      <w:pStyle w:val="Header"/>
    </w:pPr>
    <w:r w:rsidRPr="00681D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81D2D">
      <w:t xml:space="preserve"> </w:t>
    </w:r>
  </w:p>
  <w:p w14:paraId="4456205C" w14:textId="11318AD0" w:rsidR="00506CDA" w:rsidRDefault="00506CDA" w:rsidP="009E4AD4">
    <w:pPr>
      <w:pStyle w:val="Header"/>
      <w:tabs>
        <w:tab w:val="clear" w:pos="4680"/>
        <w:tab w:val="clear" w:pos="9360"/>
        <w:tab w:val="left" w:pos="24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DC0"/>
    <w:multiLevelType w:val="hybridMultilevel"/>
    <w:tmpl w:val="B89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6149"/>
    <w:multiLevelType w:val="hybridMultilevel"/>
    <w:tmpl w:val="EC7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5E18"/>
    <w:multiLevelType w:val="hybridMultilevel"/>
    <w:tmpl w:val="07D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B08BB"/>
    <w:multiLevelType w:val="hybridMultilevel"/>
    <w:tmpl w:val="33DA7C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712FC"/>
    <w:multiLevelType w:val="hybridMultilevel"/>
    <w:tmpl w:val="214268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382763"/>
    <w:multiLevelType w:val="hybridMultilevel"/>
    <w:tmpl w:val="69A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3176"/>
    <w:multiLevelType w:val="hybridMultilevel"/>
    <w:tmpl w:val="842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D2855"/>
    <w:multiLevelType w:val="hybridMultilevel"/>
    <w:tmpl w:val="1EBA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E742B"/>
    <w:multiLevelType w:val="hybridMultilevel"/>
    <w:tmpl w:val="B94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A57F4"/>
    <w:multiLevelType w:val="hybridMultilevel"/>
    <w:tmpl w:val="7B701E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5581ECC"/>
    <w:multiLevelType w:val="hybridMultilevel"/>
    <w:tmpl w:val="5E347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87899"/>
    <w:multiLevelType w:val="hybridMultilevel"/>
    <w:tmpl w:val="904091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236D64"/>
    <w:multiLevelType w:val="hybridMultilevel"/>
    <w:tmpl w:val="D62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6676"/>
    <w:multiLevelType w:val="hybridMultilevel"/>
    <w:tmpl w:val="39DE59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FD34D8"/>
    <w:multiLevelType w:val="hybridMultilevel"/>
    <w:tmpl w:val="9DEE4734"/>
    <w:lvl w:ilvl="0" w:tplc="A662ADD2">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92780A"/>
    <w:multiLevelType w:val="hybridMultilevel"/>
    <w:tmpl w:val="230271B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7C1030"/>
    <w:multiLevelType w:val="hybridMultilevel"/>
    <w:tmpl w:val="2D00B53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00CBD"/>
    <w:multiLevelType w:val="hybridMultilevel"/>
    <w:tmpl w:val="58F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210CA"/>
    <w:multiLevelType w:val="hybridMultilevel"/>
    <w:tmpl w:val="CDAE3928"/>
    <w:lvl w:ilvl="0" w:tplc="81FADD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8C1F7F"/>
    <w:multiLevelType w:val="hybridMultilevel"/>
    <w:tmpl w:val="DF902A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C669F0"/>
    <w:multiLevelType w:val="hybridMultilevel"/>
    <w:tmpl w:val="D08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3111E"/>
    <w:multiLevelType w:val="hybridMultilevel"/>
    <w:tmpl w:val="26749404"/>
    <w:lvl w:ilvl="0" w:tplc="45DC60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034B1"/>
    <w:multiLevelType w:val="hybridMultilevel"/>
    <w:tmpl w:val="6DFCDBF4"/>
    <w:lvl w:ilvl="0" w:tplc="CBF06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4"/>
  </w:num>
  <w:num w:numId="4">
    <w:abstractNumId w:val="16"/>
  </w:num>
  <w:num w:numId="5">
    <w:abstractNumId w:val="14"/>
  </w:num>
  <w:num w:numId="6">
    <w:abstractNumId w:val="18"/>
  </w:num>
  <w:num w:numId="7">
    <w:abstractNumId w:val="8"/>
  </w:num>
  <w:num w:numId="8">
    <w:abstractNumId w:val="15"/>
  </w:num>
  <w:num w:numId="9">
    <w:abstractNumId w:val="6"/>
  </w:num>
  <w:num w:numId="10">
    <w:abstractNumId w:val="0"/>
  </w:num>
  <w:num w:numId="11">
    <w:abstractNumId w:val="5"/>
  </w:num>
  <w:num w:numId="12">
    <w:abstractNumId w:val="2"/>
  </w:num>
  <w:num w:numId="13">
    <w:abstractNumId w:val="13"/>
  </w:num>
  <w:num w:numId="14">
    <w:abstractNumId w:val="10"/>
  </w:num>
  <w:num w:numId="15">
    <w:abstractNumId w:val="1"/>
  </w:num>
  <w:num w:numId="16">
    <w:abstractNumId w:val="11"/>
  </w:num>
  <w:num w:numId="17">
    <w:abstractNumId w:val="17"/>
  </w:num>
  <w:num w:numId="18">
    <w:abstractNumId w:val="7"/>
  </w:num>
  <w:num w:numId="19">
    <w:abstractNumId w:val="12"/>
  </w:num>
  <w:num w:numId="20">
    <w:abstractNumId w:val="3"/>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23"/>
    <w:rsid w:val="00011A82"/>
    <w:rsid w:val="00016DB0"/>
    <w:rsid w:val="0004195F"/>
    <w:rsid w:val="00047D46"/>
    <w:rsid w:val="0006111D"/>
    <w:rsid w:val="0006267B"/>
    <w:rsid w:val="00063ED7"/>
    <w:rsid w:val="000652E9"/>
    <w:rsid w:val="00065678"/>
    <w:rsid w:val="000B3E49"/>
    <w:rsid w:val="000C0D1A"/>
    <w:rsid w:val="000E5E56"/>
    <w:rsid w:val="000F1DA8"/>
    <w:rsid w:val="00147329"/>
    <w:rsid w:val="00161A70"/>
    <w:rsid w:val="001C5785"/>
    <w:rsid w:val="001D35C7"/>
    <w:rsid w:val="001F29E0"/>
    <w:rsid w:val="00223AFC"/>
    <w:rsid w:val="00240475"/>
    <w:rsid w:val="00242514"/>
    <w:rsid w:val="002432F5"/>
    <w:rsid w:val="00252814"/>
    <w:rsid w:val="00253581"/>
    <w:rsid w:val="002951B4"/>
    <w:rsid w:val="002B4B33"/>
    <w:rsid w:val="002B50AC"/>
    <w:rsid w:val="002B7D22"/>
    <w:rsid w:val="002E27FC"/>
    <w:rsid w:val="002E648C"/>
    <w:rsid w:val="0032165B"/>
    <w:rsid w:val="0032284D"/>
    <w:rsid w:val="00367D59"/>
    <w:rsid w:val="00371256"/>
    <w:rsid w:val="003775FB"/>
    <w:rsid w:val="003A2274"/>
    <w:rsid w:val="003C32EF"/>
    <w:rsid w:val="003F5485"/>
    <w:rsid w:val="003F61EE"/>
    <w:rsid w:val="00402DFE"/>
    <w:rsid w:val="004330BD"/>
    <w:rsid w:val="00474D2B"/>
    <w:rsid w:val="00486B56"/>
    <w:rsid w:val="004A3751"/>
    <w:rsid w:val="004D26AB"/>
    <w:rsid w:val="004E3506"/>
    <w:rsid w:val="004E673F"/>
    <w:rsid w:val="004F6933"/>
    <w:rsid w:val="004F6AB1"/>
    <w:rsid w:val="005020E7"/>
    <w:rsid w:val="00506CDA"/>
    <w:rsid w:val="005511BE"/>
    <w:rsid w:val="00562C55"/>
    <w:rsid w:val="005F4BEB"/>
    <w:rsid w:val="00605C84"/>
    <w:rsid w:val="00613646"/>
    <w:rsid w:val="00624DDE"/>
    <w:rsid w:val="0062552A"/>
    <w:rsid w:val="00650A7A"/>
    <w:rsid w:val="00661F23"/>
    <w:rsid w:val="0068151B"/>
    <w:rsid w:val="006831DD"/>
    <w:rsid w:val="00695A25"/>
    <w:rsid w:val="006962D8"/>
    <w:rsid w:val="00696BCE"/>
    <w:rsid w:val="006A004D"/>
    <w:rsid w:val="006A6526"/>
    <w:rsid w:val="006B03FA"/>
    <w:rsid w:val="006E4A15"/>
    <w:rsid w:val="00711018"/>
    <w:rsid w:val="007352A1"/>
    <w:rsid w:val="007519AF"/>
    <w:rsid w:val="0076573E"/>
    <w:rsid w:val="00773CC9"/>
    <w:rsid w:val="00776CE5"/>
    <w:rsid w:val="007A36B4"/>
    <w:rsid w:val="007D06D0"/>
    <w:rsid w:val="007D1609"/>
    <w:rsid w:val="007D7E0E"/>
    <w:rsid w:val="007E15D1"/>
    <w:rsid w:val="00802F39"/>
    <w:rsid w:val="00803B51"/>
    <w:rsid w:val="008241EB"/>
    <w:rsid w:val="00850808"/>
    <w:rsid w:val="00856748"/>
    <w:rsid w:val="00873928"/>
    <w:rsid w:val="008822A7"/>
    <w:rsid w:val="008C232F"/>
    <w:rsid w:val="008F3EC7"/>
    <w:rsid w:val="00900EBE"/>
    <w:rsid w:val="009400A7"/>
    <w:rsid w:val="009462B1"/>
    <w:rsid w:val="009636AC"/>
    <w:rsid w:val="00971121"/>
    <w:rsid w:val="009B4671"/>
    <w:rsid w:val="009C2EBA"/>
    <w:rsid w:val="009E2761"/>
    <w:rsid w:val="009E4AD4"/>
    <w:rsid w:val="009E541C"/>
    <w:rsid w:val="009F10E9"/>
    <w:rsid w:val="00A04C82"/>
    <w:rsid w:val="00A33521"/>
    <w:rsid w:val="00A7252F"/>
    <w:rsid w:val="00A80AD5"/>
    <w:rsid w:val="00A84924"/>
    <w:rsid w:val="00A85270"/>
    <w:rsid w:val="00AA0516"/>
    <w:rsid w:val="00AB4463"/>
    <w:rsid w:val="00AF6F07"/>
    <w:rsid w:val="00B303E5"/>
    <w:rsid w:val="00B31D11"/>
    <w:rsid w:val="00B328EB"/>
    <w:rsid w:val="00B3353C"/>
    <w:rsid w:val="00B6297B"/>
    <w:rsid w:val="00B67BBA"/>
    <w:rsid w:val="00B728EB"/>
    <w:rsid w:val="00B74A1E"/>
    <w:rsid w:val="00B80676"/>
    <w:rsid w:val="00BA6181"/>
    <w:rsid w:val="00BA6931"/>
    <w:rsid w:val="00BE49DC"/>
    <w:rsid w:val="00C07E4C"/>
    <w:rsid w:val="00C11D90"/>
    <w:rsid w:val="00C124A4"/>
    <w:rsid w:val="00C3258E"/>
    <w:rsid w:val="00C3367F"/>
    <w:rsid w:val="00C42AA2"/>
    <w:rsid w:val="00C42B41"/>
    <w:rsid w:val="00C57932"/>
    <w:rsid w:val="00C61126"/>
    <w:rsid w:val="00C66454"/>
    <w:rsid w:val="00C75113"/>
    <w:rsid w:val="00C95405"/>
    <w:rsid w:val="00CA77D8"/>
    <w:rsid w:val="00CF0BD1"/>
    <w:rsid w:val="00CF55F8"/>
    <w:rsid w:val="00D117BC"/>
    <w:rsid w:val="00D30285"/>
    <w:rsid w:val="00D33D72"/>
    <w:rsid w:val="00D6674D"/>
    <w:rsid w:val="00D94362"/>
    <w:rsid w:val="00DA58D9"/>
    <w:rsid w:val="00DA70E1"/>
    <w:rsid w:val="00DC588B"/>
    <w:rsid w:val="00E23B1A"/>
    <w:rsid w:val="00E24F77"/>
    <w:rsid w:val="00E33032"/>
    <w:rsid w:val="00E33142"/>
    <w:rsid w:val="00E40828"/>
    <w:rsid w:val="00E55562"/>
    <w:rsid w:val="00E90EB8"/>
    <w:rsid w:val="00EB18D8"/>
    <w:rsid w:val="00EE5A32"/>
    <w:rsid w:val="00EF1FF0"/>
    <w:rsid w:val="00EF4F09"/>
    <w:rsid w:val="00F0666F"/>
    <w:rsid w:val="00F10284"/>
    <w:rsid w:val="00F2551D"/>
    <w:rsid w:val="00F25E72"/>
    <w:rsid w:val="00F32275"/>
    <w:rsid w:val="00F37C25"/>
    <w:rsid w:val="00F42DFE"/>
    <w:rsid w:val="00F56A7A"/>
    <w:rsid w:val="00F65DA1"/>
    <w:rsid w:val="00F83424"/>
    <w:rsid w:val="00F861CB"/>
    <w:rsid w:val="00FA3F17"/>
    <w:rsid w:val="00FA7E7C"/>
    <w:rsid w:val="00FB489B"/>
    <w:rsid w:val="00FB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6F174"/>
  <w15:docId w15:val="{55B7666F-F235-4E5F-A9FF-1F85834D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23"/>
    <w:rPr>
      <w:lang w:val="en-GB"/>
    </w:rPr>
  </w:style>
  <w:style w:type="paragraph" w:styleId="Heading2">
    <w:name w:val="heading 2"/>
    <w:basedOn w:val="Normal"/>
    <w:link w:val="Heading2Char"/>
    <w:uiPriority w:val="9"/>
    <w:qFormat/>
    <w:rsid w:val="00661F23"/>
    <w:pPr>
      <w:spacing w:before="24" w:after="24"/>
      <w:outlineLvl w:val="1"/>
    </w:pPr>
    <w:rPr>
      <w:rFonts w:ascii="Times New Roman" w:eastAsia="Times New Roman" w:hAnsi="Times New Roman" w:cs="Times New Roman"/>
      <w:color w:val="362F2D"/>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F23"/>
    <w:rPr>
      <w:rFonts w:ascii="Times New Roman" w:eastAsia="Times New Roman" w:hAnsi="Times New Roman" w:cs="Times New Roman"/>
      <w:color w:val="362F2D"/>
      <w:sz w:val="33"/>
      <w:szCs w:val="33"/>
      <w:lang w:val="en-GB" w:eastAsia="en-GB"/>
    </w:rPr>
  </w:style>
  <w:style w:type="paragraph" w:styleId="ListParagraph">
    <w:name w:val="List Paragraph"/>
    <w:basedOn w:val="Normal"/>
    <w:uiPriority w:val="34"/>
    <w:qFormat/>
    <w:rsid w:val="00661F23"/>
    <w:pPr>
      <w:ind w:left="720"/>
      <w:contextualSpacing/>
    </w:pPr>
  </w:style>
  <w:style w:type="paragraph" w:styleId="PlainText">
    <w:name w:val="Plain Text"/>
    <w:basedOn w:val="Normal"/>
    <w:link w:val="PlainTextChar"/>
    <w:uiPriority w:val="99"/>
    <w:unhideWhenUsed/>
    <w:rsid w:val="00661F23"/>
    <w:rPr>
      <w:rFonts w:ascii="Calibri" w:hAnsi="Calibri"/>
      <w:szCs w:val="21"/>
      <w:lang w:val="en-US"/>
    </w:rPr>
  </w:style>
  <w:style w:type="character" w:customStyle="1" w:styleId="PlainTextChar">
    <w:name w:val="Plain Text Char"/>
    <w:basedOn w:val="DefaultParagraphFont"/>
    <w:link w:val="PlainText"/>
    <w:uiPriority w:val="99"/>
    <w:rsid w:val="00661F23"/>
    <w:rPr>
      <w:rFonts w:ascii="Calibri" w:hAnsi="Calibri"/>
      <w:szCs w:val="21"/>
    </w:rPr>
  </w:style>
  <w:style w:type="paragraph" w:styleId="FootnoteText">
    <w:name w:val="footnote text"/>
    <w:basedOn w:val="Normal"/>
    <w:link w:val="FootnoteTextChar"/>
    <w:unhideWhenUsed/>
    <w:rsid w:val="00661F23"/>
    <w:rPr>
      <w:sz w:val="20"/>
      <w:szCs w:val="20"/>
    </w:rPr>
  </w:style>
  <w:style w:type="character" w:customStyle="1" w:styleId="FootnoteTextChar">
    <w:name w:val="Footnote Text Char"/>
    <w:basedOn w:val="DefaultParagraphFont"/>
    <w:link w:val="FootnoteText"/>
    <w:rsid w:val="00661F23"/>
    <w:rPr>
      <w:sz w:val="20"/>
      <w:szCs w:val="20"/>
      <w:lang w:val="en-GB"/>
    </w:rPr>
  </w:style>
  <w:style w:type="character" w:styleId="FootnoteReference">
    <w:name w:val="footnote reference"/>
    <w:aliases w:val="ftref,Footnotes refss,Ref,de nota al pie,BVI fnr,16 Point,Superscript 6 Point,Error-Fußnotenzeichen5,Error-Fußnotenzeichen6,Error-Fußnotenzeichen3,Footnote Reference Number,Footnote Reference1,Footnote Reference 2,fr,Знак сноски 1"/>
    <w:basedOn w:val="DefaultParagraphFont"/>
    <w:unhideWhenUsed/>
    <w:rsid w:val="00661F23"/>
    <w:rPr>
      <w:vertAlign w:val="superscript"/>
    </w:rPr>
  </w:style>
  <w:style w:type="paragraph" w:styleId="Header">
    <w:name w:val="header"/>
    <w:basedOn w:val="Normal"/>
    <w:link w:val="HeaderChar"/>
    <w:uiPriority w:val="99"/>
    <w:unhideWhenUsed/>
    <w:rsid w:val="00661F23"/>
    <w:pPr>
      <w:tabs>
        <w:tab w:val="center" w:pos="4680"/>
        <w:tab w:val="right" w:pos="9360"/>
      </w:tabs>
    </w:pPr>
  </w:style>
  <w:style w:type="character" w:customStyle="1" w:styleId="HeaderChar">
    <w:name w:val="Header Char"/>
    <w:basedOn w:val="DefaultParagraphFont"/>
    <w:link w:val="Header"/>
    <w:uiPriority w:val="99"/>
    <w:rsid w:val="00661F23"/>
    <w:rPr>
      <w:lang w:val="en-GB"/>
    </w:rPr>
  </w:style>
  <w:style w:type="paragraph" w:styleId="Footer">
    <w:name w:val="footer"/>
    <w:basedOn w:val="Normal"/>
    <w:link w:val="FooterChar"/>
    <w:uiPriority w:val="99"/>
    <w:unhideWhenUsed/>
    <w:rsid w:val="00661F23"/>
    <w:pPr>
      <w:tabs>
        <w:tab w:val="center" w:pos="4680"/>
        <w:tab w:val="right" w:pos="9360"/>
      </w:tabs>
    </w:pPr>
  </w:style>
  <w:style w:type="character" w:customStyle="1" w:styleId="FooterChar">
    <w:name w:val="Footer Char"/>
    <w:basedOn w:val="DefaultParagraphFont"/>
    <w:link w:val="Footer"/>
    <w:uiPriority w:val="99"/>
    <w:rsid w:val="00661F23"/>
    <w:rPr>
      <w:lang w:val="en-GB"/>
    </w:rPr>
  </w:style>
  <w:style w:type="paragraph" w:styleId="CommentText">
    <w:name w:val="annotation text"/>
    <w:basedOn w:val="Normal"/>
    <w:link w:val="CommentTextChar"/>
    <w:uiPriority w:val="99"/>
    <w:unhideWhenUsed/>
    <w:rsid w:val="00661F23"/>
    <w:rPr>
      <w:sz w:val="20"/>
      <w:szCs w:val="20"/>
    </w:rPr>
  </w:style>
  <w:style w:type="character" w:customStyle="1" w:styleId="CommentTextChar">
    <w:name w:val="Comment Text Char"/>
    <w:basedOn w:val="DefaultParagraphFont"/>
    <w:link w:val="CommentText"/>
    <w:uiPriority w:val="99"/>
    <w:rsid w:val="00661F23"/>
    <w:rPr>
      <w:sz w:val="20"/>
      <w:szCs w:val="20"/>
      <w:lang w:val="en-GB"/>
    </w:rPr>
  </w:style>
  <w:style w:type="table" w:customStyle="1" w:styleId="GridTable1Light-Accent11">
    <w:name w:val="Grid Table 1 Light - Accent 11"/>
    <w:basedOn w:val="TableNormal"/>
    <w:uiPriority w:val="46"/>
    <w:rsid w:val="00661F23"/>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61F23"/>
    <w:rPr>
      <w:sz w:val="18"/>
      <w:szCs w:val="18"/>
    </w:rPr>
  </w:style>
  <w:style w:type="character" w:customStyle="1" w:styleId="A4">
    <w:name w:val="A4"/>
    <w:uiPriority w:val="99"/>
    <w:rsid w:val="00661F23"/>
    <w:rPr>
      <w:rFonts w:cs="DIN Next LT Pro"/>
      <w:b/>
      <w:bCs/>
      <w:color w:val="000000"/>
    </w:rPr>
  </w:style>
  <w:style w:type="paragraph" w:styleId="BalloonText">
    <w:name w:val="Balloon Text"/>
    <w:basedOn w:val="Normal"/>
    <w:link w:val="BalloonTextChar"/>
    <w:uiPriority w:val="99"/>
    <w:semiHidden/>
    <w:unhideWhenUsed/>
    <w:rsid w:val="0066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F2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11A82"/>
    <w:rPr>
      <w:b/>
      <w:bCs/>
    </w:rPr>
  </w:style>
  <w:style w:type="character" w:customStyle="1" w:styleId="CommentSubjectChar">
    <w:name w:val="Comment Subject Char"/>
    <w:basedOn w:val="CommentTextChar"/>
    <w:link w:val="CommentSubject"/>
    <w:uiPriority w:val="99"/>
    <w:semiHidden/>
    <w:rsid w:val="00011A82"/>
    <w:rPr>
      <w:b/>
      <w:bCs/>
      <w:sz w:val="20"/>
      <w:szCs w:val="20"/>
      <w:lang w:val="en-GB"/>
    </w:rPr>
  </w:style>
  <w:style w:type="paragraph" w:styleId="Revision">
    <w:name w:val="Revision"/>
    <w:hidden/>
    <w:uiPriority w:val="99"/>
    <w:semiHidden/>
    <w:rsid w:val="00CF0BD1"/>
    <w:pPr>
      <w:spacing w:after="0" w:line="240" w:lineRule="auto"/>
    </w:pPr>
    <w:rPr>
      <w:lang w:val="en-GB"/>
    </w:rPr>
  </w:style>
  <w:style w:type="table" w:styleId="TableGrid">
    <w:name w:val="Table Grid"/>
    <w:basedOn w:val="TableNormal"/>
    <w:uiPriority w:val="39"/>
    <w:rsid w:val="007E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302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D30285"/>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711018"/>
    <w:rPr>
      <w:color w:val="5F5F5F" w:themeColor="hyperlink"/>
      <w:u w:val="single"/>
    </w:rPr>
  </w:style>
  <w:style w:type="character" w:customStyle="1" w:styleId="apple-converted-space">
    <w:name w:val="apple-converted-space"/>
    <w:basedOn w:val="DefaultParagraphFont"/>
    <w:rsid w:val="00AF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Elise BUCKLE</cp:lastModifiedBy>
  <cp:revision>1</cp:revision>
  <cp:lastPrinted>2016-05-20T15:22:00Z</cp:lastPrinted>
  <dcterms:created xsi:type="dcterms:W3CDTF">2016-05-20T16:10:00Z</dcterms:created>
  <dcterms:modified xsi:type="dcterms:W3CDTF">2016-05-24T10:15:00Z</dcterms:modified>
</cp:coreProperties>
</file>