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A2B" w:rsidRPr="00134E59" w:rsidRDefault="00B01A2B" w:rsidP="00B01A2B">
      <w:pPr>
        <w:spacing w:after="80" w:line="240" w:lineRule="auto"/>
        <w:jc w:val="both"/>
        <w:rPr>
          <w:rFonts w:ascii="Garamond" w:hAnsi="Garamond" w:cs="Arial"/>
          <w:b/>
          <w:bCs/>
          <w:color w:val="4F81BD"/>
        </w:rPr>
      </w:pPr>
      <w:bookmarkStart w:id="0" w:name="_GoBack"/>
      <w:bookmarkEnd w:id="0"/>
      <w:r w:rsidRPr="00134E59">
        <w:rPr>
          <w:rFonts w:ascii="Garamond" w:hAnsi="Garamond" w:cs="Arial"/>
          <w:b/>
          <w:bCs/>
          <w:color w:val="4F81BD"/>
        </w:rPr>
        <w:t>Who manages IAHEs?</w:t>
      </w:r>
    </w:p>
    <w:p w:rsidR="00B01A2B" w:rsidRPr="00B01A2B" w:rsidRDefault="00B01A2B" w:rsidP="00B01A2B">
      <w:pPr>
        <w:tabs>
          <w:tab w:val="left" w:pos="0"/>
          <w:tab w:val="left" w:pos="720"/>
        </w:tabs>
        <w:spacing w:line="240" w:lineRule="auto"/>
        <w:jc w:val="both"/>
        <w:rPr>
          <w:rFonts w:ascii="Garamond" w:hAnsi="Garamond"/>
          <w:iCs/>
          <w:color w:val="000000"/>
        </w:rPr>
      </w:pPr>
      <w:r>
        <w:rPr>
          <w:rFonts w:ascii="Garamond" w:hAnsi="Garamond"/>
          <w:iCs/>
          <w:color w:val="000000"/>
        </w:rPr>
        <w:t xml:space="preserve">The </w:t>
      </w:r>
      <w:r w:rsidRPr="0064719E">
        <w:rPr>
          <w:rFonts w:ascii="Garamond" w:hAnsi="Garamond"/>
          <w:b/>
          <w:iCs/>
          <w:color w:val="000000"/>
        </w:rPr>
        <w:t>Inter Agency Humanitarian Evaluation Steering Group (IAHE SG)</w:t>
      </w:r>
      <w:r>
        <w:rPr>
          <w:rFonts w:ascii="Garamond" w:hAnsi="Garamond"/>
          <w:b/>
          <w:iCs/>
          <w:color w:val="000000"/>
        </w:rPr>
        <w:t>,</w:t>
      </w:r>
      <w:r>
        <w:rPr>
          <w:rFonts w:ascii="Garamond" w:hAnsi="Garamond"/>
          <w:iCs/>
          <w:color w:val="000000"/>
        </w:rPr>
        <w:t xml:space="preserve"> formed by evaluation function representatives of IASC members, provides overall </w:t>
      </w:r>
      <w:r w:rsidRPr="00090294">
        <w:rPr>
          <w:rFonts w:ascii="Garamond" w:hAnsi="Garamond"/>
          <w:iCs/>
          <w:color w:val="000000"/>
        </w:rPr>
        <w:t>strategic guidance for IAHEs</w:t>
      </w:r>
      <w:r>
        <w:rPr>
          <w:rFonts w:ascii="Garamond" w:hAnsi="Garamond"/>
          <w:iCs/>
          <w:color w:val="000000"/>
        </w:rPr>
        <w:t>, and a</w:t>
      </w:r>
      <w:r w:rsidRPr="00090294">
        <w:rPr>
          <w:rFonts w:ascii="Garamond" w:hAnsi="Garamond"/>
          <w:iCs/>
          <w:color w:val="000000"/>
        </w:rPr>
        <w:t>pprove</w:t>
      </w:r>
      <w:r>
        <w:rPr>
          <w:rFonts w:ascii="Garamond" w:hAnsi="Garamond"/>
          <w:iCs/>
          <w:color w:val="000000"/>
        </w:rPr>
        <w:t>s</w:t>
      </w:r>
      <w:r w:rsidRPr="00090294">
        <w:rPr>
          <w:rFonts w:ascii="Garamond" w:hAnsi="Garamond"/>
          <w:iCs/>
          <w:color w:val="000000"/>
        </w:rPr>
        <w:t xml:space="preserve"> the IAHE TOR, inception and final IAHE </w:t>
      </w:r>
      <w:r>
        <w:rPr>
          <w:rFonts w:ascii="Garamond" w:hAnsi="Garamond"/>
          <w:iCs/>
          <w:color w:val="000000"/>
        </w:rPr>
        <w:t>eva</w:t>
      </w:r>
      <w:r w:rsidRPr="00090294">
        <w:rPr>
          <w:rFonts w:ascii="Garamond" w:hAnsi="Garamond"/>
          <w:iCs/>
          <w:color w:val="000000"/>
        </w:rPr>
        <w:t>luation reports</w:t>
      </w:r>
      <w:r>
        <w:rPr>
          <w:rFonts w:ascii="Garamond" w:hAnsi="Garamond"/>
          <w:iCs/>
          <w:color w:val="000000"/>
        </w:rPr>
        <w:t xml:space="preserve">. It also plays an important role ensuring the dissemination of </w:t>
      </w:r>
      <w:r w:rsidRPr="00B01A2B">
        <w:rPr>
          <w:rFonts w:ascii="Garamond" w:hAnsi="Garamond"/>
          <w:iCs/>
          <w:color w:val="000000"/>
        </w:rPr>
        <w:t>results.</w:t>
      </w:r>
    </w:p>
    <w:p w:rsidR="00B01A2B" w:rsidRPr="00B01A2B" w:rsidRDefault="00B01A2B" w:rsidP="00B01A2B">
      <w:pPr>
        <w:tabs>
          <w:tab w:val="left" w:pos="0"/>
          <w:tab w:val="left" w:pos="600"/>
        </w:tabs>
        <w:spacing w:line="240" w:lineRule="auto"/>
        <w:jc w:val="both"/>
        <w:rPr>
          <w:rFonts w:ascii="Garamond" w:hAnsi="Garamond"/>
          <w:color w:val="000000"/>
          <w:kern w:val="1"/>
        </w:rPr>
      </w:pPr>
      <w:r w:rsidRPr="00B01A2B">
        <w:rPr>
          <w:rFonts w:ascii="Garamond" w:hAnsi="Garamond"/>
          <w:color w:val="000000"/>
          <w:kern w:val="1"/>
        </w:rPr>
        <w:t xml:space="preserve">Each specific IAHE is managed by an </w:t>
      </w:r>
      <w:r w:rsidRPr="00B01A2B">
        <w:rPr>
          <w:rFonts w:ascii="Garamond" w:hAnsi="Garamond"/>
          <w:b/>
          <w:color w:val="000000"/>
          <w:kern w:val="1"/>
        </w:rPr>
        <w:t>IAHE Management Group (IAHE MG)</w:t>
      </w:r>
      <w:r w:rsidRPr="00B01A2B">
        <w:rPr>
          <w:rFonts w:ascii="Garamond" w:hAnsi="Garamond"/>
          <w:color w:val="000000"/>
          <w:kern w:val="1"/>
        </w:rPr>
        <w:t xml:space="preserve">, chaired by OCHA. It is composed of 2 to 3 members selected by the Steering Group. The Management Group </w:t>
      </w:r>
      <w:r w:rsidRPr="00B01A2B">
        <w:rPr>
          <w:rFonts w:ascii="Garamond" w:hAnsi="Garamond"/>
          <w:iCs/>
          <w:color w:val="000000"/>
          <w:kern w:val="1"/>
        </w:rPr>
        <w:t>p</w:t>
      </w:r>
      <w:r w:rsidRPr="00B01A2B">
        <w:rPr>
          <w:rFonts w:ascii="Garamond" w:hAnsi="Garamond"/>
          <w:color w:val="000000"/>
          <w:kern w:val="1"/>
        </w:rPr>
        <w:t xml:space="preserve">rovides quality control and inputs throughout the entire evaluation, and plays a key role in ensuring its independence, and providing guidance to the evaluation team.  </w:t>
      </w:r>
    </w:p>
    <w:p w:rsidR="00B01A2B" w:rsidRPr="00B01A2B" w:rsidRDefault="00B01A2B" w:rsidP="00B01A2B">
      <w:pPr>
        <w:tabs>
          <w:tab w:val="left" w:pos="0"/>
          <w:tab w:val="left" w:pos="600"/>
        </w:tabs>
        <w:spacing w:line="240" w:lineRule="auto"/>
        <w:jc w:val="both"/>
        <w:rPr>
          <w:rFonts w:ascii="Garamond" w:hAnsi="Garamond"/>
          <w:iCs/>
          <w:color w:val="000000"/>
        </w:rPr>
      </w:pPr>
      <w:r w:rsidRPr="00B01A2B">
        <w:rPr>
          <w:rFonts w:ascii="Garamond" w:hAnsi="Garamond"/>
          <w:iCs/>
          <w:color w:val="000000"/>
        </w:rPr>
        <w:t xml:space="preserve">As </w:t>
      </w:r>
      <w:r w:rsidRPr="00B01A2B">
        <w:rPr>
          <w:rFonts w:ascii="Garamond" w:hAnsi="Garamond"/>
          <w:b/>
          <w:iCs/>
          <w:color w:val="000000"/>
        </w:rPr>
        <w:t>Evaluation Manager</w:t>
      </w:r>
      <w:r w:rsidRPr="00B01A2B">
        <w:rPr>
          <w:rFonts w:ascii="Garamond" w:hAnsi="Garamond"/>
          <w:iCs/>
          <w:color w:val="000000"/>
        </w:rPr>
        <w:t>, OCHA prepares and submits draft key documents to the IAHE MG and IAHE SG for approval, organizes the selection and contracting of the evaluation team in coordination with the Management Group, engages with the OCHA Country Office to coordinate the creation of the In-country Advisory Group, consolidates comments to reports and submits them for approval, and actively supports the dissemination of evaluation products.</w:t>
      </w:r>
    </w:p>
    <w:p w:rsidR="00B01A2B" w:rsidRPr="00B01A2B" w:rsidRDefault="00B01A2B" w:rsidP="00B01A2B">
      <w:pPr>
        <w:tabs>
          <w:tab w:val="left" w:pos="0"/>
          <w:tab w:val="left" w:pos="600"/>
        </w:tabs>
        <w:spacing w:line="240" w:lineRule="auto"/>
        <w:jc w:val="both"/>
        <w:rPr>
          <w:rFonts w:ascii="Garamond" w:hAnsi="Garamond"/>
          <w:color w:val="000000"/>
        </w:rPr>
      </w:pPr>
      <w:r w:rsidRPr="00B01A2B">
        <w:rPr>
          <w:rFonts w:ascii="Garamond" w:hAnsi="Garamond"/>
          <w:color w:val="000000"/>
        </w:rPr>
        <w:t xml:space="preserve">The </w:t>
      </w:r>
      <w:r w:rsidRPr="00B01A2B">
        <w:rPr>
          <w:rFonts w:ascii="Garamond" w:hAnsi="Garamond"/>
          <w:b/>
          <w:color w:val="000000"/>
        </w:rPr>
        <w:t>In-country IAHE Advisory Group (IAHE AG)</w:t>
      </w:r>
      <w:r w:rsidRPr="00B01A2B">
        <w:rPr>
          <w:rFonts w:ascii="Garamond" w:hAnsi="Garamond"/>
          <w:color w:val="000000"/>
        </w:rPr>
        <w:t xml:space="preserve"> represents country level stakeholders engaged in the emergency response. It plays a crucial role in advising the evaluation team and supporting the evaluation through all its stages. Members of the IAHE AG are appointed by the HC and represent key stakeholders - UN agencies, international NGOs, local NGOs, key funders of the response, and the government - that have been directly involved in the humanitarian response. </w:t>
      </w:r>
    </w:p>
    <w:p w:rsidR="00134E59" w:rsidRPr="00134E59" w:rsidRDefault="00134E59" w:rsidP="00B01A2B">
      <w:pPr>
        <w:spacing w:after="80" w:line="240" w:lineRule="auto"/>
        <w:jc w:val="both"/>
        <w:rPr>
          <w:rFonts w:ascii="Garamond" w:hAnsi="Garamond" w:cs="Arial"/>
          <w:b/>
          <w:bCs/>
          <w:color w:val="4F81BD"/>
        </w:rPr>
      </w:pPr>
    </w:p>
    <w:p w:rsidR="00B01A2B" w:rsidRPr="00134E59" w:rsidRDefault="00B01A2B" w:rsidP="00B01A2B">
      <w:pPr>
        <w:spacing w:after="80" w:line="240" w:lineRule="auto"/>
        <w:jc w:val="both"/>
        <w:rPr>
          <w:rFonts w:ascii="Garamond" w:hAnsi="Garamond" w:cs="Arial"/>
          <w:b/>
          <w:bCs/>
          <w:color w:val="4F81BD"/>
        </w:rPr>
      </w:pPr>
      <w:r w:rsidRPr="00134E59">
        <w:rPr>
          <w:rFonts w:ascii="Garamond" w:hAnsi="Garamond" w:cs="Arial"/>
          <w:b/>
          <w:bCs/>
          <w:color w:val="4F81BD"/>
        </w:rPr>
        <w:lastRenderedPageBreak/>
        <w:t>How are IAHE recommendations followed up?</w:t>
      </w:r>
    </w:p>
    <w:p w:rsidR="00B01A2B" w:rsidRPr="00B01A2B" w:rsidRDefault="00B01A2B" w:rsidP="00B01A2B">
      <w:pPr>
        <w:pStyle w:val="ListParagraph"/>
        <w:numPr>
          <w:ilvl w:val="0"/>
          <w:numId w:val="25"/>
        </w:numPr>
        <w:spacing w:after="0" w:line="240" w:lineRule="auto"/>
        <w:ind w:left="360"/>
        <w:jc w:val="both"/>
        <w:rPr>
          <w:rFonts w:ascii="Garamond" w:hAnsi="Garamond"/>
          <w:iCs/>
          <w:color w:val="000000"/>
          <w:kern w:val="1"/>
        </w:rPr>
      </w:pPr>
      <w:r w:rsidRPr="00B01A2B">
        <w:rPr>
          <w:rFonts w:ascii="Garamond" w:hAnsi="Garamond" w:cs="Arial"/>
          <w:color w:val="1D1B11"/>
        </w:rPr>
        <w:t>The HC, in consultation with the HCT and the In-country Advisory Group, leads the development of the management response plan addressing in-country recommendations, for final endorsement by ERC.</w:t>
      </w:r>
    </w:p>
    <w:p w:rsidR="008A2A8A" w:rsidRPr="00B01A2B" w:rsidRDefault="008A2A8A" w:rsidP="00B01A2B">
      <w:pPr>
        <w:pStyle w:val="ListParagraph"/>
        <w:numPr>
          <w:ilvl w:val="0"/>
          <w:numId w:val="25"/>
        </w:numPr>
        <w:spacing w:after="0" w:line="240" w:lineRule="auto"/>
        <w:ind w:left="360"/>
        <w:jc w:val="both"/>
        <w:rPr>
          <w:rFonts w:ascii="Garamond" w:hAnsi="Garamond" w:cs="Arial"/>
          <w:b/>
          <w:color w:val="1D1B11"/>
        </w:rPr>
      </w:pPr>
      <w:r w:rsidRPr="00B01A2B">
        <w:rPr>
          <w:rFonts w:ascii="Garamond" w:hAnsi="Garamond" w:cs="Arial"/>
          <w:color w:val="1D1B11"/>
        </w:rPr>
        <w:t>The ERC, with the support of the Emergency Directors’ Group (EDG), ensures that country-based recommendations from IAHEs are addressed in a formal management response plan and</w:t>
      </w:r>
      <w:r w:rsidR="00B01A2B">
        <w:rPr>
          <w:rFonts w:ascii="Garamond" w:hAnsi="Garamond" w:cs="Arial"/>
          <w:color w:val="1D1B11"/>
        </w:rPr>
        <w:t xml:space="preserve"> their</w:t>
      </w:r>
      <w:r w:rsidRPr="00B01A2B">
        <w:rPr>
          <w:rFonts w:ascii="Garamond" w:hAnsi="Garamond" w:cs="Arial"/>
          <w:color w:val="1D1B11"/>
        </w:rPr>
        <w:t xml:space="preserve"> implementation is monitored. </w:t>
      </w:r>
    </w:p>
    <w:p w:rsidR="008A2A8A" w:rsidRDefault="008A2A8A" w:rsidP="00B01A2B">
      <w:pPr>
        <w:pStyle w:val="ListParagraph"/>
        <w:numPr>
          <w:ilvl w:val="0"/>
          <w:numId w:val="25"/>
        </w:numPr>
        <w:spacing w:after="0" w:line="240" w:lineRule="auto"/>
        <w:ind w:left="360"/>
        <w:jc w:val="both"/>
        <w:rPr>
          <w:rFonts w:ascii="Garamond" w:hAnsi="Garamond" w:cs="Arial"/>
          <w:b/>
          <w:color w:val="1D1B11"/>
        </w:rPr>
      </w:pPr>
      <w:r w:rsidRPr="00B01A2B">
        <w:rPr>
          <w:rFonts w:ascii="Garamond" w:hAnsi="Garamond" w:cs="Arial"/>
          <w:color w:val="1D1B11"/>
        </w:rPr>
        <w:t>The IASC Principals ensure that systemic recommendations from IAHEs are addressed in a formal management response plan and implementation is monitored.</w:t>
      </w:r>
      <w:r w:rsidRPr="00B01A2B">
        <w:rPr>
          <w:rFonts w:ascii="Garamond" w:hAnsi="Garamond" w:cs="Arial"/>
          <w:b/>
          <w:color w:val="1D1B11"/>
        </w:rPr>
        <w:t xml:space="preserve"> </w:t>
      </w:r>
    </w:p>
    <w:p w:rsidR="00B01A2B" w:rsidRDefault="00B01A2B" w:rsidP="00B01A2B">
      <w:pPr>
        <w:pStyle w:val="ListParagraph"/>
        <w:spacing w:after="0" w:line="240" w:lineRule="auto"/>
        <w:ind w:left="0"/>
        <w:jc w:val="both"/>
        <w:rPr>
          <w:rFonts w:ascii="Garamond" w:hAnsi="Garamond" w:cs="Arial"/>
          <w:b/>
          <w:color w:val="1D1B11"/>
        </w:rPr>
      </w:pPr>
    </w:p>
    <w:p w:rsidR="00B01A2B" w:rsidRPr="00B01A2B" w:rsidRDefault="00B01A2B" w:rsidP="00B01A2B">
      <w:pPr>
        <w:spacing w:after="80" w:line="240" w:lineRule="auto"/>
        <w:jc w:val="both"/>
        <w:rPr>
          <w:rFonts w:ascii="Garamond" w:hAnsi="Garamond" w:cs="Arial"/>
          <w:b/>
          <w:bCs/>
          <w:color w:val="4F81BD"/>
        </w:rPr>
      </w:pPr>
      <w:r w:rsidRPr="00B01A2B">
        <w:rPr>
          <w:rFonts w:ascii="Garamond" w:hAnsi="Garamond" w:cs="Arial"/>
          <w:b/>
          <w:bCs/>
          <w:color w:val="4F81BD"/>
        </w:rPr>
        <w:t>How are affected communities involved?</w:t>
      </w:r>
    </w:p>
    <w:p w:rsidR="00B01A2B" w:rsidRPr="00B01A2B" w:rsidRDefault="00B01A2B" w:rsidP="00B01A2B">
      <w:pPr>
        <w:pStyle w:val="ListParagraph"/>
        <w:spacing w:after="0" w:line="240" w:lineRule="auto"/>
        <w:ind w:left="0"/>
        <w:jc w:val="both"/>
        <w:rPr>
          <w:rFonts w:ascii="Garamond" w:hAnsi="Garamond" w:cs="Arial"/>
          <w:b/>
          <w:color w:val="1D1B11"/>
        </w:rPr>
      </w:pPr>
      <w:r>
        <w:rPr>
          <w:rFonts w:ascii="Garamond" w:hAnsi="Garamond" w:cs="Arial"/>
          <w:bCs/>
        </w:rPr>
        <w:t>IAHEs emphasize consultations with affected people, to ensure that their views on the response are adequately collected and reflected in the evaluation. Evaluation team field visits include visits to the affected areas, to meet with communities affected by the disaster. Once IAHE results are available, presentations specifically targeted to affected communities are conducted</w:t>
      </w:r>
    </w:p>
    <w:p w:rsidR="008A2A8A" w:rsidRPr="00134E59" w:rsidRDefault="008A2A8A" w:rsidP="00B01A2B">
      <w:pPr>
        <w:spacing w:after="80" w:line="240" w:lineRule="auto"/>
        <w:jc w:val="both"/>
        <w:rPr>
          <w:rFonts w:ascii="Garamond" w:hAnsi="Garamond" w:cs="Arial"/>
          <w:b/>
          <w:color w:val="4F81BD"/>
        </w:rPr>
      </w:pPr>
      <w:r w:rsidRPr="00B01A2B">
        <w:rPr>
          <w:rFonts w:ascii="Garamond" w:hAnsi="Garamond" w:cs="Arial"/>
          <w:b/>
          <w:color w:val="1D1B11"/>
        </w:rPr>
        <w:br/>
      </w:r>
      <w:r w:rsidRPr="00134E59">
        <w:rPr>
          <w:rFonts w:ascii="Garamond" w:hAnsi="Garamond" w:cs="Arial"/>
          <w:b/>
          <w:color w:val="4F81BD"/>
        </w:rPr>
        <w:t xml:space="preserve">What is the difference between an IAHE and </w:t>
      </w:r>
      <w:r w:rsidR="00B01A2B" w:rsidRPr="00134E59">
        <w:rPr>
          <w:rFonts w:ascii="Garamond" w:hAnsi="Garamond" w:cs="Arial"/>
          <w:b/>
          <w:color w:val="4F81BD"/>
        </w:rPr>
        <w:t>an</w:t>
      </w:r>
      <w:r w:rsidRPr="00134E59">
        <w:rPr>
          <w:rFonts w:ascii="Garamond" w:hAnsi="Garamond" w:cs="Arial"/>
          <w:b/>
          <w:color w:val="4F81BD"/>
        </w:rPr>
        <w:t xml:space="preserve"> Operational Peer Review (OPR)?</w:t>
      </w:r>
    </w:p>
    <w:p w:rsidR="008A2A8A" w:rsidRPr="00B01A2B" w:rsidRDefault="008A2A8A" w:rsidP="00B01A2B">
      <w:pPr>
        <w:spacing w:after="80" w:line="240" w:lineRule="auto"/>
        <w:jc w:val="both"/>
        <w:rPr>
          <w:rFonts w:ascii="Garamond" w:hAnsi="Garamond" w:cs="Arial"/>
          <w:b/>
          <w:color w:val="1D1B11"/>
        </w:rPr>
      </w:pPr>
      <w:r w:rsidRPr="00B01A2B">
        <w:rPr>
          <w:rFonts w:ascii="Garamond" w:hAnsi="Garamond" w:cs="Arial"/>
          <w:color w:val="1D1B11"/>
        </w:rPr>
        <w:t>Although they are both part of the Humanitarian Programme Cycle, an operational peer review is an internal, inter-agency management tool which identifies areas for improvement early in a response. It is designed to be a light, brief and collaborative process, undertaken by senior UN agency and NGO representatives within the first 90 days of the L3 declaration.  OPR reports are internal to the humanitarian system (including donors).</w:t>
      </w:r>
    </w:p>
    <w:p w:rsidR="005E4259" w:rsidRPr="00AA23E7" w:rsidRDefault="00134E59" w:rsidP="008A2A8A">
      <w:pPr>
        <w:pStyle w:val="List"/>
        <w:numPr>
          <w:ilvl w:val="0"/>
          <w:numId w:val="0"/>
        </w:numPr>
        <w:ind w:left="720"/>
      </w:pPr>
      <w:r w:rsidRPr="00134E59">
        <w:rPr>
          <w:rFonts w:ascii="Garamond" w:hAnsi="Garamond" w:cs="Arial"/>
          <w:b/>
          <w:color w:val="4F81BD"/>
          <w:sz w:val="22"/>
          <w:szCs w:val="22"/>
        </w:rPr>
        <w:lastRenderedPageBreak/>
        <w:t xml:space="preserve">What is the difference between an IAHE and </w:t>
      </w:r>
      <w:r w:rsidRPr="00134E59">
        <w:rPr>
          <w:rFonts w:ascii="Garamond" w:hAnsi="Garamond" w:cs="Arial"/>
          <w:b/>
          <w:color w:val="4F81BD"/>
        </w:rPr>
        <w:t>an</w:t>
      </w:r>
      <w:r w:rsidRPr="00134E59">
        <w:rPr>
          <w:rFonts w:ascii="Garamond" w:hAnsi="Garamond" w:cs="Arial"/>
          <w:b/>
          <w:color w:val="4F81BD"/>
          <w:sz w:val="22"/>
          <w:szCs w:val="22"/>
        </w:rPr>
        <w:t xml:space="preserve"> Operational Peer Review (OPR)?</w:t>
      </w:r>
    </w:p>
    <w:p w:rsidR="008A2A8A" w:rsidRDefault="008A2A8A" w:rsidP="005E4259">
      <w:pPr>
        <w:pStyle w:val="BodyText"/>
      </w:pPr>
    </w:p>
    <w:p w:rsidR="008A2A8A" w:rsidRDefault="008A2A8A" w:rsidP="005E4259">
      <w:pPr>
        <w:pStyle w:val="BodyText"/>
      </w:pPr>
    </w:p>
    <w:p w:rsidR="008A2A8A" w:rsidRDefault="008A2A8A" w:rsidP="005E4259">
      <w:pPr>
        <w:pStyle w:val="BodyText"/>
      </w:pPr>
    </w:p>
    <w:p w:rsidR="00B01A2B" w:rsidRPr="00B01A2B" w:rsidRDefault="00461D40" w:rsidP="00B01A2B">
      <w:pPr>
        <w:tabs>
          <w:tab w:val="left" w:pos="720"/>
        </w:tabs>
        <w:spacing w:line="240" w:lineRule="auto"/>
        <w:ind w:left="720"/>
        <w:jc w:val="both"/>
        <w:rPr>
          <w:rFonts w:ascii="Garamond" w:hAnsi="Garamond"/>
          <w:b/>
          <w:iCs/>
          <w:color w:val="000000"/>
          <w:kern w:val="1"/>
        </w:rPr>
      </w:pPr>
      <w:r>
        <w:rPr>
          <w:noProof/>
          <w:lang w:eastAsia="en-GB"/>
        </w:rPr>
        <mc:AlternateContent>
          <mc:Choice Requires="wps">
            <w:drawing>
              <wp:anchor distT="0" distB="0" distL="114300" distR="114300" simplePos="0" relativeHeight="251657728" behindDoc="0" locked="0" layoutInCell="1" allowOverlap="1">
                <wp:simplePos x="0" y="0"/>
                <wp:positionH relativeFrom="page">
                  <wp:posOffset>6815455</wp:posOffset>
                </wp:positionH>
                <wp:positionV relativeFrom="page">
                  <wp:posOffset>1656080</wp:posOffset>
                </wp:positionV>
                <wp:extent cx="2970530" cy="5902960"/>
                <wp:effectExtent l="0" t="0" r="0" b="3810"/>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590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4C1DC6" w:rsidRPr="00134E59" w:rsidRDefault="008A2A8A" w:rsidP="008A2A8A">
                            <w:pPr>
                              <w:pStyle w:val="NoSpacing"/>
                              <w:spacing w:line="276" w:lineRule="auto"/>
                              <w:rPr>
                                <w:rFonts w:ascii="Garamond" w:hAnsi="Garamond"/>
                                <w:b/>
                                <w:color w:val="4F81BD"/>
                                <w:sz w:val="22"/>
                                <w:szCs w:val="22"/>
                              </w:rPr>
                            </w:pPr>
                            <w:r w:rsidRPr="00134E59">
                              <w:rPr>
                                <w:rFonts w:ascii="Garamond" w:hAnsi="Garamond"/>
                                <w:b/>
                                <w:color w:val="4F81BD"/>
                                <w:sz w:val="22"/>
                                <w:szCs w:val="22"/>
                              </w:rPr>
                              <w:t>What is an Inter-Agency Humanitarian Evaluation (IAHE)?</w:t>
                            </w:r>
                          </w:p>
                          <w:p w:rsidR="008A2A8A" w:rsidRPr="000C3C75" w:rsidRDefault="008A2A8A" w:rsidP="008A2A8A">
                            <w:pPr>
                              <w:pStyle w:val="NoSpacing"/>
                              <w:spacing w:line="120" w:lineRule="auto"/>
                              <w:rPr>
                                <w:rFonts w:ascii="Garamond" w:hAnsi="Garamond"/>
                                <w:sz w:val="22"/>
                                <w:szCs w:val="22"/>
                              </w:rPr>
                            </w:pPr>
                          </w:p>
                          <w:p w:rsidR="00B01A2B" w:rsidRPr="00134E59" w:rsidRDefault="008A2A8A" w:rsidP="00B01A2B">
                            <w:pPr>
                              <w:pStyle w:val="NoSpacing"/>
                              <w:jc w:val="both"/>
                              <w:rPr>
                                <w:rFonts w:ascii="Garamond" w:hAnsi="Garamond"/>
                                <w:b/>
                                <w:color w:val="4F81BD"/>
                                <w:sz w:val="22"/>
                                <w:szCs w:val="22"/>
                              </w:rPr>
                            </w:pPr>
                            <w:r w:rsidRPr="000C3C75">
                              <w:rPr>
                                <w:rFonts w:ascii="Garamond" w:hAnsi="Garamond"/>
                                <w:sz w:val="22"/>
                                <w:szCs w:val="22"/>
                              </w:rPr>
                              <w:t>An IAHE is an independent assessment of the extent to which collective results achieved in responding to an emergency have met the objectives stated in the Strategic Response Plan and the needs of affected people. IAHEs follow agreed norms and standards for evaluations that emphasize the independence of the evaluation team, a certain process and methodology, and the usefulness and transparency of findings and recommendations.</w:t>
                            </w:r>
                            <w:r w:rsidRPr="000C3C75">
                              <w:rPr>
                                <w:rFonts w:ascii="Garamond" w:hAnsi="Garamond"/>
                                <w:sz w:val="22"/>
                                <w:szCs w:val="22"/>
                              </w:rPr>
                              <w:br/>
                            </w:r>
                            <w:r w:rsidRPr="000C3C75">
                              <w:rPr>
                                <w:rFonts w:ascii="Garamond" w:hAnsi="Garamond"/>
                                <w:b/>
                                <w:sz w:val="22"/>
                                <w:szCs w:val="22"/>
                              </w:rPr>
                              <w:br/>
                            </w:r>
                            <w:r w:rsidR="00B01A2B" w:rsidRPr="00134E59">
                              <w:rPr>
                                <w:rFonts w:ascii="Garamond" w:hAnsi="Garamond"/>
                                <w:b/>
                                <w:color w:val="4F81BD"/>
                                <w:sz w:val="22"/>
                                <w:szCs w:val="22"/>
                              </w:rPr>
                              <w:t>What is the guiding vision of an IAHE?</w:t>
                            </w:r>
                          </w:p>
                          <w:p w:rsidR="00B01A2B" w:rsidRPr="000C3C75" w:rsidRDefault="00B01A2B" w:rsidP="00B01A2B">
                            <w:pPr>
                              <w:pStyle w:val="NoSpacing"/>
                              <w:rPr>
                                <w:rFonts w:ascii="Garamond" w:hAnsi="Garamond"/>
                                <w:b/>
                                <w:sz w:val="22"/>
                                <w:szCs w:val="22"/>
                              </w:rPr>
                            </w:pPr>
                          </w:p>
                          <w:p w:rsidR="00B01A2B" w:rsidRPr="000C3C75" w:rsidRDefault="00B01A2B" w:rsidP="00B01A2B">
                            <w:pPr>
                              <w:pStyle w:val="NoSpacing"/>
                              <w:rPr>
                                <w:rFonts w:ascii="Garamond" w:hAnsi="Garamond"/>
                                <w:sz w:val="22"/>
                                <w:szCs w:val="22"/>
                              </w:rPr>
                            </w:pPr>
                            <w:r w:rsidRPr="000C3C75">
                              <w:rPr>
                                <w:rFonts w:ascii="Garamond" w:hAnsi="Garamond"/>
                                <w:sz w:val="22"/>
                                <w:szCs w:val="22"/>
                              </w:rPr>
                              <w:t>IAHEs are conducted in order to:</w:t>
                            </w:r>
                          </w:p>
                          <w:p w:rsidR="00B01A2B" w:rsidRPr="000C3C75" w:rsidRDefault="00B01A2B" w:rsidP="00B01A2B">
                            <w:pPr>
                              <w:numPr>
                                <w:ilvl w:val="0"/>
                                <w:numId w:val="18"/>
                              </w:numPr>
                              <w:tabs>
                                <w:tab w:val="left" w:pos="0"/>
                                <w:tab w:val="left" w:pos="360"/>
                              </w:tabs>
                              <w:suppressAutoHyphens/>
                              <w:spacing w:after="0" w:line="240" w:lineRule="auto"/>
                              <w:jc w:val="both"/>
                              <w:rPr>
                                <w:rFonts w:ascii="Garamond" w:eastAsia="Times New Roman" w:hAnsi="Garamond"/>
                                <w:color w:val="000000"/>
                                <w:lang w:val="en-US"/>
                              </w:rPr>
                            </w:pPr>
                            <w:r w:rsidRPr="000C3C75">
                              <w:rPr>
                                <w:rFonts w:ascii="Garamond" w:eastAsia="Times New Roman" w:hAnsi="Garamond"/>
                                <w:color w:val="000000"/>
                                <w:lang w:val="en-US"/>
                              </w:rPr>
                              <w:t>provide HCs and HCTs,</w:t>
                            </w:r>
                            <w:r w:rsidRPr="000C3C75">
                              <w:rPr>
                                <w:rFonts w:ascii="Garamond" w:eastAsia="Times New Roman" w:hAnsi="Garamond"/>
                                <w:color w:val="000000"/>
                                <w:kern w:val="1"/>
                                <w:lang w:val="en-US"/>
                              </w:rPr>
                              <w:t xml:space="preserve"> EDG, ERC and IASC Principals </w:t>
                            </w:r>
                            <w:r w:rsidRPr="000C3C75">
                              <w:rPr>
                                <w:rFonts w:ascii="Garamond" w:eastAsia="Times New Roman" w:hAnsi="Garamond"/>
                                <w:color w:val="000000"/>
                                <w:lang w:val="en-US"/>
                              </w:rPr>
                              <w:t xml:space="preserve">with independent and credible evidence of collective progress towards stated goals, objectives and results; </w:t>
                            </w:r>
                          </w:p>
                          <w:p w:rsidR="00B01A2B" w:rsidRPr="000C3C75" w:rsidRDefault="00B01A2B" w:rsidP="00B01A2B">
                            <w:pPr>
                              <w:numPr>
                                <w:ilvl w:val="0"/>
                                <w:numId w:val="18"/>
                              </w:numPr>
                              <w:tabs>
                                <w:tab w:val="left" w:pos="0"/>
                                <w:tab w:val="left" w:pos="360"/>
                              </w:tabs>
                              <w:suppressAutoHyphens/>
                              <w:spacing w:after="0" w:line="240" w:lineRule="auto"/>
                              <w:jc w:val="both"/>
                              <w:rPr>
                                <w:rFonts w:ascii="Garamond" w:eastAsia="Times New Roman" w:hAnsi="Garamond"/>
                                <w:color w:val="000000"/>
                                <w:lang w:val="en-US"/>
                              </w:rPr>
                            </w:pPr>
                            <w:r w:rsidRPr="000C3C75">
                              <w:rPr>
                                <w:rFonts w:ascii="Garamond" w:eastAsia="Times New Roman" w:hAnsi="Garamond"/>
                                <w:color w:val="000000"/>
                                <w:lang w:val="en-US"/>
                              </w:rPr>
                              <w:t>inform longer-term recovery plans, and in the case of a sudden onset disaster, support preparedness efforts for the next emergency;</w:t>
                            </w:r>
                          </w:p>
                          <w:p w:rsidR="00B01A2B" w:rsidRPr="000C3C75" w:rsidRDefault="00B01A2B" w:rsidP="00B01A2B">
                            <w:pPr>
                              <w:numPr>
                                <w:ilvl w:val="0"/>
                                <w:numId w:val="18"/>
                              </w:numPr>
                              <w:tabs>
                                <w:tab w:val="left" w:pos="0"/>
                                <w:tab w:val="left" w:pos="360"/>
                              </w:tabs>
                              <w:suppressAutoHyphens/>
                              <w:spacing w:after="0" w:line="240" w:lineRule="auto"/>
                              <w:jc w:val="both"/>
                              <w:rPr>
                                <w:rFonts w:ascii="Garamond" w:hAnsi="Garamond"/>
                              </w:rPr>
                            </w:pPr>
                            <w:r w:rsidRPr="000C3C75">
                              <w:rPr>
                                <w:rFonts w:ascii="Garamond" w:eastAsia="Times New Roman" w:hAnsi="Garamond"/>
                                <w:color w:val="000000"/>
                                <w:kern w:val="1"/>
                                <w:lang w:val="en-US"/>
                              </w:rPr>
                              <w:t xml:space="preserve">provide national governments and disaster management institutions with evaluative evidence and analysis to inform their </w:t>
                            </w:r>
                            <w:r w:rsidRPr="000C3C75">
                              <w:rPr>
                                <w:rFonts w:ascii="Garamond" w:hAnsi="Garamond"/>
                                <w:color w:val="000000"/>
                                <w:kern w:val="1"/>
                              </w:rPr>
                              <w:t>national policies and protocols for crises involving international agencies and other actors;</w:t>
                            </w:r>
                          </w:p>
                          <w:p w:rsidR="00B01A2B" w:rsidRPr="000C3C75" w:rsidRDefault="00B01A2B" w:rsidP="00B01A2B">
                            <w:pPr>
                              <w:numPr>
                                <w:ilvl w:val="0"/>
                                <w:numId w:val="18"/>
                              </w:numPr>
                              <w:tabs>
                                <w:tab w:val="left" w:pos="0"/>
                                <w:tab w:val="left" w:pos="360"/>
                              </w:tabs>
                              <w:suppressAutoHyphens/>
                              <w:spacing w:after="0" w:line="240" w:lineRule="auto"/>
                              <w:jc w:val="both"/>
                              <w:rPr>
                                <w:rFonts w:ascii="Garamond" w:hAnsi="Garamond"/>
                              </w:rPr>
                            </w:pPr>
                            <w:r w:rsidRPr="000C3C75">
                              <w:rPr>
                                <w:rFonts w:ascii="Garamond" w:hAnsi="Garamond"/>
                              </w:rPr>
                              <w:t>provide Member States, donors and affected people with evidence of results of the collective response efforts, for accountability purposes;</w:t>
                            </w:r>
                          </w:p>
                          <w:p w:rsidR="00B01A2B" w:rsidRPr="000C3C75" w:rsidRDefault="00B01A2B" w:rsidP="00B01A2B">
                            <w:pPr>
                              <w:pStyle w:val="BodyText"/>
                              <w:numPr>
                                <w:ilvl w:val="0"/>
                                <w:numId w:val="18"/>
                              </w:numPr>
                              <w:spacing w:after="0" w:line="240" w:lineRule="auto"/>
                              <w:jc w:val="both"/>
                              <w:rPr>
                                <w:rFonts w:ascii="Garamond" w:hAnsi="Garamond"/>
                                <w:color w:val="auto"/>
                                <w:sz w:val="22"/>
                              </w:rPr>
                            </w:pPr>
                            <w:r w:rsidRPr="000C3C75">
                              <w:rPr>
                                <w:rFonts w:ascii="Garamond" w:hAnsi="Garamond"/>
                                <w:color w:val="auto"/>
                                <w:sz w:val="22"/>
                              </w:rPr>
                              <w:t>enable learning and contribute to the evidence base for decision making and improvement in</w:t>
                            </w:r>
                          </w:p>
                          <w:p w:rsidR="008A2A8A" w:rsidRPr="000C3C75" w:rsidRDefault="008A2A8A" w:rsidP="008A2A8A">
                            <w:pPr>
                              <w:tabs>
                                <w:tab w:val="left" w:pos="720"/>
                              </w:tabs>
                              <w:spacing w:line="240" w:lineRule="auto"/>
                              <w:jc w:val="both"/>
                              <w:rPr>
                                <w:rFonts w:ascii="Garamond" w:hAnsi="Garamond"/>
                                <w:b/>
                                <w:iCs/>
                                <w:color w:val="000000"/>
                                <w:kern w:val="1"/>
                              </w:rPr>
                            </w:pPr>
                          </w:p>
                          <w:p w:rsidR="008A2A8A" w:rsidRPr="000C3C75" w:rsidRDefault="008A2A8A" w:rsidP="008A2A8A">
                            <w:pPr>
                              <w:pStyle w:val="NoSpacing"/>
                              <w:jc w:val="both"/>
                              <w:rPr>
                                <w:rFonts w:ascii="Garamond" w:hAnsi="Garamond"/>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left:0;text-align:left;margin-left:536.65pt;margin-top:130.4pt;width:233.9pt;height:464.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" filled="f" stroked="f" strokecolor="#c9f" strokeweight="1.5pt">
                <v:textbox>
                  <w:txbxContent>
                    <w:p w:rsidR="004C1DC6" w:rsidRPr="00134E59" w:rsidRDefault="008A2A8A" w:rsidP="008A2A8A">
                      <w:pPr>
                        <w:pStyle w:val="NoSpacing"/>
                        <w:spacing w:line="276" w:lineRule="auto"/>
                        <w:rPr>
                          <w:rFonts w:ascii="Garamond" w:hAnsi="Garamond"/>
                          <w:b/>
                          <w:color w:val="4F81BD"/>
                          <w:sz w:val="22"/>
                          <w:szCs w:val="22"/>
                        </w:rPr>
                      </w:pPr>
                      <w:r w:rsidRPr="00134E59">
                        <w:rPr>
                          <w:rFonts w:ascii="Garamond" w:hAnsi="Garamond"/>
                          <w:b/>
                          <w:color w:val="4F81BD"/>
                          <w:sz w:val="22"/>
                          <w:szCs w:val="22"/>
                        </w:rPr>
                        <w:t>What is an Inter-Agency Humanitarian Evaluation (IAHE)?</w:t>
                      </w:r>
                    </w:p>
                    <w:p w:rsidR="008A2A8A" w:rsidRPr="000C3C75" w:rsidRDefault="008A2A8A" w:rsidP="008A2A8A">
                      <w:pPr>
                        <w:pStyle w:val="NoSpacing"/>
                        <w:spacing w:line="120" w:lineRule="auto"/>
                        <w:rPr>
                          <w:rFonts w:ascii="Garamond" w:hAnsi="Garamond"/>
                          <w:sz w:val="22"/>
                          <w:szCs w:val="22"/>
                        </w:rPr>
                      </w:pPr>
                    </w:p>
                    <w:p w:rsidR="00B01A2B" w:rsidRPr="00134E59" w:rsidRDefault="008A2A8A" w:rsidP="00B01A2B">
                      <w:pPr>
                        <w:pStyle w:val="NoSpacing"/>
                        <w:jc w:val="both"/>
                        <w:rPr>
                          <w:rFonts w:ascii="Garamond" w:hAnsi="Garamond"/>
                          <w:b/>
                          <w:color w:val="4F81BD"/>
                          <w:sz w:val="22"/>
                          <w:szCs w:val="22"/>
                        </w:rPr>
                      </w:pPr>
                      <w:r w:rsidRPr="000C3C75">
                        <w:rPr>
                          <w:rFonts w:ascii="Garamond" w:hAnsi="Garamond"/>
                          <w:sz w:val="22"/>
                          <w:szCs w:val="22"/>
                        </w:rPr>
                        <w:t>An IAHE is an independent assessment of the extent to which collective results achieved in responding to an emergency have met the objectives stated in the Strategic Response Plan and the needs of affected people. IAHEs follow agreed norms and standards for evaluations that emphasize the independence of the evaluation team, a certain process and methodology, and the usefulness and transparency of findings and recommendations.</w:t>
                      </w:r>
                      <w:r w:rsidRPr="000C3C75">
                        <w:rPr>
                          <w:rFonts w:ascii="Garamond" w:hAnsi="Garamond"/>
                          <w:sz w:val="22"/>
                          <w:szCs w:val="22"/>
                        </w:rPr>
                        <w:br/>
                      </w:r>
                      <w:r w:rsidRPr="000C3C75">
                        <w:rPr>
                          <w:rFonts w:ascii="Garamond" w:hAnsi="Garamond"/>
                          <w:b/>
                          <w:sz w:val="22"/>
                          <w:szCs w:val="22"/>
                        </w:rPr>
                        <w:br/>
                      </w:r>
                      <w:r w:rsidR="00B01A2B" w:rsidRPr="00134E59">
                        <w:rPr>
                          <w:rFonts w:ascii="Garamond" w:hAnsi="Garamond"/>
                          <w:b/>
                          <w:color w:val="4F81BD"/>
                          <w:sz w:val="22"/>
                          <w:szCs w:val="22"/>
                        </w:rPr>
                        <w:t>What is the guiding vision of an IAHE?</w:t>
                      </w:r>
                    </w:p>
                    <w:p w:rsidR="00B01A2B" w:rsidRPr="000C3C75" w:rsidRDefault="00B01A2B" w:rsidP="00B01A2B">
                      <w:pPr>
                        <w:pStyle w:val="NoSpacing"/>
                        <w:rPr>
                          <w:rFonts w:ascii="Garamond" w:hAnsi="Garamond"/>
                          <w:b/>
                          <w:sz w:val="22"/>
                          <w:szCs w:val="22"/>
                        </w:rPr>
                      </w:pPr>
                    </w:p>
                    <w:p w:rsidR="00B01A2B" w:rsidRPr="000C3C75" w:rsidRDefault="00B01A2B" w:rsidP="00B01A2B">
                      <w:pPr>
                        <w:pStyle w:val="NoSpacing"/>
                        <w:rPr>
                          <w:rFonts w:ascii="Garamond" w:hAnsi="Garamond"/>
                          <w:sz w:val="22"/>
                          <w:szCs w:val="22"/>
                        </w:rPr>
                      </w:pPr>
                      <w:r w:rsidRPr="000C3C75">
                        <w:rPr>
                          <w:rFonts w:ascii="Garamond" w:hAnsi="Garamond"/>
                          <w:sz w:val="22"/>
                          <w:szCs w:val="22"/>
                        </w:rPr>
                        <w:t>IAHEs are conducted in order to:</w:t>
                      </w:r>
                    </w:p>
                    <w:p w:rsidR="00B01A2B" w:rsidRPr="000C3C75" w:rsidRDefault="00B01A2B" w:rsidP="00B01A2B">
                      <w:pPr>
                        <w:numPr>
                          <w:ilvl w:val="0"/>
                          <w:numId w:val="18"/>
                        </w:numPr>
                        <w:tabs>
                          <w:tab w:val="left" w:pos="0"/>
                          <w:tab w:val="left" w:pos="360"/>
                        </w:tabs>
                        <w:suppressAutoHyphens/>
                        <w:spacing w:after="0" w:line="240" w:lineRule="auto"/>
                        <w:jc w:val="both"/>
                        <w:rPr>
                          <w:rFonts w:ascii="Garamond" w:eastAsia="Times New Roman" w:hAnsi="Garamond"/>
                          <w:color w:val="000000"/>
                          <w:lang w:val="en-US"/>
                        </w:rPr>
                      </w:pPr>
                      <w:r w:rsidRPr="000C3C75">
                        <w:rPr>
                          <w:rFonts w:ascii="Garamond" w:eastAsia="Times New Roman" w:hAnsi="Garamond"/>
                          <w:color w:val="000000"/>
                          <w:lang w:val="en-US"/>
                        </w:rPr>
                        <w:t>provide HCs and HCTs,</w:t>
                      </w:r>
                      <w:r w:rsidRPr="000C3C75">
                        <w:rPr>
                          <w:rFonts w:ascii="Garamond" w:eastAsia="Times New Roman" w:hAnsi="Garamond"/>
                          <w:color w:val="000000"/>
                          <w:kern w:val="1"/>
                          <w:lang w:val="en-US"/>
                        </w:rPr>
                        <w:t xml:space="preserve"> EDG, ERC and IASC Principals </w:t>
                      </w:r>
                      <w:r w:rsidRPr="000C3C75">
                        <w:rPr>
                          <w:rFonts w:ascii="Garamond" w:eastAsia="Times New Roman" w:hAnsi="Garamond"/>
                          <w:color w:val="000000"/>
                          <w:lang w:val="en-US"/>
                        </w:rPr>
                        <w:t xml:space="preserve">with independent and credible evidence of collective progress towards stated goals, objectives and results; </w:t>
                      </w:r>
                    </w:p>
                    <w:p w:rsidR="00B01A2B" w:rsidRPr="000C3C75" w:rsidRDefault="00B01A2B" w:rsidP="00B01A2B">
                      <w:pPr>
                        <w:numPr>
                          <w:ilvl w:val="0"/>
                          <w:numId w:val="18"/>
                        </w:numPr>
                        <w:tabs>
                          <w:tab w:val="left" w:pos="0"/>
                          <w:tab w:val="left" w:pos="360"/>
                        </w:tabs>
                        <w:suppressAutoHyphens/>
                        <w:spacing w:after="0" w:line="240" w:lineRule="auto"/>
                        <w:jc w:val="both"/>
                        <w:rPr>
                          <w:rFonts w:ascii="Garamond" w:eastAsia="Times New Roman" w:hAnsi="Garamond"/>
                          <w:color w:val="000000"/>
                          <w:lang w:val="en-US"/>
                        </w:rPr>
                      </w:pPr>
                      <w:r w:rsidRPr="000C3C75">
                        <w:rPr>
                          <w:rFonts w:ascii="Garamond" w:eastAsia="Times New Roman" w:hAnsi="Garamond"/>
                          <w:color w:val="000000"/>
                          <w:lang w:val="en-US"/>
                        </w:rPr>
                        <w:t>inform longer-term recovery plans, and in the case of a sudden onset disaster, support preparedness efforts for the next emergency;</w:t>
                      </w:r>
                    </w:p>
                    <w:p w:rsidR="00B01A2B" w:rsidRPr="000C3C75" w:rsidRDefault="00B01A2B" w:rsidP="00B01A2B">
                      <w:pPr>
                        <w:numPr>
                          <w:ilvl w:val="0"/>
                          <w:numId w:val="18"/>
                        </w:numPr>
                        <w:tabs>
                          <w:tab w:val="left" w:pos="0"/>
                          <w:tab w:val="left" w:pos="360"/>
                        </w:tabs>
                        <w:suppressAutoHyphens/>
                        <w:spacing w:after="0" w:line="240" w:lineRule="auto"/>
                        <w:jc w:val="both"/>
                        <w:rPr>
                          <w:rFonts w:ascii="Garamond" w:hAnsi="Garamond"/>
                        </w:rPr>
                      </w:pPr>
                      <w:r w:rsidRPr="000C3C75">
                        <w:rPr>
                          <w:rFonts w:ascii="Garamond" w:eastAsia="Times New Roman" w:hAnsi="Garamond"/>
                          <w:color w:val="000000"/>
                          <w:kern w:val="1"/>
                          <w:lang w:val="en-US"/>
                        </w:rPr>
                        <w:t xml:space="preserve">provide national governments and disaster management institutions with evaluative evidence and analysis to inform their </w:t>
                      </w:r>
                      <w:r w:rsidRPr="000C3C75">
                        <w:rPr>
                          <w:rFonts w:ascii="Garamond" w:hAnsi="Garamond"/>
                          <w:color w:val="000000"/>
                          <w:kern w:val="1"/>
                        </w:rPr>
                        <w:t>national policies and protocols for crises involving international agencies and other actors;</w:t>
                      </w:r>
                    </w:p>
                    <w:p w:rsidR="00B01A2B" w:rsidRPr="000C3C75" w:rsidRDefault="00B01A2B" w:rsidP="00B01A2B">
                      <w:pPr>
                        <w:numPr>
                          <w:ilvl w:val="0"/>
                          <w:numId w:val="18"/>
                        </w:numPr>
                        <w:tabs>
                          <w:tab w:val="left" w:pos="0"/>
                          <w:tab w:val="left" w:pos="360"/>
                        </w:tabs>
                        <w:suppressAutoHyphens/>
                        <w:spacing w:after="0" w:line="240" w:lineRule="auto"/>
                        <w:jc w:val="both"/>
                        <w:rPr>
                          <w:rFonts w:ascii="Garamond" w:hAnsi="Garamond"/>
                        </w:rPr>
                      </w:pPr>
                      <w:r w:rsidRPr="000C3C75">
                        <w:rPr>
                          <w:rFonts w:ascii="Garamond" w:hAnsi="Garamond"/>
                        </w:rPr>
                        <w:t>provide Member States, donors and affected people with evidence of results of the collective response efforts, for accountability purposes;</w:t>
                      </w:r>
                    </w:p>
                    <w:p w:rsidR="00B01A2B" w:rsidRPr="000C3C75" w:rsidRDefault="00B01A2B" w:rsidP="00B01A2B">
                      <w:pPr>
                        <w:pStyle w:val="BodyText"/>
                        <w:numPr>
                          <w:ilvl w:val="0"/>
                          <w:numId w:val="18"/>
                        </w:numPr>
                        <w:spacing w:after="0" w:line="240" w:lineRule="auto"/>
                        <w:jc w:val="both"/>
                        <w:rPr>
                          <w:rFonts w:ascii="Garamond" w:hAnsi="Garamond"/>
                          <w:color w:val="auto"/>
                          <w:sz w:val="22"/>
                        </w:rPr>
                      </w:pPr>
                      <w:r w:rsidRPr="000C3C75">
                        <w:rPr>
                          <w:rFonts w:ascii="Garamond" w:hAnsi="Garamond"/>
                          <w:color w:val="auto"/>
                          <w:sz w:val="22"/>
                        </w:rPr>
                        <w:t>enable learning and contribute to the evidence base for decision making and improvement in</w:t>
                      </w:r>
                    </w:p>
                    <w:p w:rsidR="008A2A8A" w:rsidRPr="000C3C75" w:rsidRDefault="008A2A8A" w:rsidP="008A2A8A">
                      <w:pPr>
                        <w:tabs>
                          <w:tab w:val="left" w:pos="720"/>
                        </w:tabs>
                        <w:spacing w:line="240" w:lineRule="auto"/>
                        <w:jc w:val="both"/>
                        <w:rPr>
                          <w:rFonts w:ascii="Garamond" w:hAnsi="Garamond"/>
                          <w:b/>
                          <w:iCs/>
                          <w:color w:val="000000"/>
                          <w:kern w:val="1"/>
                        </w:rPr>
                      </w:pPr>
                    </w:p>
                    <w:p w:rsidR="008A2A8A" w:rsidRPr="000C3C75" w:rsidRDefault="008A2A8A" w:rsidP="008A2A8A">
                      <w:pPr>
                        <w:pStyle w:val="NoSpacing"/>
                        <w:jc w:val="both"/>
                        <w:rPr>
                          <w:rFonts w:ascii="Garamond" w:hAnsi="Garamond"/>
                          <w:sz w:val="22"/>
                          <w:szCs w:val="22"/>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page">
                  <wp:posOffset>6903085</wp:posOffset>
                </wp:positionH>
                <wp:positionV relativeFrom="page">
                  <wp:posOffset>365760</wp:posOffset>
                </wp:positionV>
                <wp:extent cx="2752090" cy="1144270"/>
                <wp:effectExtent l="0" t="3810" r="3175" b="4445"/>
                <wp:wrapNone/>
                <wp:docPr id="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090" cy="1144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DC6" w:rsidRPr="00134E59" w:rsidRDefault="008A2A8A" w:rsidP="008A2A8A">
                            <w:pPr>
                              <w:pStyle w:val="Heading1"/>
                              <w:spacing w:line="240" w:lineRule="auto"/>
                              <w:jc w:val="center"/>
                              <w:rPr>
                                <w:rFonts w:ascii="Garamond" w:hAnsi="Garamond"/>
                                <w:color w:val="548DD4"/>
                                <w:sz w:val="32"/>
                                <w:szCs w:val="32"/>
                              </w:rPr>
                            </w:pPr>
                            <w:r w:rsidRPr="00134E59">
                              <w:rPr>
                                <w:rStyle w:val="TitleChar"/>
                                <w:rFonts w:ascii="Garamond" w:hAnsi="Garamond"/>
                                <w:color w:val="548DD4"/>
                                <w:shd w:val="clear" w:color="auto" w:fill="FFFFFF"/>
                              </w:rPr>
                              <w:t xml:space="preserve">Inter-Agency Humanitarian Evaluations of Large Scale System-wide Emergencies </w:t>
                            </w:r>
                            <w:r w:rsidRPr="00134E59">
                              <w:rPr>
                                <w:rStyle w:val="TitleChar"/>
                                <w:rFonts w:ascii="Garamond" w:hAnsi="Garamond"/>
                                <w:color w:val="548DD4"/>
                              </w:rPr>
                              <w:t>(IAHEs)</w:t>
                            </w:r>
                            <w:r w:rsidRPr="00134E59">
                              <w:rPr>
                                <w:rStyle w:val="Heading1Char"/>
                                <w:rFonts w:ascii="Garamond" w:hAnsi="Garamond"/>
                                <w:color w:val="548DD4"/>
                                <w:sz w:val="32"/>
                                <w:szCs w:val="32"/>
                              </w:rPr>
                              <w:t xml:space="preserve"> </w:t>
                            </w:r>
                            <w:r w:rsidR="004C1DC6" w:rsidRPr="00134E59">
                              <w:rPr>
                                <w:rFonts w:ascii="Garamond" w:hAnsi="Garamond"/>
                                <w:color w:val="548DD4"/>
                                <w:sz w:val="32"/>
                                <w:szCs w:val="32"/>
                              </w:rPr>
                              <w:t xml:space="preserve"> </w:t>
                            </w:r>
                            <w:r w:rsidR="004C1DC6" w:rsidRPr="00134E59">
                              <w:rPr>
                                <w:rFonts w:ascii="Garamond" w:hAnsi="Garamond"/>
                                <w:color w:val="548DD4"/>
                                <w:sz w:val="32"/>
                                <w:szCs w:val="32"/>
                              </w:rPr>
                              <w:br/>
                            </w:r>
                          </w:p>
                          <w:p w:rsidR="004C1DC6" w:rsidRDefault="004C1DC6" w:rsidP="00437BFF">
                            <w:pPr>
                              <w:pStyle w:val="BodyText"/>
                            </w:pPr>
                          </w:p>
                          <w:p w:rsidR="004C1DC6" w:rsidRDefault="004C1DC6" w:rsidP="00437BFF">
                            <w:pPr>
                              <w:pStyle w:val="BodyText"/>
                            </w:pPr>
                          </w:p>
                          <w:p w:rsidR="004C1DC6" w:rsidRDefault="004C1DC6" w:rsidP="00437BFF">
                            <w:pPr>
                              <w:pStyle w:val="BodyText"/>
                            </w:pPr>
                          </w:p>
                          <w:p w:rsidR="004C1DC6" w:rsidRPr="00461BDC" w:rsidRDefault="004C1DC6" w:rsidP="00437BFF">
                            <w:pPr>
                              <w:pStyle w:val="BodyText"/>
                            </w:pPr>
                            <w:r w:rsidRPr="00461BDC">
                              <w:t>Date of publication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7" type="#_x0000_t202" style="position:absolute;left:0;text-align:left;margin-left:543.55pt;margin-top:28.8pt;width:216.7pt;height:90.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pGPuQIAAMI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" filled="f" stroked="f">
                <v:textbox>
                  <w:txbxContent>
                    <w:p w:rsidR="004C1DC6" w:rsidRPr="00134E59" w:rsidRDefault="008A2A8A" w:rsidP="008A2A8A">
                      <w:pPr>
                        <w:pStyle w:val="Heading1"/>
                        <w:spacing w:line="240" w:lineRule="auto"/>
                        <w:jc w:val="center"/>
                        <w:rPr>
                          <w:rFonts w:ascii="Garamond" w:hAnsi="Garamond"/>
                          <w:color w:val="548DD4"/>
                          <w:sz w:val="32"/>
                          <w:szCs w:val="32"/>
                        </w:rPr>
                      </w:pPr>
                      <w:r w:rsidRPr="00134E59">
                        <w:rPr>
                          <w:rStyle w:val="TitleChar"/>
                          <w:rFonts w:ascii="Garamond" w:hAnsi="Garamond"/>
                          <w:color w:val="548DD4"/>
                          <w:shd w:val="clear" w:color="auto" w:fill="FFFFFF"/>
                        </w:rPr>
                        <w:t xml:space="preserve">Inter-Agency Humanitarian Evaluations of Large Scale System-wide Emergencies </w:t>
                      </w:r>
                      <w:r w:rsidRPr="00134E59">
                        <w:rPr>
                          <w:rStyle w:val="TitleChar"/>
                          <w:rFonts w:ascii="Garamond" w:hAnsi="Garamond"/>
                          <w:color w:val="548DD4"/>
                        </w:rPr>
                        <w:t>(IAHEs)</w:t>
                      </w:r>
                      <w:r w:rsidRPr="00134E59">
                        <w:rPr>
                          <w:rStyle w:val="Heading1Char"/>
                          <w:rFonts w:ascii="Garamond" w:hAnsi="Garamond"/>
                          <w:color w:val="548DD4"/>
                          <w:sz w:val="32"/>
                          <w:szCs w:val="32"/>
                        </w:rPr>
                        <w:t xml:space="preserve"> </w:t>
                      </w:r>
                      <w:r w:rsidR="004C1DC6" w:rsidRPr="00134E59">
                        <w:rPr>
                          <w:rFonts w:ascii="Garamond" w:hAnsi="Garamond"/>
                          <w:color w:val="548DD4"/>
                          <w:sz w:val="32"/>
                          <w:szCs w:val="32"/>
                        </w:rPr>
                        <w:t xml:space="preserve"> </w:t>
                      </w:r>
                      <w:r w:rsidR="004C1DC6" w:rsidRPr="00134E59">
                        <w:rPr>
                          <w:rFonts w:ascii="Garamond" w:hAnsi="Garamond"/>
                          <w:color w:val="548DD4"/>
                          <w:sz w:val="32"/>
                          <w:szCs w:val="32"/>
                        </w:rPr>
                        <w:br/>
                      </w:r>
                    </w:p>
                    <w:p w:rsidR="004C1DC6" w:rsidRDefault="004C1DC6" w:rsidP="00437BFF">
                      <w:pPr>
                        <w:pStyle w:val="BodyText"/>
                      </w:pPr>
                    </w:p>
                    <w:p w:rsidR="004C1DC6" w:rsidRDefault="004C1DC6" w:rsidP="00437BFF">
                      <w:pPr>
                        <w:pStyle w:val="BodyText"/>
                      </w:pPr>
                    </w:p>
                    <w:p w:rsidR="004C1DC6" w:rsidRDefault="004C1DC6" w:rsidP="00437BFF">
                      <w:pPr>
                        <w:pStyle w:val="BodyText"/>
                      </w:pPr>
                    </w:p>
                    <w:p w:rsidR="004C1DC6" w:rsidRPr="00461BDC" w:rsidRDefault="004C1DC6" w:rsidP="00437BFF">
                      <w:pPr>
                        <w:pStyle w:val="BodyText"/>
                      </w:pPr>
                      <w:r w:rsidRPr="00461BDC">
                        <w:t>Date of publication</w:t>
                      </w:r>
                    </w:p>
                  </w:txbxContent>
                </v:textbox>
                <w10:wrap anchorx="page" anchory="page"/>
              </v:shape>
            </w:pict>
          </mc:Fallback>
        </mc:AlternateContent>
      </w:r>
      <w:r w:rsidR="005E4259">
        <w:br w:type="column"/>
      </w:r>
      <w:r w:rsidR="00B01A2B" w:rsidRPr="000C3C75">
        <w:rPr>
          <w:rFonts w:ascii="Garamond" w:hAnsi="Garamond"/>
        </w:rPr>
        <w:lastRenderedPageBreak/>
        <w:t>humanitarian policy and agencies’ approach to future emergencies</w:t>
      </w:r>
      <w:r w:rsidR="00B01A2B" w:rsidRPr="000C3C75">
        <w:rPr>
          <w:rFonts w:ascii="Garamond" w:hAnsi="Garamond"/>
          <w:b/>
          <w:iCs/>
          <w:color w:val="000000"/>
          <w:kern w:val="1"/>
        </w:rPr>
        <w:t xml:space="preserve"> </w:t>
      </w:r>
    </w:p>
    <w:p w:rsidR="00B01A2B" w:rsidRPr="00134E59" w:rsidRDefault="00B01A2B" w:rsidP="00B01A2B">
      <w:pPr>
        <w:pStyle w:val="NoSpacing"/>
        <w:jc w:val="both"/>
        <w:rPr>
          <w:rFonts w:ascii="Garamond" w:hAnsi="Garamond"/>
          <w:b/>
          <w:color w:val="4F81BD"/>
          <w:sz w:val="22"/>
          <w:szCs w:val="22"/>
        </w:rPr>
      </w:pPr>
      <w:r w:rsidRPr="00134E59">
        <w:rPr>
          <w:rFonts w:ascii="Garamond" w:hAnsi="Garamond"/>
          <w:b/>
          <w:color w:val="4F81BD"/>
          <w:sz w:val="22"/>
          <w:szCs w:val="22"/>
        </w:rPr>
        <w:t>When are Inter-Agency Humanitarian Evaluations conducted?</w:t>
      </w:r>
    </w:p>
    <w:p w:rsidR="00B01A2B" w:rsidRPr="000C3C75" w:rsidRDefault="00B01A2B" w:rsidP="00B01A2B">
      <w:pPr>
        <w:tabs>
          <w:tab w:val="left" w:pos="720"/>
        </w:tabs>
        <w:spacing w:line="240" w:lineRule="auto"/>
        <w:jc w:val="both"/>
        <w:rPr>
          <w:rFonts w:ascii="Garamond" w:hAnsi="Garamond"/>
          <w:iCs/>
          <w:color w:val="000000"/>
          <w:kern w:val="1"/>
        </w:rPr>
      </w:pPr>
      <w:r w:rsidRPr="000C3C75">
        <w:rPr>
          <w:rFonts w:ascii="Garamond" w:hAnsi="Garamond"/>
          <w:iCs/>
          <w:color w:val="000000"/>
          <w:kern w:val="1"/>
        </w:rPr>
        <w:br/>
        <w:t>IAHEs are mandatory for all declared L3 system-wide emergencies. An IAHE can also be considered in other cases at the specific request of a HC/HCT.</w:t>
      </w:r>
    </w:p>
    <w:p w:rsidR="00B01A2B" w:rsidRPr="00134E59" w:rsidRDefault="00B01A2B" w:rsidP="00B01A2B">
      <w:pPr>
        <w:tabs>
          <w:tab w:val="left" w:pos="720"/>
        </w:tabs>
        <w:spacing w:line="240" w:lineRule="auto"/>
        <w:jc w:val="both"/>
        <w:rPr>
          <w:rFonts w:ascii="Garamond" w:hAnsi="Garamond"/>
          <w:b/>
          <w:iCs/>
          <w:color w:val="4F81BD"/>
          <w:kern w:val="1"/>
        </w:rPr>
      </w:pPr>
      <w:r w:rsidRPr="00134E59">
        <w:rPr>
          <w:rFonts w:ascii="Garamond" w:hAnsi="Garamond"/>
          <w:b/>
          <w:iCs/>
          <w:color w:val="4F81BD"/>
          <w:kern w:val="1"/>
        </w:rPr>
        <w:t>Who conducts IAHEs?</w:t>
      </w:r>
    </w:p>
    <w:p w:rsidR="00B01A2B" w:rsidRPr="000C3C75" w:rsidRDefault="00B01A2B" w:rsidP="00B01A2B">
      <w:pPr>
        <w:pStyle w:val="NoSpacing"/>
        <w:jc w:val="both"/>
        <w:rPr>
          <w:rFonts w:ascii="Garamond" w:hAnsi="Garamond"/>
          <w:iCs/>
          <w:color w:val="000000"/>
          <w:kern w:val="1"/>
          <w:sz w:val="22"/>
          <w:szCs w:val="22"/>
        </w:rPr>
      </w:pPr>
      <w:r w:rsidRPr="000C3C75">
        <w:rPr>
          <w:rFonts w:ascii="Garamond" w:hAnsi="Garamond"/>
          <w:kern w:val="1"/>
          <w:lang w:eastAsia="ar-SA"/>
        </w:rPr>
        <w:t xml:space="preserve">IAHEs are conducted by teams of independent evaluation experts. Whenever possible, </w:t>
      </w:r>
      <w:r w:rsidRPr="000C3C75">
        <w:rPr>
          <w:rFonts w:ascii="Garamond" w:hAnsi="Garamond"/>
          <w:color w:val="000000"/>
          <w:kern w:val="1"/>
          <w:lang w:eastAsia="ar-SA"/>
        </w:rPr>
        <w:t>the participation of independent national evaluators is sought</w:t>
      </w:r>
      <w:r>
        <w:rPr>
          <w:rFonts w:ascii="Garamond" w:hAnsi="Garamond"/>
          <w:color w:val="000000"/>
          <w:kern w:val="1"/>
          <w:lang w:eastAsia="ar-SA"/>
        </w:rPr>
        <w:t>.</w:t>
      </w:r>
    </w:p>
    <w:p w:rsidR="008A2A8A" w:rsidRPr="00134E59" w:rsidRDefault="00B01A2B" w:rsidP="00B01A2B">
      <w:pPr>
        <w:tabs>
          <w:tab w:val="left" w:pos="720"/>
        </w:tabs>
        <w:spacing w:line="240" w:lineRule="auto"/>
        <w:jc w:val="both"/>
        <w:rPr>
          <w:rFonts w:ascii="Garamond" w:hAnsi="Garamond"/>
          <w:b/>
          <w:iCs/>
          <w:color w:val="4F81BD"/>
          <w:kern w:val="1"/>
        </w:rPr>
      </w:pPr>
      <w:r>
        <w:rPr>
          <w:rFonts w:ascii="Garamond" w:hAnsi="Garamond"/>
          <w:b/>
          <w:iCs/>
          <w:color w:val="000000"/>
          <w:kern w:val="1"/>
        </w:rPr>
        <w:br/>
      </w:r>
      <w:r w:rsidR="008A2A8A" w:rsidRPr="00134E59">
        <w:rPr>
          <w:rFonts w:ascii="Garamond" w:hAnsi="Garamond"/>
          <w:b/>
          <w:iCs/>
          <w:color w:val="4F81BD"/>
          <w:kern w:val="1"/>
        </w:rPr>
        <w:t>What are the timing and phases of an IAHE?</w:t>
      </w:r>
    </w:p>
    <w:p w:rsidR="008A2A8A" w:rsidRPr="000C3C75" w:rsidRDefault="008A2A8A" w:rsidP="00B01A2B">
      <w:pPr>
        <w:pStyle w:val="NoSpacing"/>
        <w:jc w:val="both"/>
        <w:rPr>
          <w:rFonts w:ascii="Garamond" w:hAnsi="Garamond"/>
          <w:iCs/>
          <w:color w:val="000000"/>
          <w:kern w:val="1"/>
          <w:sz w:val="22"/>
          <w:szCs w:val="22"/>
        </w:rPr>
      </w:pPr>
      <w:r w:rsidRPr="000C3C75">
        <w:rPr>
          <w:rFonts w:ascii="Garamond" w:hAnsi="Garamond"/>
          <w:iCs/>
          <w:color w:val="000000"/>
          <w:kern w:val="1"/>
          <w:sz w:val="22"/>
          <w:szCs w:val="22"/>
        </w:rPr>
        <w:t>IAHEs are to be conducted between months 3 and 12 from the time of the L3 declaration. A first inception mission usually takes place at months 7/8 after the emergency declaration, and the actual evaluation mission at months 9/10 after the L3. The final report/results should available at between twelve and fifteen months after the declaration. Timings are planned in consultation with stakeholders, including the HC and EDG.</w:t>
      </w:r>
    </w:p>
    <w:p w:rsidR="008A2A8A" w:rsidRPr="00134E59" w:rsidRDefault="008A2A8A" w:rsidP="008A2A8A">
      <w:pPr>
        <w:tabs>
          <w:tab w:val="left" w:pos="720"/>
        </w:tabs>
        <w:spacing w:line="240" w:lineRule="auto"/>
        <w:jc w:val="both"/>
        <w:rPr>
          <w:rFonts w:ascii="Garamond" w:hAnsi="Garamond"/>
          <w:b/>
          <w:iCs/>
          <w:color w:val="4F81BD"/>
          <w:kern w:val="1"/>
        </w:rPr>
      </w:pPr>
      <w:r w:rsidRPr="000C3C75">
        <w:rPr>
          <w:rFonts w:ascii="Garamond" w:hAnsi="Garamond"/>
          <w:b/>
          <w:iCs/>
          <w:color w:val="000000"/>
          <w:kern w:val="1"/>
        </w:rPr>
        <w:br/>
      </w:r>
      <w:r w:rsidRPr="00134E59">
        <w:rPr>
          <w:rFonts w:ascii="Garamond" w:hAnsi="Garamond"/>
          <w:b/>
          <w:iCs/>
          <w:color w:val="4F81BD"/>
          <w:kern w:val="1"/>
        </w:rPr>
        <w:t>What are</w:t>
      </w:r>
      <w:r w:rsidR="00937E7E">
        <w:rPr>
          <w:rFonts w:ascii="Garamond" w:hAnsi="Garamond"/>
          <w:b/>
          <w:iCs/>
          <w:color w:val="4F81BD"/>
          <w:kern w:val="1"/>
        </w:rPr>
        <w:t xml:space="preserve"> the core questions of</w:t>
      </w:r>
      <w:r w:rsidRPr="00134E59">
        <w:rPr>
          <w:rFonts w:ascii="Garamond" w:hAnsi="Garamond"/>
          <w:b/>
          <w:iCs/>
          <w:color w:val="4F81BD"/>
          <w:kern w:val="1"/>
        </w:rPr>
        <w:t xml:space="preserve"> IAHE</w:t>
      </w:r>
      <w:r w:rsidR="00B01A2B" w:rsidRPr="00134E59">
        <w:rPr>
          <w:rFonts w:ascii="Garamond" w:hAnsi="Garamond"/>
          <w:b/>
          <w:iCs/>
          <w:color w:val="4F81BD"/>
          <w:kern w:val="1"/>
        </w:rPr>
        <w:t>s</w:t>
      </w:r>
      <w:r w:rsidRPr="00134E59">
        <w:rPr>
          <w:rFonts w:ascii="Garamond" w:hAnsi="Garamond"/>
          <w:b/>
          <w:iCs/>
          <w:color w:val="4F81BD"/>
          <w:kern w:val="1"/>
        </w:rPr>
        <w:t>?</w:t>
      </w:r>
    </w:p>
    <w:p w:rsidR="008A2A8A" w:rsidRPr="000C3C75" w:rsidRDefault="008A2A8A" w:rsidP="008A2A8A">
      <w:pPr>
        <w:pStyle w:val="BodyText"/>
        <w:spacing w:line="240" w:lineRule="auto"/>
        <w:rPr>
          <w:rFonts w:ascii="Garamond" w:hAnsi="Garamond"/>
          <w:iCs/>
          <w:color w:val="000000"/>
          <w:kern w:val="1"/>
          <w:sz w:val="22"/>
        </w:rPr>
      </w:pPr>
      <w:r w:rsidRPr="000C3C75">
        <w:rPr>
          <w:rFonts w:ascii="Garamond" w:hAnsi="Garamond"/>
          <w:iCs/>
          <w:color w:val="000000"/>
          <w:kern w:val="1"/>
          <w:sz w:val="22"/>
        </w:rPr>
        <w:t xml:space="preserve">IAHEs address the following core questions: </w:t>
      </w:r>
    </w:p>
    <w:p w:rsidR="00937E7E" w:rsidRPr="00937E7E" w:rsidRDefault="00937E7E" w:rsidP="00937E7E">
      <w:pPr>
        <w:pStyle w:val="BodyText"/>
        <w:numPr>
          <w:ilvl w:val="0"/>
          <w:numId w:val="22"/>
        </w:numPr>
        <w:spacing w:after="0" w:line="240" w:lineRule="auto"/>
        <w:jc w:val="both"/>
        <w:rPr>
          <w:rFonts w:ascii="Garamond" w:hAnsi="Garamond"/>
          <w:iCs/>
          <w:color w:val="000000"/>
          <w:kern w:val="1"/>
          <w:sz w:val="22"/>
        </w:rPr>
      </w:pPr>
      <w:r w:rsidRPr="00937E7E">
        <w:rPr>
          <w:rFonts w:ascii="Garamond" w:hAnsi="Garamond"/>
          <w:iCs/>
          <w:color w:val="000000"/>
          <w:kern w:val="1"/>
          <w:sz w:val="22"/>
        </w:rPr>
        <w:t xml:space="preserve">To what extent are SRP objectives appropriate and relevant to meet humanitarian needs, and have systems been established to measure their achievement? To what extent are the results articulated in the Strategic Response Plan achieved, and what were both the positive and potentially negative outcomes for people affected by the disaster? </w:t>
      </w:r>
    </w:p>
    <w:p w:rsidR="008A2A8A" w:rsidRPr="00B01A2B" w:rsidRDefault="008A2A8A" w:rsidP="008A2A8A">
      <w:pPr>
        <w:pStyle w:val="BodyText"/>
        <w:numPr>
          <w:ilvl w:val="0"/>
          <w:numId w:val="22"/>
        </w:numPr>
        <w:spacing w:after="0" w:line="240" w:lineRule="auto"/>
        <w:jc w:val="both"/>
        <w:rPr>
          <w:rFonts w:ascii="Garamond" w:hAnsi="Garamond"/>
          <w:sz w:val="22"/>
        </w:rPr>
      </w:pPr>
      <w:r w:rsidRPr="00B01A2B">
        <w:rPr>
          <w:rFonts w:ascii="Garamond" w:hAnsi="Garamond"/>
          <w:iCs/>
          <w:color w:val="000000"/>
          <w:kern w:val="1"/>
          <w:sz w:val="22"/>
        </w:rPr>
        <w:lastRenderedPageBreak/>
        <w:t>To what extent have national and local stakeholders been involved and their capacities strengthened through the response?</w:t>
      </w:r>
    </w:p>
    <w:p w:rsidR="008A2A8A" w:rsidRPr="000C3C75" w:rsidRDefault="008A2A8A" w:rsidP="008A2A8A">
      <w:pPr>
        <w:pStyle w:val="BodyText"/>
        <w:numPr>
          <w:ilvl w:val="0"/>
          <w:numId w:val="22"/>
        </w:numPr>
        <w:spacing w:after="0" w:line="240" w:lineRule="auto"/>
        <w:jc w:val="both"/>
        <w:rPr>
          <w:rFonts w:ascii="Garamond" w:hAnsi="Garamond"/>
          <w:sz w:val="22"/>
        </w:rPr>
      </w:pPr>
      <w:r w:rsidRPr="000C3C75">
        <w:rPr>
          <w:rFonts w:ascii="Garamond" w:hAnsi="Garamond"/>
          <w:iCs/>
          <w:color w:val="000000"/>
          <w:kern w:val="1"/>
          <w:sz w:val="22"/>
        </w:rPr>
        <w:t>Was the assistance well-coordinated, successfully avoiding duplication and filling gaps? What contextual factors help explain results of the lack thereof?</w:t>
      </w:r>
    </w:p>
    <w:p w:rsidR="008A2A8A" w:rsidRPr="000C3C75" w:rsidRDefault="008A2A8A" w:rsidP="008A2A8A">
      <w:pPr>
        <w:pStyle w:val="BodyText"/>
        <w:numPr>
          <w:ilvl w:val="0"/>
          <w:numId w:val="22"/>
        </w:numPr>
        <w:spacing w:after="0" w:line="240" w:lineRule="auto"/>
        <w:jc w:val="both"/>
        <w:rPr>
          <w:rFonts w:ascii="Garamond" w:hAnsi="Garamond"/>
          <w:iCs/>
          <w:color w:val="000000"/>
          <w:kern w:val="1"/>
          <w:sz w:val="22"/>
        </w:rPr>
      </w:pPr>
      <w:r w:rsidRPr="000C3C75">
        <w:rPr>
          <w:rFonts w:ascii="Garamond" w:hAnsi="Garamond"/>
          <w:iCs/>
          <w:color w:val="000000"/>
          <w:kern w:val="1"/>
          <w:sz w:val="22"/>
        </w:rPr>
        <w:t xml:space="preserve">To what extent were IASC core humanitarian programming principles and guidance applied? </w:t>
      </w:r>
    </w:p>
    <w:p w:rsidR="005E4259" w:rsidRPr="000C3C75" w:rsidRDefault="008A2A8A" w:rsidP="008A2A8A">
      <w:pPr>
        <w:pStyle w:val="BodyText"/>
        <w:spacing w:after="0" w:line="240" w:lineRule="auto"/>
        <w:jc w:val="both"/>
        <w:rPr>
          <w:rFonts w:ascii="Garamond" w:hAnsi="Garamond"/>
          <w:iCs/>
          <w:color w:val="000000"/>
          <w:kern w:val="1"/>
          <w:sz w:val="22"/>
        </w:rPr>
      </w:pPr>
      <w:r w:rsidRPr="000C3C75">
        <w:rPr>
          <w:rFonts w:ascii="Garamond" w:hAnsi="Garamond"/>
          <w:iCs/>
          <w:color w:val="000000"/>
          <w:kern w:val="1"/>
          <w:sz w:val="22"/>
        </w:rPr>
        <w:br/>
        <w:t xml:space="preserve">In addition to these core questions, the evaluation team will develop context-specific sub-questions during the inception phase of each IAHE. </w:t>
      </w:r>
    </w:p>
    <w:p w:rsidR="008A2A8A" w:rsidRPr="00134E59" w:rsidRDefault="008A2A8A" w:rsidP="008A2A8A">
      <w:pPr>
        <w:pStyle w:val="BodyText"/>
        <w:spacing w:line="240" w:lineRule="auto"/>
        <w:rPr>
          <w:rFonts w:ascii="Garamond" w:hAnsi="Garamond"/>
          <w:b/>
          <w:iCs/>
          <w:color w:val="4F81BD"/>
          <w:kern w:val="1"/>
          <w:sz w:val="22"/>
        </w:rPr>
      </w:pPr>
      <w:r w:rsidRPr="000C3C75">
        <w:rPr>
          <w:rFonts w:ascii="Garamond" w:hAnsi="Garamond"/>
          <w:b/>
          <w:iCs/>
          <w:color w:val="000000"/>
          <w:kern w:val="1"/>
          <w:sz w:val="22"/>
        </w:rPr>
        <w:br/>
      </w:r>
      <w:r w:rsidRPr="00134E59">
        <w:rPr>
          <w:rFonts w:ascii="Garamond" w:hAnsi="Garamond"/>
          <w:b/>
          <w:iCs/>
          <w:color w:val="4F81BD"/>
          <w:kern w:val="1"/>
          <w:sz w:val="22"/>
        </w:rPr>
        <w:t>What informs the IAHE analysis?</w:t>
      </w:r>
    </w:p>
    <w:p w:rsidR="008A2A8A" w:rsidRPr="000C3C75" w:rsidRDefault="008A2A8A" w:rsidP="008A2A8A">
      <w:pPr>
        <w:pStyle w:val="BodyText"/>
        <w:spacing w:line="240" w:lineRule="auto"/>
        <w:rPr>
          <w:rFonts w:ascii="Garamond" w:hAnsi="Garamond"/>
          <w:iCs/>
          <w:color w:val="000000"/>
          <w:kern w:val="1"/>
          <w:sz w:val="22"/>
        </w:rPr>
      </w:pPr>
      <w:r w:rsidRPr="000C3C75">
        <w:rPr>
          <w:rFonts w:ascii="Garamond" w:hAnsi="Garamond"/>
          <w:iCs/>
          <w:color w:val="000000"/>
          <w:kern w:val="1"/>
          <w:sz w:val="22"/>
        </w:rPr>
        <w:t>The evaluative analysis will be informed by:</w:t>
      </w:r>
    </w:p>
    <w:p w:rsidR="008A2A8A" w:rsidRPr="000C3C75" w:rsidRDefault="008A2A8A" w:rsidP="008A2A8A">
      <w:pPr>
        <w:pStyle w:val="ListParagraph"/>
        <w:numPr>
          <w:ilvl w:val="0"/>
          <w:numId w:val="23"/>
        </w:numPr>
        <w:spacing w:after="0" w:line="240" w:lineRule="auto"/>
        <w:ind w:left="360"/>
        <w:jc w:val="both"/>
        <w:rPr>
          <w:rFonts w:ascii="Garamond" w:hAnsi="Garamond" w:cs="Arial"/>
          <w:bCs/>
          <w:color w:val="1D1B11"/>
        </w:rPr>
      </w:pPr>
      <w:r w:rsidRPr="000C3C75">
        <w:rPr>
          <w:rFonts w:ascii="Garamond" w:hAnsi="Garamond" w:cs="Arial"/>
          <w:bCs/>
          <w:color w:val="1D1B11"/>
        </w:rPr>
        <w:t>The Strategic Response Plan – as the main reference to assess whether the stated humanitarian response objectives have achieved the intended results.</w:t>
      </w:r>
    </w:p>
    <w:p w:rsidR="008A2A8A" w:rsidRPr="000C3C75" w:rsidRDefault="008A2A8A" w:rsidP="008A2A8A">
      <w:pPr>
        <w:pStyle w:val="ListParagraph"/>
        <w:numPr>
          <w:ilvl w:val="0"/>
          <w:numId w:val="23"/>
        </w:numPr>
        <w:spacing w:after="0" w:line="240" w:lineRule="auto"/>
        <w:ind w:left="360"/>
        <w:jc w:val="both"/>
        <w:rPr>
          <w:rFonts w:ascii="Garamond" w:hAnsi="Garamond" w:cs="Arial"/>
          <w:bCs/>
          <w:color w:val="1D1B11"/>
        </w:rPr>
      </w:pPr>
      <w:r w:rsidRPr="000C3C75">
        <w:rPr>
          <w:rFonts w:ascii="Garamond" w:hAnsi="Garamond" w:cs="Arial"/>
          <w:bCs/>
          <w:color w:val="1D1B11"/>
        </w:rPr>
        <w:t xml:space="preserve">The IAHE Impact Pathway (see diagram </w:t>
      </w:r>
      <w:r w:rsidR="00B01A2B">
        <w:rPr>
          <w:rFonts w:ascii="Garamond" w:hAnsi="Garamond" w:cs="Arial"/>
          <w:bCs/>
          <w:color w:val="1D1B11"/>
        </w:rPr>
        <w:t>in the next page</w:t>
      </w:r>
      <w:r w:rsidRPr="000C3C75">
        <w:rPr>
          <w:rFonts w:ascii="Garamond" w:hAnsi="Garamond" w:cs="Arial"/>
          <w:b/>
          <w:bCs/>
          <w:color w:val="1D1B11"/>
        </w:rPr>
        <w:t>)</w:t>
      </w:r>
      <w:r w:rsidRPr="000C3C75">
        <w:rPr>
          <w:rFonts w:ascii="Garamond" w:hAnsi="Garamond" w:cs="Arial"/>
          <w:bCs/>
          <w:color w:val="1D1B11"/>
        </w:rPr>
        <w:t>, which portrays crucial characteristics of an ‘ideal humanitarian response,’ t</w:t>
      </w:r>
      <w:r w:rsidR="00B01A2B">
        <w:rPr>
          <w:rFonts w:ascii="Garamond" w:hAnsi="Garamond" w:cs="Arial"/>
          <w:bCs/>
          <w:color w:val="1D1B11"/>
        </w:rPr>
        <w:t xml:space="preserve">hat </w:t>
      </w:r>
      <w:r w:rsidRPr="000C3C75">
        <w:rPr>
          <w:rFonts w:ascii="Garamond" w:hAnsi="Garamond" w:cs="Arial"/>
          <w:bCs/>
          <w:color w:val="1D1B11"/>
        </w:rPr>
        <w:t>lead</w:t>
      </w:r>
      <w:r w:rsidR="00B01A2B">
        <w:rPr>
          <w:rFonts w:ascii="Garamond" w:hAnsi="Garamond" w:cs="Arial"/>
          <w:bCs/>
          <w:color w:val="1D1B11"/>
        </w:rPr>
        <w:t>s</w:t>
      </w:r>
      <w:r w:rsidRPr="000C3C75">
        <w:rPr>
          <w:rFonts w:ascii="Garamond" w:hAnsi="Garamond" w:cs="Arial"/>
          <w:bCs/>
          <w:color w:val="1D1B11"/>
        </w:rPr>
        <w:t xml:space="preserve"> to the effective and coherent delivery of assistance.</w:t>
      </w:r>
    </w:p>
    <w:p w:rsidR="008A2A8A" w:rsidRPr="000C3C75" w:rsidRDefault="008A2A8A" w:rsidP="008A2A8A">
      <w:pPr>
        <w:pStyle w:val="ListParagraph"/>
        <w:numPr>
          <w:ilvl w:val="0"/>
          <w:numId w:val="23"/>
        </w:numPr>
        <w:spacing w:after="0" w:line="240" w:lineRule="auto"/>
        <w:ind w:left="360"/>
        <w:jc w:val="both"/>
        <w:rPr>
          <w:rFonts w:ascii="Garamond" w:hAnsi="Garamond" w:cs="Arial"/>
          <w:bCs/>
          <w:color w:val="1D1B11"/>
        </w:rPr>
      </w:pPr>
      <w:r w:rsidRPr="000C3C75">
        <w:rPr>
          <w:rFonts w:ascii="Garamond" w:hAnsi="Garamond" w:cs="Arial"/>
          <w:bCs/>
          <w:color w:val="1D1B11"/>
        </w:rPr>
        <w:t>Consultations with affected communities.</w:t>
      </w:r>
    </w:p>
    <w:p w:rsidR="008A2A8A" w:rsidRPr="000C3C75" w:rsidRDefault="008A2A8A" w:rsidP="008A2A8A">
      <w:pPr>
        <w:pStyle w:val="ListParagraph"/>
        <w:spacing w:after="0" w:line="240" w:lineRule="auto"/>
        <w:ind w:left="360"/>
        <w:jc w:val="both"/>
        <w:rPr>
          <w:rFonts w:ascii="Garamond" w:hAnsi="Garamond" w:cs="Arial"/>
          <w:bCs/>
          <w:color w:val="1D1B11"/>
        </w:rPr>
      </w:pPr>
    </w:p>
    <w:p w:rsidR="008A2A8A" w:rsidRPr="00134E59" w:rsidRDefault="008A2A8A" w:rsidP="008A2A8A">
      <w:pPr>
        <w:pStyle w:val="ListParagraph"/>
        <w:spacing w:after="0" w:line="240" w:lineRule="auto"/>
        <w:ind w:left="0"/>
        <w:jc w:val="both"/>
        <w:rPr>
          <w:rFonts w:ascii="Garamond" w:hAnsi="Garamond" w:cs="Arial"/>
          <w:b/>
          <w:bCs/>
          <w:color w:val="4F81BD"/>
        </w:rPr>
      </w:pPr>
      <w:r w:rsidRPr="00134E59">
        <w:rPr>
          <w:rFonts w:ascii="Garamond" w:hAnsi="Garamond" w:cs="Arial"/>
          <w:b/>
          <w:bCs/>
          <w:color w:val="4F81BD"/>
        </w:rPr>
        <w:t>How are IAHE results presented?</w:t>
      </w:r>
    </w:p>
    <w:p w:rsidR="008A2A8A" w:rsidRPr="000C3C75" w:rsidRDefault="008A2A8A" w:rsidP="008A2A8A">
      <w:pPr>
        <w:pStyle w:val="ListParagraph"/>
        <w:spacing w:after="0" w:line="240" w:lineRule="auto"/>
        <w:ind w:left="360"/>
        <w:jc w:val="both"/>
        <w:rPr>
          <w:rFonts w:ascii="Garamond" w:hAnsi="Garamond" w:cs="Arial"/>
          <w:bCs/>
          <w:color w:val="1D1B11"/>
        </w:rPr>
      </w:pPr>
    </w:p>
    <w:p w:rsidR="008A2A8A" w:rsidRPr="008A2A8A" w:rsidRDefault="008A2A8A" w:rsidP="00937E7E">
      <w:pPr>
        <w:tabs>
          <w:tab w:val="left" w:pos="0"/>
          <w:tab w:val="left" w:pos="720"/>
        </w:tabs>
        <w:spacing w:line="240" w:lineRule="auto"/>
        <w:jc w:val="both"/>
        <w:rPr>
          <w:rFonts w:ascii="Garamond" w:hAnsi="Garamond" w:cs="Arial"/>
          <w:bCs/>
          <w:color w:val="1D1B11"/>
          <w:sz w:val="24"/>
          <w:szCs w:val="24"/>
        </w:rPr>
      </w:pPr>
      <w:r w:rsidRPr="000C3C75">
        <w:rPr>
          <w:rFonts w:ascii="Garamond" w:hAnsi="Garamond"/>
          <w:color w:val="000000"/>
        </w:rPr>
        <w:t xml:space="preserve">IAHE results are available to the public. Final evaluations reports are published on Relief Web, ALNAP, OCHA Online, and on the IASC website, as well as on participating agencies’ websites. The only exception to this policy applies in certain situations when sensitive information relative to political or other contexts must remain confidential. IAHE results are also presented to a variety of stakeholders, including HC/HCT, EDG, etc. IAHEs place special emphasis in disseminating </w:t>
      </w:r>
      <w:r w:rsidRPr="000C3C75">
        <w:rPr>
          <w:rFonts w:ascii="Garamond" w:hAnsi="Garamond"/>
          <w:color w:val="000000"/>
        </w:rPr>
        <w:lastRenderedPageBreak/>
        <w:t>results to affected communities, through presentations, briefings and other means.</w:t>
      </w:r>
      <w:r w:rsidR="00937E7E" w:rsidRPr="008A2A8A">
        <w:rPr>
          <w:rFonts w:ascii="Garamond" w:hAnsi="Garamond" w:cs="Arial"/>
          <w:bCs/>
          <w:color w:val="1D1B11"/>
          <w:sz w:val="24"/>
          <w:szCs w:val="24"/>
        </w:rPr>
        <w:t xml:space="preserve"> </w:t>
      </w:r>
    </w:p>
    <w:tbl>
      <w:tblPr>
        <w:tblW w:w="4435"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5"/>
        <w:gridCol w:w="3330"/>
      </w:tblGrid>
      <w:tr w:rsidR="00134E59" w:rsidRPr="00CE317A" w:rsidTr="00134E59">
        <w:tc>
          <w:tcPr>
            <w:tcW w:w="4435" w:type="dxa"/>
            <w:gridSpan w:val="2"/>
            <w:tcBorders>
              <w:top w:val="nil"/>
              <w:left w:val="nil"/>
              <w:bottom w:val="single" w:sz="4" w:space="0" w:color="auto"/>
              <w:right w:val="nil"/>
            </w:tcBorders>
            <w:shd w:val="clear" w:color="auto" w:fill="auto"/>
            <w:vAlign w:val="center"/>
          </w:tcPr>
          <w:p w:rsidR="00B01A2B" w:rsidRPr="00134E59" w:rsidRDefault="00B01A2B" w:rsidP="00134E59">
            <w:pPr>
              <w:suppressAutoHyphens/>
              <w:spacing w:after="0" w:line="240" w:lineRule="auto"/>
              <w:jc w:val="center"/>
              <w:rPr>
                <w:rFonts w:ascii="Garamond" w:eastAsia="Times New Roman" w:hAnsi="Garamond" w:cs="Arial"/>
                <w:b/>
                <w:smallCaps/>
                <w:noProof/>
                <w:color w:val="0070C0"/>
                <w:sz w:val="24"/>
                <w:szCs w:val="24"/>
                <w:lang w:val="en-US"/>
              </w:rPr>
            </w:pPr>
            <w:r w:rsidRPr="00134E59">
              <w:rPr>
                <w:rFonts w:ascii="Garamond" w:eastAsia="Times New Roman" w:hAnsi="Garamond" w:cs="Arial"/>
                <w:b/>
                <w:smallCaps/>
                <w:noProof/>
                <w:color w:val="0070C0"/>
                <w:sz w:val="24"/>
                <w:szCs w:val="24"/>
                <w:lang w:val="en-US"/>
              </w:rPr>
              <w:t>Coordinated Humanitarian Action</w:t>
            </w:r>
          </w:p>
          <w:p w:rsidR="00B01A2B" w:rsidRPr="00134E59" w:rsidRDefault="00B01A2B" w:rsidP="00134E59">
            <w:pPr>
              <w:suppressAutoHyphens/>
              <w:spacing w:after="0" w:line="240" w:lineRule="auto"/>
              <w:jc w:val="center"/>
              <w:rPr>
                <w:rFonts w:ascii="Garamond" w:eastAsia="Times New Roman" w:hAnsi="Garamond" w:cs="Arial"/>
                <w:b/>
                <w:smallCaps/>
                <w:noProof/>
                <w:color w:val="0070C0"/>
                <w:sz w:val="24"/>
                <w:szCs w:val="24"/>
                <w:lang w:val="en-US"/>
              </w:rPr>
            </w:pPr>
            <w:r w:rsidRPr="00134E59">
              <w:rPr>
                <w:rFonts w:ascii="Garamond" w:eastAsia="Times New Roman" w:hAnsi="Garamond" w:cs="Arial"/>
                <w:b/>
                <w:smallCaps/>
                <w:noProof/>
                <w:color w:val="0070C0"/>
                <w:sz w:val="24"/>
                <w:szCs w:val="24"/>
                <w:lang w:val="en-US"/>
              </w:rPr>
              <w:t>Theory of Change/Impact Pathway</w:t>
            </w:r>
            <w:r w:rsidRPr="00134E59">
              <w:rPr>
                <w:rFonts w:ascii="Garamond" w:eastAsia="Times New Roman" w:hAnsi="Garamond" w:cs="Arial"/>
                <w:b/>
                <w:smallCaps/>
                <w:noProof/>
                <w:color w:val="0070C0"/>
                <w:sz w:val="24"/>
                <w:szCs w:val="24"/>
                <w:lang w:val="en-US"/>
              </w:rPr>
              <w:br/>
            </w:r>
          </w:p>
        </w:tc>
      </w:tr>
      <w:tr w:rsidR="00134E59" w:rsidRPr="00CE317A" w:rsidTr="00134E59">
        <w:tc>
          <w:tcPr>
            <w:tcW w:w="1105" w:type="dxa"/>
            <w:vMerge w:val="restart"/>
            <w:tcBorders>
              <w:top w:val="single" w:sz="4" w:space="0" w:color="auto"/>
              <w:left w:val="single" w:sz="4" w:space="0" w:color="auto"/>
              <w:right w:val="single" w:sz="4" w:space="0" w:color="auto"/>
            </w:tcBorders>
            <w:shd w:val="clear" w:color="auto" w:fill="F2F2F2"/>
            <w:vAlign w:val="center"/>
          </w:tcPr>
          <w:p w:rsidR="00B01A2B" w:rsidRPr="00134E59" w:rsidRDefault="00B01A2B" w:rsidP="00134E59">
            <w:pPr>
              <w:suppressAutoHyphens/>
              <w:spacing w:after="0" w:line="240" w:lineRule="auto"/>
              <w:jc w:val="center"/>
              <w:rPr>
                <w:rFonts w:ascii="Garamond" w:eastAsia="Times New Roman" w:hAnsi="Garamond" w:cs="Arial"/>
                <w:bCs/>
                <w:color w:val="0070C0"/>
                <w:sz w:val="20"/>
                <w:szCs w:val="20"/>
                <w:lang w:val="en-US"/>
              </w:rPr>
            </w:pPr>
          </w:p>
          <w:p w:rsidR="00B01A2B" w:rsidRPr="00134E59" w:rsidRDefault="00B01A2B" w:rsidP="00134E59">
            <w:pPr>
              <w:suppressAutoHyphens/>
              <w:spacing w:after="0" w:line="240" w:lineRule="auto"/>
              <w:jc w:val="center"/>
              <w:rPr>
                <w:rFonts w:ascii="Garamond" w:eastAsia="Times New Roman" w:hAnsi="Garamond" w:cs="Arial"/>
                <w:bCs/>
                <w:color w:val="0070C0"/>
                <w:sz w:val="20"/>
                <w:szCs w:val="20"/>
                <w:lang w:val="en-US"/>
              </w:rPr>
            </w:pPr>
            <w:r w:rsidRPr="00134E59">
              <w:rPr>
                <w:rFonts w:ascii="Garamond" w:eastAsia="Times New Roman" w:hAnsi="Garamond" w:cs="Arial"/>
                <w:b/>
                <w:bCs/>
                <w:color w:val="0070C0"/>
                <w:sz w:val="20"/>
                <w:szCs w:val="20"/>
                <w:lang w:val="en-US"/>
              </w:rPr>
              <w:t xml:space="preserve">Longer-Term Impact </w:t>
            </w:r>
          </w:p>
          <w:p w:rsidR="00B01A2B" w:rsidRPr="00134E59" w:rsidRDefault="00B01A2B" w:rsidP="00134E59">
            <w:pPr>
              <w:suppressAutoHyphens/>
              <w:spacing w:after="0" w:line="240" w:lineRule="auto"/>
              <w:jc w:val="center"/>
              <w:rPr>
                <w:rFonts w:ascii="Garamond" w:eastAsia="Times New Roman" w:hAnsi="Garamond" w:cs="Arial"/>
                <w:bCs/>
                <w:color w:val="0070C0"/>
                <w:sz w:val="20"/>
                <w:szCs w:val="20"/>
                <w:lang w:val="en-US"/>
              </w:rPr>
            </w:pPr>
          </w:p>
        </w:tc>
        <w:tc>
          <w:tcPr>
            <w:tcW w:w="3330" w:type="dxa"/>
            <w:tcBorders>
              <w:top w:val="single" w:sz="4" w:space="0" w:color="auto"/>
              <w:left w:val="single" w:sz="4" w:space="0" w:color="auto"/>
              <w:bottom w:val="single" w:sz="4" w:space="0" w:color="auto"/>
              <w:right w:val="single" w:sz="4" w:space="0" w:color="auto"/>
            </w:tcBorders>
            <w:shd w:val="clear" w:color="auto" w:fill="DBE5F1"/>
            <w:vAlign w:val="center"/>
          </w:tcPr>
          <w:p w:rsidR="00B01A2B" w:rsidRPr="00134E59" w:rsidRDefault="00B01A2B" w:rsidP="00134E59">
            <w:pPr>
              <w:suppressAutoHyphens/>
              <w:spacing w:after="0" w:line="240" w:lineRule="auto"/>
              <w:rPr>
                <w:rFonts w:ascii="Garamond" w:eastAsia="Times New Roman" w:hAnsi="Garamond" w:cs="Arial"/>
                <w:smallCaps/>
                <w:noProof/>
                <w:color w:val="1D1B11"/>
                <w:sz w:val="20"/>
                <w:szCs w:val="20"/>
                <w:lang w:val="en-US"/>
              </w:rPr>
            </w:pPr>
            <w:r w:rsidRPr="00134E59">
              <w:rPr>
                <w:rFonts w:ascii="Garamond" w:eastAsia="Times New Roman" w:hAnsi="Garamond" w:cs="Arial"/>
                <w:smallCaps/>
                <w:noProof/>
                <w:color w:val="1D1B11"/>
                <w:sz w:val="20"/>
                <w:szCs w:val="20"/>
                <w:lang w:val="en-US"/>
              </w:rPr>
              <w:t>Affected people protected, well-being and capacity to withstand/cope with/adapt to shocks improved</w:t>
            </w:r>
          </w:p>
        </w:tc>
      </w:tr>
      <w:tr w:rsidR="00134E59" w:rsidRPr="00CE317A" w:rsidTr="00134E59">
        <w:tc>
          <w:tcPr>
            <w:tcW w:w="1105" w:type="dxa"/>
            <w:vMerge/>
            <w:tcBorders>
              <w:left w:val="single" w:sz="4" w:space="0" w:color="auto"/>
              <w:bottom w:val="single" w:sz="4" w:space="0" w:color="auto"/>
              <w:right w:val="single" w:sz="4" w:space="0" w:color="auto"/>
            </w:tcBorders>
            <w:shd w:val="clear" w:color="auto" w:fill="F2F2F2"/>
            <w:vAlign w:val="center"/>
          </w:tcPr>
          <w:p w:rsidR="00B01A2B" w:rsidRPr="00134E59" w:rsidRDefault="00B01A2B" w:rsidP="00134E59">
            <w:pPr>
              <w:suppressAutoHyphens/>
              <w:spacing w:after="0" w:line="240" w:lineRule="auto"/>
              <w:jc w:val="center"/>
              <w:rPr>
                <w:rFonts w:ascii="Garamond" w:eastAsia="Times New Roman" w:hAnsi="Garamond" w:cs="Arial"/>
                <w:bCs/>
                <w:color w:val="0070C0"/>
                <w:sz w:val="20"/>
                <w:szCs w:val="20"/>
                <w:lang w:val="en-US"/>
              </w:rPr>
            </w:pPr>
          </w:p>
        </w:tc>
        <w:tc>
          <w:tcPr>
            <w:tcW w:w="3330" w:type="dxa"/>
            <w:tcBorders>
              <w:top w:val="single" w:sz="4" w:space="0" w:color="auto"/>
              <w:left w:val="single" w:sz="4" w:space="0" w:color="auto"/>
              <w:bottom w:val="single" w:sz="4" w:space="0" w:color="auto"/>
              <w:right w:val="single" w:sz="4" w:space="0" w:color="auto"/>
            </w:tcBorders>
            <w:shd w:val="clear" w:color="auto" w:fill="DBE5F1"/>
            <w:vAlign w:val="center"/>
          </w:tcPr>
          <w:p w:rsidR="00B01A2B" w:rsidRPr="00134E59" w:rsidRDefault="00B01A2B" w:rsidP="00134E59">
            <w:pPr>
              <w:suppressAutoHyphens/>
              <w:spacing w:after="0" w:line="240" w:lineRule="auto"/>
              <w:rPr>
                <w:rFonts w:ascii="Garamond" w:eastAsia="Times New Roman" w:hAnsi="Garamond" w:cs="Arial"/>
                <w:smallCaps/>
                <w:noProof/>
                <w:color w:val="1D1B11"/>
                <w:sz w:val="20"/>
                <w:szCs w:val="20"/>
                <w:lang w:val="en-US"/>
              </w:rPr>
            </w:pPr>
            <w:r w:rsidRPr="00134E59">
              <w:rPr>
                <w:rFonts w:ascii="Garamond" w:eastAsia="Times New Roman" w:hAnsi="Garamond" w:cs="Arial"/>
                <w:smallCaps/>
                <w:noProof/>
                <w:color w:val="1D1B11"/>
                <w:sz w:val="20"/>
                <w:szCs w:val="20"/>
                <w:lang w:val="en-US"/>
              </w:rPr>
              <w:t>National preparedness and emergency response capacity improved</w:t>
            </w:r>
          </w:p>
        </w:tc>
      </w:tr>
      <w:tr w:rsidR="00134E59" w:rsidRPr="00CE317A" w:rsidTr="00134E59">
        <w:tc>
          <w:tcPr>
            <w:tcW w:w="4435" w:type="dxa"/>
            <w:gridSpan w:val="2"/>
            <w:tcBorders>
              <w:top w:val="single" w:sz="4" w:space="0" w:color="auto"/>
              <w:left w:val="nil"/>
              <w:bottom w:val="single" w:sz="4" w:space="0" w:color="auto"/>
              <w:right w:val="nil"/>
            </w:tcBorders>
            <w:shd w:val="clear" w:color="auto" w:fill="auto"/>
            <w:vAlign w:val="center"/>
          </w:tcPr>
          <w:p w:rsidR="00B01A2B" w:rsidRPr="00134E59" w:rsidRDefault="00B01A2B" w:rsidP="00134E59">
            <w:pPr>
              <w:suppressAutoHyphens/>
              <w:spacing w:after="0" w:line="240" w:lineRule="auto"/>
              <w:jc w:val="center"/>
              <w:rPr>
                <w:rFonts w:ascii="Garamond" w:eastAsia="Times New Roman" w:hAnsi="Garamond" w:cs="Arial"/>
                <w:b/>
                <w:smallCaps/>
                <w:noProof/>
                <w:color w:val="0070C0"/>
                <w:sz w:val="20"/>
                <w:szCs w:val="20"/>
                <w:lang w:val="en-US"/>
              </w:rPr>
            </w:pPr>
            <w:r w:rsidRPr="00134E59">
              <w:rPr>
                <w:rFonts w:ascii="Garamond" w:eastAsia="Times New Roman" w:hAnsi="Garamond" w:cs="Arial"/>
                <w:b/>
                <w:smallCaps/>
                <w:noProof/>
                <w:color w:val="0070C0"/>
                <w:sz w:val="20"/>
                <w:szCs w:val="20"/>
                <w:lang w:val="en-US"/>
              </w:rPr>
              <w:t>↑                 ↑                 ↑                 ↑                 ↑</w:t>
            </w:r>
          </w:p>
        </w:tc>
      </w:tr>
      <w:tr w:rsidR="00134E59" w:rsidRPr="00CE317A" w:rsidTr="00134E59">
        <w:tc>
          <w:tcPr>
            <w:tcW w:w="1105" w:type="dxa"/>
            <w:vMerge w:val="restart"/>
            <w:tcBorders>
              <w:top w:val="single" w:sz="4" w:space="0" w:color="auto"/>
              <w:left w:val="single" w:sz="4" w:space="0" w:color="auto"/>
              <w:right w:val="single" w:sz="4" w:space="0" w:color="auto"/>
            </w:tcBorders>
            <w:shd w:val="clear" w:color="auto" w:fill="F2F2F2"/>
            <w:vAlign w:val="center"/>
          </w:tcPr>
          <w:p w:rsidR="00B01A2B" w:rsidRPr="00134E59" w:rsidRDefault="00B01A2B" w:rsidP="00134E59">
            <w:pPr>
              <w:suppressAutoHyphens/>
              <w:spacing w:after="0" w:line="240" w:lineRule="auto"/>
              <w:jc w:val="center"/>
              <w:rPr>
                <w:rFonts w:ascii="Garamond" w:eastAsia="Times New Roman" w:hAnsi="Garamond" w:cs="Arial"/>
                <w:b/>
                <w:bCs/>
                <w:color w:val="0070C0"/>
                <w:sz w:val="20"/>
                <w:szCs w:val="20"/>
                <w:lang w:val="en-US"/>
              </w:rPr>
            </w:pPr>
            <w:r w:rsidRPr="00134E59">
              <w:rPr>
                <w:rFonts w:ascii="Garamond" w:eastAsia="Times New Roman" w:hAnsi="Garamond" w:cs="Arial"/>
                <w:b/>
                <w:bCs/>
                <w:color w:val="0070C0"/>
                <w:sz w:val="20"/>
                <w:szCs w:val="20"/>
                <w:lang w:val="en-US"/>
              </w:rPr>
              <w:t>Early Impact</w:t>
            </w:r>
          </w:p>
          <w:p w:rsidR="00B01A2B" w:rsidRPr="00134E59" w:rsidRDefault="00B01A2B" w:rsidP="00134E59">
            <w:pPr>
              <w:suppressAutoHyphens/>
              <w:spacing w:after="0" w:line="240" w:lineRule="auto"/>
              <w:ind w:left="270"/>
              <w:jc w:val="center"/>
              <w:rPr>
                <w:rFonts w:ascii="Garamond" w:eastAsia="Times New Roman" w:hAnsi="Garamond" w:cs="Arial"/>
                <w:bCs/>
                <w:i/>
                <w:color w:val="0070C0"/>
                <w:sz w:val="20"/>
                <w:szCs w:val="20"/>
                <w:lang w:val="en-US"/>
              </w:rPr>
            </w:pPr>
          </w:p>
        </w:tc>
        <w:tc>
          <w:tcPr>
            <w:tcW w:w="3330" w:type="dxa"/>
            <w:tcBorders>
              <w:top w:val="single" w:sz="4" w:space="0" w:color="auto"/>
              <w:left w:val="single" w:sz="4" w:space="0" w:color="auto"/>
              <w:bottom w:val="single" w:sz="4" w:space="0" w:color="auto"/>
              <w:right w:val="single" w:sz="4" w:space="0" w:color="auto"/>
            </w:tcBorders>
            <w:shd w:val="clear" w:color="auto" w:fill="DBE5F1"/>
            <w:vAlign w:val="center"/>
          </w:tcPr>
          <w:p w:rsidR="00B01A2B" w:rsidRPr="00134E59" w:rsidRDefault="00B01A2B" w:rsidP="00134E59">
            <w:pPr>
              <w:suppressAutoHyphens/>
              <w:spacing w:after="0" w:line="240" w:lineRule="auto"/>
              <w:rPr>
                <w:rFonts w:ascii="Garamond" w:eastAsia="Times New Roman" w:hAnsi="Garamond" w:cs="Arial"/>
                <w:smallCaps/>
                <w:noProof/>
                <w:color w:val="1D1B11"/>
                <w:sz w:val="20"/>
                <w:szCs w:val="20"/>
                <w:lang w:val="en-US"/>
              </w:rPr>
            </w:pPr>
            <w:r w:rsidRPr="00134E59">
              <w:rPr>
                <w:rFonts w:ascii="Garamond" w:eastAsia="Times New Roman" w:hAnsi="Garamond" w:cs="Arial"/>
                <w:smallCaps/>
                <w:noProof/>
                <w:color w:val="1D1B11"/>
                <w:sz w:val="20"/>
                <w:szCs w:val="20"/>
                <w:lang w:val="en-US"/>
              </w:rPr>
              <w:t>people protected</w:t>
            </w:r>
          </w:p>
        </w:tc>
      </w:tr>
      <w:tr w:rsidR="00134E59" w:rsidRPr="00CE317A" w:rsidTr="00134E59">
        <w:tc>
          <w:tcPr>
            <w:tcW w:w="1105" w:type="dxa"/>
            <w:vMerge/>
            <w:tcBorders>
              <w:left w:val="single" w:sz="4" w:space="0" w:color="auto"/>
              <w:right w:val="single" w:sz="4" w:space="0" w:color="auto"/>
            </w:tcBorders>
            <w:shd w:val="clear" w:color="auto" w:fill="F2F2F2"/>
            <w:vAlign w:val="center"/>
          </w:tcPr>
          <w:p w:rsidR="00B01A2B" w:rsidRPr="00134E59" w:rsidRDefault="00B01A2B" w:rsidP="00134E59">
            <w:pPr>
              <w:suppressAutoHyphens/>
              <w:spacing w:after="0" w:line="240" w:lineRule="auto"/>
              <w:jc w:val="center"/>
              <w:rPr>
                <w:rFonts w:ascii="Garamond" w:eastAsia="Times New Roman" w:hAnsi="Garamond" w:cs="Arial"/>
                <w:b/>
                <w:bCs/>
                <w:color w:val="0070C0"/>
                <w:sz w:val="20"/>
                <w:szCs w:val="20"/>
                <w:lang w:val="en-US"/>
              </w:rPr>
            </w:pPr>
          </w:p>
        </w:tc>
        <w:tc>
          <w:tcPr>
            <w:tcW w:w="3330" w:type="dxa"/>
            <w:tcBorders>
              <w:top w:val="single" w:sz="4" w:space="0" w:color="auto"/>
              <w:left w:val="single" w:sz="4" w:space="0" w:color="auto"/>
              <w:bottom w:val="single" w:sz="4" w:space="0" w:color="auto"/>
              <w:right w:val="single" w:sz="4" w:space="0" w:color="auto"/>
            </w:tcBorders>
            <w:shd w:val="clear" w:color="auto" w:fill="DBE5F1"/>
            <w:vAlign w:val="center"/>
          </w:tcPr>
          <w:p w:rsidR="00B01A2B" w:rsidRPr="00134E59" w:rsidRDefault="00B01A2B" w:rsidP="00134E59">
            <w:pPr>
              <w:suppressAutoHyphens/>
              <w:spacing w:after="0" w:line="240" w:lineRule="auto"/>
              <w:rPr>
                <w:rFonts w:ascii="Garamond" w:eastAsia="Times New Roman" w:hAnsi="Garamond" w:cs="Arial"/>
                <w:smallCaps/>
                <w:noProof/>
                <w:color w:val="1D1B11"/>
                <w:sz w:val="20"/>
                <w:szCs w:val="20"/>
                <w:lang w:val="en-US"/>
              </w:rPr>
            </w:pPr>
            <w:r w:rsidRPr="00134E59">
              <w:rPr>
                <w:rFonts w:ascii="Garamond" w:eastAsia="Times New Roman" w:hAnsi="Garamond" w:cs="Arial"/>
                <w:smallCaps/>
                <w:noProof/>
                <w:color w:val="1D1B11"/>
                <w:sz w:val="20"/>
                <w:szCs w:val="20"/>
                <w:lang w:val="en-US"/>
              </w:rPr>
              <w:t>lives saved and livelihoods secured</w:t>
            </w:r>
          </w:p>
        </w:tc>
      </w:tr>
      <w:tr w:rsidR="00134E59" w:rsidRPr="00CE317A" w:rsidTr="00134E59">
        <w:tc>
          <w:tcPr>
            <w:tcW w:w="1105" w:type="dxa"/>
            <w:vMerge/>
            <w:tcBorders>
              <w:left w:val="single" w:sz="4" w:space="0" w:color="auto"/>
              <w:bottom w:val="single" w:sz="4" w:space="0" w:color="auto"/>
              <w:right w:val="single" w:sz="4" w:space="0" w:color="auto"/>
            </w:tcBorders>
            <w:shd w:val="clear" w:color="auto" w:fill="F2F2F2"/>
            <w:vAlign w:val="center"/>
          </w:tcPr>
          <w:p w:rsidR="00B01A2B" w:rsidRPr="00134E59" w:rsidRDefault="00B01A2B" w:rsidP="00134E59">
            <w:pPr>
              <w:suppressAutoHyphens/>
              <w:spacing w:after="0" w:line="240" w:lineRule="auto"/>
              <w:jc w:val="center"/>
              <w:rPr>
                <w:rFonts w:ascii="Garamond" w:eastAsia="Times New Roman" w:hAnsi="Garamond" w:cs="Arial"/>
                <w:b/>
                <w:bCs/>
                <w:color w:val="0070C0"/>
                <w:sz w:val="20"/>
                <w:szCs w:val="20"/>
                <w:lang w:val="en-US"/>
              </w:rPr>
            </w:pPr>
          </w:p>
        </w:tc>
        <w:tc>
          <w:tcPr>
            <w:tcW w:w="3330" w:type="dxa"/>
            <w:tcBorders>
              <w:top w:val="single" w:sz="4" w:space="0" w:color="auto"/>
              <w:left w:val="single" w:sz="4" w:space="0" w:color="auto"/>
              <w:bottom w:val="single" w:sz="4" w:space="0" w:color="auto"/>
              <w:right w:val="single" w:sz="4" w:space="0" w:color="auto"/>
            </w:tcBorders>
            <w:shd w:val="clear" w:color="auto" w:fill="DBE5F1"/>
            <w:vAlign w:val="center"/>
          </w:tcPr>
          <w:p w:rsidR="00B01A2B" w:rsidRPr="00134E59" w:rsidRDefault="00B01A2B" w:rsidP="00134E59">
            <w:pPr>
              <w:suppressAutoHyphens/>
              <w:spacing w:after="0" w:line="240" w:lineRule="auto"/>
              <w:rPr>
                <w:rFonts w:ascii="Garamond" w:eastAsia="Times New Roman" w:hAnsi="Garamond" w:cs="Arial"/>
                <w:smallCaps/>
                <w:noProof/>
                <w:color w:val="1D1B11"/>
                <w:sz w:val="20"/>
                <w:szCs w:val="20"/>
                <w:lang w:val="en-US"/>
              </w:rPr>
            </w:pPr>
            <w:r w:rsidRPr="00134E59">
              <w:rPr>
                <w:rFonts w:ascii="Garamond" w:eastAsia="Times New Roman" w:hAnsi="Garamond" w:cs="Arial"/>
                <w:smallCaps/>
                <w:noProof/>
                <w:color w:val="1D1B11"/>
                <w:sz w:val="20"/>
                <w:szCs w:val="20"/>
                <w:lang w:val="en-US"/>
              </w:rPr>
              <w:t>Government leadership and ownership of the response</w:t>
            </w:r>
          </w:p>
        </w:tc>
      </w:tr>
      <w:tr w:rsidR="00134E59" w:rsidRPr="00CE317A" w:rsidTr="00134E59">
        <w:tc>
          <w:tcPr>
            <w:tcW w:w="4435" w:type="dxa"/>
            <w:gridSpan w:val="2"/>
            <w:tcBorders>
              <w:top w:val="single" w:sz="4" w:space="0" w:color="auto"/>
              <w:left w:val="nil"/>
              <w:bottom w:val="single" w:sz="4" w:space="0" w:color="auto"/>
              <w:right w:val="nil"/>
            </w:tcBorders>
            <w:shd w:val="clear" w:color="auto" w:fill="auto"/>
            <w:vAlign w:val="center"/>
          </w:tcPr>
          <w:p w:rsidR="00B01A2B" w:rsidRPr="00134E59" w:rsidRDefault="00B01A2B" w:rsidP="00134E59">
            <w:pPr>
              <w:suppressAutoHyphens/>
              <w:spacing w:after="0" w:line="240" w:lineRule="auto"/>
              <w:jc w:val="center"/>
              <w:rPr>
                <w:rFonts w:ascii="Garamond" w:eastAsia="Times New Roman" w:hAnsi="Garamond" w:cs="Arial"/>
                <w:b/>
                <w:smallCaps/>
                <w:noProof/>
                <w:color w:val="0070C0"/>
                <w:sz w:val="20"/>
                <w:szCs w:val="20"/>
                <w:lang w:val="en-US"/>
              </w:rPr>
            </w:pPr>
            <w:r w:rsidRPr="00134E59">
              <w:rPr>
                <w:rFonts w:ascii="Garamond" w:eastAsia="Times New Roman" w:hAnsi="Garamond" w:cs="Arial"/>
                <w:b/>
                <w:smallCaps/>
                <w:noProof/>
                <w:color w:val="0070C0"/>
                <w:sz w:val="20"/>
                <w:szCs w:val="20"/>
                <w:lang w:val="en-US"/>
              </w:rPr>
              <w:t>↑                 ↑                 ↑                 ↑                 ↑</w:t>
            </w:r>
          </w:p>
        </w:tc>
      </w:tr>
      <w:tr w:rsidR="00134E59" w:rsidRPr="00CE317A" w:rsidTr="00134E59">
        <w:tc>
          <w:tcPr>
            <w:tcW w:w="1105" w:type="dxa"/>
            <w:vMerge w:val="restart"/>
            <w:tcBorders>
              <w:top w:val="single" w:sz="4" w:space="0" w:color="auto"/>
              <w:left w:val="single" w:sz="4" w:space="0" w:color="auto"/>
              <w:right w:val="single" w:sz="4" w:space="0" w:color="auto"/>
            </w:tcBorders>
            <w:shd w:val="clear" w:color="auto" w:fill="F2F2F2"/>
            <w:vAlign w:val="center"/>
          </w:tcPr>
          <w:p w:rsidR="00B01A2B" w:rsidRPr="00134E59" w:rsidRDefault="00B01A2B" w:rsidP="00134E59">
            <w:pPr>
              <w:suppressAutoHyphens/>
              <w:spacing w:after="0" w:line="240" w:lineRule="auto"/>
              <w:jc w:val="center"/>
              <w:rPr>
                <w:rFonts w:ascii="Garamond" w:eastAsia="Times New Roman" w:hAnsi="Garamond" w:cs="Arial"/>
                <w:bCs/>
                <w:color w:val="0070C0"/>
                <w:sz w:val="20"/>
                <w:szCs w:val="20"/>
                <w:lang w:val="en-US"/>
              </w:rPr>
            </w:pPr>
          </w:p>
          <w:p w:rsidR="00B01A2B" w:rsidRPr="00134E59" w:rsidRDefault="00B01A2B" w:rsidP="00134E59">
            <w:pPr>
              <w:suppressAutoHyphens/>
              <w:spacing w:after="0" w:line="240" w:lineRule="auto"/>
              <w:jc w:val="center"/>
              <w:rPr>
                <w:rFonts w:ascii="Garamond" w:eastAsia="Times New Roman" w:hAnsi="Garamond" w:cs="Arial"/>
                <w:b/>
                <w:bCs/>
                <w:color w:val="0070C0"/>
                <w:sz w:val="20"/>
                <w:szCs w:val="20"/>
                <w:lang w:val="en-US"/>
              </w:rPr>
            </w:pPr>
            <w:r w:rsidRPr="00134E59">
              <w:rPr>
                <w:rFonts w:ascii="Garamond" w:eastAsia="Times New Roman" w:hAnsi="Garamond" w:cs="Arial"/>
                <w:b/>
                <w:bCs/>
                <w:color w:val="0070C0"/>
                <w:sz w:val="20"/>
                <w:szCs w:val="20"/>
                <w:lang w:val="en-US"/>
              </w:rPr>
              <w:t>Outcomes</w:t>
            </w:r>
          </w:p>
        </w:tc>
        <w:tc>
          <w:tcPr>
            <w:tcW w:w="3330" w:type="dxa"/>
            <w:tcBorders>
              <w:top w:val="single" w:sz="4" w:space="0" w:color="auto"/>
              <w:left w:val="single" w:sz="4" w:space="0" w:color="auto"/>
              <w:bottom w:val="single" w:sz="4" w:space="0" w:color="auto"/>
              <w:right w:val="single" w:sz="4" w:space="0" w:color="auto"/>
            </w:tcBorders>
            <w:shd w:val="clear" w:color="auto" w:fill="DBE5F1"/>
            <w:vAlign w:val="center"/>
          </w:tcPr>
          <w:p w:rsidR="00B01A2B" w:rsidRPr="00134E59" w:rsidRDefault="00B01A2B" w:rsidP="00134E59">
            <w:pPr>
              <w:suppressAutoHyphens/>
              <w:spacing w:after="0" w:line="240" w:lineRule="auto"/>
              <w:rPr>
                <w:rFonts w:ascii="Garamond" w:eastAsia="Times New Roman" w:hAnsi="Garamond" w:cs="Arial"/>
                <w:smallCaps/>
                <w:noProof/>
                <w:color w:val="1D1B11"/>
                <w:sz w:val="20"/>
                <w:szCs w:val="20"/>
                <w:lang w:val="en-US"/>
              </w:rPr>
            </w:pPr>
            <w:r w:rsidRPr="00134E59">
              <w:rPr>
                <w:rFonts w:ascii="Garamond" w:eastAsia="Times New Roman" w:hAnsi="Garamond" w:cs="Arial"/>
                <w:smallCaps/>
                <w:noProof/>
                <w:color w:val="1D1B11"/>
                <w:sz w:val="20"/>
                <w:szCs w:val="20"/>
                <w:lang w:val="en-US"/>
              </w:rPr>
              <w:t>humanitarian access secured</w:t>
            </w:r>
          </w:p>
        </w:tc>
      </w:tr>
      <w:tr w:rsidR="00134E59" w:rsidRPr="00CE317A" w:rsidTr="00134E59">
        <w:tc>
          <w:tcPr>
            <w:tcW w:w="1105" w:type="dxa"/>
            <w:vMerge/>
            <w:tcBorders>
              <w:left w:val="single" w:sz="4" w:space="0" w:color="auto"/>
              <w:right w:val="single" w:sz="4" w:space="0" w:color="auto"/>
            </w:tcBorders>
            <w:shd w:val="clear" w:color="auto" w:fill="F2F2F2"/>
            <w:vAlign w:val="center"/>
          </w:tcPr>
          <w:p w:rsidR="00B01A2B" w:rsidRPr="00134E59" w:rsidRDefault="00B01A2B" w:rsidP="00134E59">
            <w:pPr>
              <w:suppressAutoHyphens/>
              <w:spacing w:after="0" w:line="240" w:lineRule="auto"/>
              <w:jc w:val="center"/>
              <w:rPr>
                <w:rFonts w:ascii="Garamond" w:eastAsia="Times New Roman" w:hAnsi="Garamond" w:cs="Arial"/>
                <w:bCs/>
                <w:color w:val="0070C0"/>
                <w:sz w:val="20"/>
                <w:szCs w:val="20"/>
                <w:lang w:val="en-US"/>
              </w:rPr>
            </w:pPr>
          </w:p>
        </w:tc>
        <w:tc>
          <w:tcPr>
            <w:tcW w:w="3330" w:type="dxa"/>
            <w:tcBorders>
              <w:top w:val="single" w:sz="4" w:space="0" w:color="auto"/>
              <w:left w:val="single" w:sz="4" w:space="0" w:color="auto"/>
              <w:bottom w:val="single" w:sz="4" w:space="0" w:color="auto"/>
              <w:right w:val="single" w:sz="4" w:space="0" w:color="auto"/>
            </w:tcBorders>
            <w:shd w:val="clear" w:color="auto" w:fill="DBE5F1"/>
            <w:vAlign w:val="center"/>
          </w:tcPr>
          <w:p w:rsidR="00B01A2B" w:rsidRPr="00134E59" w:rsidRDefault="00B01A2B" w:rsidP="00134E59">
            <w:pPr>
              <w:suppressAutoHyphens/>
              <w:spacing w:after="0" w:line="240" w:lineRule="auto"/>
              <w:rPr>
                <w:rFonts w:ascii="Garamond" w:eastAsia="Times New Roman" w:hAnsi="Garamond" w:cs="Arial"/>
                <w:smallCaps/>
                <w:noProof/>
                <w:color w:val="1D1B11"/>
                <w:sz w:val="20"/>
                <w:szCs w:val="20"/>
                <w:lang w:val="en-US"/>
              </w:rPr>
            </w:pPr>
            <w:r w:rsidRPr="00134E59">
              <w:rPr>
                <w:rFonts w:ascii="Garamond" w:eastAsia="Times New Roman" w:hAnsi="Garamond" w:cs="Arial"/>
                <w:smallCaps/>
                <w:noProof/>
                <w:color w:val="1D1B11"/>
                <w:sz w:val="20"/>
                <w:szCs w:val="20"/>
                <w:lang w:val="en-US"/>
              </w:rPr>
              <w:t>relevant response</w:t>
            </w:r>
          </w:p>
          <w:p w:rsidR="00B01A2B" w:rsidRPr="00134E59" w:rsidRDefault="00B01A2B" w:rsidP="00134E59">
            <w:pPr>
              <w:suppressAutoHyphens/>
              <w:spacing w:after="0" w:line="240" w:lineRule="auto"/>
              <w:rPr>
                <w:rFonts w:ascii="Garamond" w:eastAsia="Times New Roman" w:hAnsi="Garamond" w:cs="Arial"/>
                <w:smallCaps/>
                <w:noProof/>
                <w:color w:val="1D1B11"/>
                <w:sz w:val="16"/>
                <w:szCs w:val="16"/>
                <w:lang w:val="en-US"/>
              </w:rPr>
            </w:pPr>
            <w:r w:rsidRPr="00134E59">
              <w:rPr>
                <w:rFonts w:ascii="Garamond" w:eastAsia="Times New Roman" w:hAnsi="Garamond" w:cs="Arial"/>
                <w:smallCaps/>
                <w:noProof/>
                <w:color w:val="1D1B11"/>
                <w:sz w:val="16"/>
                <w:szCs w:val="16"/>
                <w:lang w:val="en-US"/>
              </w:rPr>
              <w:t xml:space="preserve">(high quality multi-sectoral)  </w:t>
            </w:r>
          </w:p>
        </w:tc>
      </w:tr>
      <w:tr w:rsidR="00134E59" w:rsidRPr="00CE317A" w:rsidTr="00134E59">
        <w:tc>
          <w:tcPr>
            <w:tcW w:w="1105" w:type="dxa"/>
            <w:vMerge/>
            <w:tcBorders>
              <w:left w:val="single" w:sz="4" w:space="0" w:color="auto"/>
              <w:right w:val="single" w:sz="4" w:space="0" w:color="auto"/>
            </w:tcBorders>
            <w:shd w:val="clear" w:color="auto" w:fill="F2F2F2"/>
            <w:vAlign w:val="center"/>
          </w:tcPr>
          <w:p w:rsidR="00B01A2B" w:rsidRPr="00134E59" w:rsidRDefault="00B01A2B" w:rsidP="00134E59">
            <w:pPr>
              <w:suppressAutoHyphens/>
              <w:spacing w:after="0" w:line="240" w:lineRule="auto"/>
              <w:jc w:val="center"/>
              <w:rPr>
                <w:rFonts w:ascii="Garamond" w:eastAsia="Times New Roman" w:hAnsi="Garamond" w:cs="Arial"/>
                <w:bCs/>
                <w:color w:val="0070C0"/>
                <w:sz w:val="20"/>
                <w:szCs w:val="20"/>
                <w:lang w:val="en-US"/>
              </w:rPr>
            </w:pPr>
          </w:p>
        </w:tc>
        <w:tc>
          <w:tcPr>
            <w:tcW w:w="3330" w:type="dxa"/>
            <w:tcBorders>
              <w:top w:val="single" w:sz="4" w:space="0" w:color="auto"/>
              <w:left w:val="single" w:sz="4" w:space="0" w:color="auto"/>
              <w:bottom w:val="single" w:sz="4" w:space="0" w:color="auto"/>
              <w:right w:val="single" w:sz="4" w:space="0" w:color="auto"/>
            </w:tcBorders>
            <w:shd w:val="clear" w:color="auto" w:fill="DBE5F1"/>
            <w:vAlign w:val="center"/>
          </w:tcPr>
          <w:p w:rsidR="00B01A2B" w:rsidRPr="00134E59" w:rsidRDefault="00B01A2B" w:rsidP="00134E59">
            <w:pPr>
              <w:suppressAutoHyphens/>
              <w:spacing w:after="0" w:line="240" w:lineRule="auto"/>
              <w:rPr>
                <w:rFonts w:ascii="Garamond" w:eastAsia="Times New Roman" w:hAnsi="Garamond" w:cs="Arial"/>
                <w:smallCaps/>
                <w:noProof/>
                <w:color w:val="1D1B11"/>
                <w:sz w:val="20"/>
                <w:szCs w:val="20"/>
                <w:lang w:val="en-US"/>
              </w:rPr>
            </w:pPr>
            <w:r w:rsidRPr="00134E59">
              <w:rPr>
                <w:rFonts w:ascii="Garamond" w:eastAsia="Times New Roman" w:hAnsi="Garamond" w:cs="Arial"/>
                <w:smallCaps/>
                <w:noProof/>
                <w:color w:val="1D1B11"/>
                <w:sz w:val="20"/>
                <w:szCs w:val="20"/>
                <w:lang w:val="en-US"/>
              </w:rPr>
              <w:t>connectedness and Coodination between hum. stakeholders</w:t>
            </w:r>
          </w:p>
        </w:tc>
      </w:tr>
      <w:tr w:rsidR="00134E59" w:rsidRPr="00CE317A" w:rsidTr="00134E59">
        <w:tc>
          <w:tcPr>
            <w:tcW w:w="1105" w:type="dxa"/>
            <w:vMerge/>
            <w:tcBorders>
              <w:left w:val="single" w:sz="4" w:space="0" w:color="auto"/>
              <w:bottom w:val="single" w:sz="4" w:space="0" w:color="auto"/>
              <w:right w:val="single" w:sz="4" w:space="0" w:color="auto"/>
            </w:tcBorders>
            <w:shd w:val="clear" w:color="auto" w:fill="F2F2F2"/>
            <w:vAlign w:val="center"/>
          </w:tcPr>
          <w:p w:rsidR="00B01A2B" w:rsidRPr="00134E59" w:rsidRDefault="00B01A2B" w:rsidP="00134E59">
            <w:pPr>
              <w:suppressAutoHyphens/>
              <w:spacing w:after="0" w:line="240" w:lineRule="auto"/>
              <w:jc w:val="center"/>
              <w:rPr>
                <w:rFonts w:ascii="Garamond" w:eastAsia="Times New Roman" w:hAnsi="Garamond" w:cs="Arial"/>
                <w:bCs/>
                <w:color w:val="0070C0"/>
                <w:sz w:val="20"/>
                <w:szCs w:val="20"/>
                <w:lang w:val="en-US"/>
              </w:rPr>
            </w:pPr>
          </w:p>
        </w:tc>
        <w:tc>
          <w:tcPr>
            <w:tcW w:w="3330" w:type="dxa"/>
            <w:tcBorders>
              <w:top w:val="single" w:sz="4" w:space="0" w:color="auto"/>
              <w:left w:val="single" w:sz="4" w:space="0" w:color="auto"/>
              <w:bottom w:val="single" w:sz="4" w:space="0" w:color="auto"/>
              <w:right w:val="single" w:sz="4" w:space="0" w:color="auto"/>
            </w:tcBorders>
            <w:shd w:val="clear" w:color="auto" w:fill="DBE5F1"/>
            <w:vAlign w:val="center"/>
          </w:tcPr>
          <w:p w:rsidR="00B01A2B" w:rsidRPr="00134E59" w:rsidRDefault="00B01A2B" w:rsidP="00134E59">
            <w:pPr>
              <w:suppressAutoHyphens/>
              <w:spacing w:after="0" w:line="240" w:lineRule="auto"/>
              <w:rPr>
                <w:rFonts w:ascii="Garamond" w:eastAsia="Times New Roman" w:hAnsi="Garamond" w:cs="Arial"/>
                <w:smallCaps/>
                <w:noProof/>
                <w:color w:val="1D1B11"/>
                <w:sz w:val="20"/>
                <w:szCs w:val="20"/>
                <w:lang w:val="en-US"/>
              </w:rPr>
            </w:pPr>
            <w:r w:rsidRPr="00134E59">
              <w:rPr>
                <w:rFonts w:ascii="Garamond" w:eastAsia="Times New Roman" w:hAnsi="Garamond" w:cs="Arial"/>
                <w:smallCaps/>
                <w:noProof/>
                <w:color w:val="1D1B11"/>
                <w:sz w:val="20"/>
                <w:szCs w:val="20"/>
                <w:lang w:val="en-US"/>
              </w:rPr>
              <w:t>Good coverage</w:t>
            </w:r>
          </w:p>
          <w:p w:rsidR="00B01A2B" w:rsidRPr="00134E59" w:rsidRDefault="00B01A2B" w:rsidP="00134E59">
            <w:pPr>
              <w:suppressAutoHyphens/>
              <w:spacing w:after="0" w:line="240" w:lineRule="auto"/>
              <w:rPr>
                <w:rFonts w:ascii="Garamond" w:eastAsia="Times New Roman" w:hAnsi="Garamond" w:cs="Arial"/>
                <w:smallCaps/>
                <w:noProof/>
                <w:color w:val="1D1B11"/>
                <w:sz w:val="20"/>
                <w:szCs w:val="20"/>
                <w:lang w:val="en-US"/>
              </w:rPr>
            </w:pPr>
            <w:r w:rsidRPr="00134E59">
              <w:rPr>
                <w:rFonts w:ascii="Garamond" w:eastAsia="Times New Roman" w:hAnsi="Garamond" w:cs="Arial"/>
                <w:smallCaps/>
                <w:noProof/>
                <w:color w:val="1D1B11"/>
                <w:sz w:val="20"/>
                <w:szCs w:val="20"/>
                <w:lang w:val="en-US"/>
              </w:rPr>
              <w:t>(</w:t>
            </w:r>
            <w:r w:rsidRPr="00134E59">
              <w:rPr>
                <w:rFonts w:ascii="Garamond" w:eastAsia="Times New Roman" w:hAnsi="Garamond" w:cs="Arial"/>
                <w:smallCaps/>
                <w:noProof/>
                <w:color w:val="1D1B11"/>
                <w:sz w:val="16"/>
                <w:szCs w:val="16"/>
                <w:lang w:val="en-US"/>
              </w:rPr>
              <w:t>equitable, fewer gaps and duplications</w:t>
            </w:r>
            <w:r w:rsidRPr="00134E59">
              <w:rPr>
                <w:rFonts w:ascii="Garamond" w:eastAsia="Times New Roman" w:hAnsi="Garamond" w:cs="Arial"/>
                <w:smallCaps/>
                <w:noProof/>
                <w:color w:val="1D1B11"/>
                <w:sz w:val="20"/>
                <w:szCs w:val="20"/>
                <w:lang w:val="en-US"/>
              </w:rPr>
              <w:t>)</w:t>
            </w:r>
          </w:p>
        </w:tc>
      </w:tr>
      <w:tr w:rsidR="00134E59" w:rsidRPr="00CE317A" w:rsidTr="00134E59">
        <w:tc>
          <w:tcPr>
            <w:tcW w:w="4435" w:type="dxa"/>
            <w:gridSpan w:val="2"/>
            <w:tcBorders>
              <w:top w:val="single" w:sz="4" w:space="0" w:color="auto"/>
              <w:left w:val="nil"/>
              <w:bottom w:val="single" w:sz="4" w:space="0" w:color="auto"/>
              <w:right w:val="nil"/>
            </w:tcBorders>
            <w:shd w:val="clear" w:color="auto" w:fill="auto"/>
            <w:vAlign w:val="center"/>
          </w:tcPr>
          <w:p w:rsidR="00B01A2B" w:rsidRPr="00134E59" w:rsidRDefault="00B01A2B" w:rsidP="00134E59">
            <w:pPr>
              <w:tabs>
                <w:tab w:val="left" w:pos="9015"/>
              </w:tabs>
              <w:suppressAutoHyphens/>
              <w:spacing w:after="0" w:line="240" w:lineRule="auto"/>
              <w:jc w:val="center"/>
              <w:rPr>
                <w:rFonts w:ascii="Garamond" w:eastAsia="Times New Roman" w:hAnsi="Garamond" w:cs="Arial"/>
                <w:b/>
                <w:smallCaps/>
                <w:noProof/>
                <w:color w:val="0070C0"/>
                <w:sz w:val="20"/>
                <w:szCs w:val="20"/>
                <w:lang w:val="en-US"/>
              </w:rPr>
            </w:pPr>
            <w:r w:rsidRPr="00134E59">
              <w:rPr>
                <w:rFonts w:ascii="Garamond" w:eastAsia="Times New Roman" w:hAnsi="Garamond" w:cs="Arial"/>
                <w:b/>
                <w:smallCaps/>
                <w:noProof/>
                <w:color w:val="0070C0"/>
                <w:sz w:val="20"/>
                <w:szCs w:val="20"/>
                <w:lang w:val="en-US"/>
              </w:rPr>
              <w:t>↑                 ↑                 ↑                 ↑</w:t>
            </w:r>
          </w:p>
        </w:tc>
      </w:tr>
      <w:tr w:rsidR="00134E59" w:rsidRPr="00CE317A" w:rsidTr="00134E59">
        <w:tc>
          <w:tcPr>
            <w:tcW w:w="1105" w:type="dxa"/>
            <w:vMerge w:val="restart"/>
            <w:tcBorders>
              <w:top w:val="single" w:sz="4" w:space="0" w:color="auto"/>
              <w:left w:val="single" w:sz="4" w:space="0" w:color="auto"/>
              <w:right w:val="single" w:sz="4" w:space="0" w:color="auto"/>
            </w:tcBorders>
            <w:shd w:val="clear" w:color="auto" w:fill="F2F2F2"/>
            <w:vAlign w:val="center"/>
          </w:tcPr>
          <w:p w:rsidR="00B01A2B" w:rsidRPr="00134E59" w:rsidRDefault="00B01A2B" w:rsidP="00134E59">
            <w:pPr>
              <w:suppressAutoHyphens/>
              <w:spacing w:after="0" w:line="240" w:lineRule="auto"/>
              <w:jc w:val="center"/>
              <w:rPr>
                <w:rFonts w:ascii="Garamond" w:eastAsia="Times New Roman" w:hAnsi="Garamond" w:cs="Arial"/>
                <w:bCs/>
                <w:color w:val="0070C0"/>
                <w:sz w:val="20"/>
                <w:szCs w:val="20"/>
                <w:lang w:val="en-US"/>
              </w:rPr>
            </w:pPr>
            <w:r w:rsidRPr="00134E59">
              <w:rPr>
                <w:rFonts w:ascii="Garamond" w:eastAsia="Times New Roman" w:hAnsi="Garamond" w:cs="Arial"/>
                <w:b/>
                <w:bCs/>
                <w:color w:val="0070C0"/>
                <w:sz w:val="20"/>
                <w:szCs w:val="20"/>
                <w:lang w:val="en-US"/>
              </w:rPr>
              <w:t>Outputs</w:t>
            </w:r>
          </w:p>
        </w:tc>
        <w:tc>
          <w:tcPr>
            <w:tcW w:w="3330" w:type="dxa"/>
            <w:tcBorders>
              <w:top w:val="single" w:sz="4" w:space="0" w:color="auto"/>
              <w:left w:val="single" w:sz="4" w:space="0" w:color="auto"/>
              <w:bottom w:val="single" w:sz="4" w:space="0" w:color="auto"/>
              <w:right w:val="single" w:sz="4" w:space="0" w:color="auto"/>
            </w:tcBorders>
            <w:shd w:val="clear" w:color="auto" w:fill="DBE5F1"/>
            <w:vAlign w:val="center"/>
          </w:tcPr>
          <w:p w:rsidR="00B01A2B" w:rsidRPr="00134E59" w:rsidRDefault="00B01A2B" w:rsidP="00134E59">
            <w:pPr>
              <w:suppressAutoHyphens/>
              <w:spacing w:after="0" w:line="240" w:lineRule="auto"/>
              <w:rPr>
                <w:rFonts w:ascii="Garamond" w:eastAsia="Times New Roman" w:hAnsi="Garamond" w:cs="Arial"/>
                <w:smallCaps/>
                <w:noProof/>
                <w:color w:val="1D1B11"/>
                <w:sz w:val="20"/>
                <w:szCs w:val="20"/>
                <w:lang w:val="en-US"/>
              </w:rPr>
            </w:pPr>
            <w:r w:rsidRPr="00134E59">
              <w:rPr>
                <w:rFonts w:ascii="Garamond" w:eastAsia="Times New Roman" w:hAnsi="Garamond" w:cs="Arial"/>
                <w:smallCaps/>
                <w:noProof/>
                <w:color w:val="1D1B11"/>
                <w:sz w:val="20"/>
                <w:szCs w:val="20"/>
                <w:lang w:val="en-US"/>
              </w:rPr>
              <w:t xml:space="preserve">coordination mechanisms </w:t>
            </w:r>
          </w:p>
        </w:tc>
      </w:tr>
      <w:tr w:rsidR="00134E59" w:rsidRPr="00CE317A" w:rsidTr="00134E59">
        <w:tc>
          <w:tcPr>
            <w:tcW w:w="1105" w:type="dxa"/>
            <w:vMerge/>
            <w:tcBorders>
              <w:left w:val="single" w:sz="4" w:space="0" w:color="auto"/>
              <w:right w:val="single" w:sz="4" w:space="0" w:color="auto"/>
            </w:tcBorders>
            <w:shd w:val="clear" w:color="auto" w:fill="F2F2F2"/>
            <w:vAlign w:val="center"/>
          </w:tcPr>
          <w:p w:rsidR="00B01A2B" w:rsidRPr="00134E59" w:rsidRDefault="00B01A2B" w:rsidP="00134E59">
            <w:pPr>
              <w:suppressAutoHyphens/>
              <w:spacing w:after="0" w:line="240" w:lineRule="auto"/>
              <w:jc w:val="center"/>
              <w:rPr>
                <w:rFonts w:ascii="Garamond" w:eastAsia="Times New Roman" w:hAnsi="Garamond" w:cs="Arial"/>
                <w:b/>
                <w:bCs/>
                <w:color w:val="0070C0"/>
                <w:sz w:val="20"/>
                <w:szCs w:val="20"/>
                <w:lang w:val="en-US"/>
              </w:rPr>
            </w:pPr>
          </w:p>
        </w:tc>
        <w:tc>
          <w:tcPr>
            <w:tcW w:w="3330" w:type="dxa"/>
            <w:tcBorders>
              <w:top w:val="single" w:sz="4" w:space="0" w:color="auto"/>
              <w:left w:val="single" w:sz="4" w:space="0" w:color="auto"/>
              <w:bottom w:val="single" w:sz="4" w:space="0" w:color="auto"/>
              <w:right w:val="single" w:sz="4" w:space="0" w:color="auto"/>
            </w:tcBorders>
            <w:shd w:val="clear" w:color="auto" w:fill="DBE5F1"/>
            <w:vAlign w:val="center"/>
          </w:tcPr>
          <w:p w:rsidR="00B01A2B" w:rsidRPr="00134E59" w:rsidRDefault="00B01A2B" w:rsidP="00134E59">
            <w:pPr>
              <w:suppressAutoHyphens/>
              <w:spacing w:after="0" w:line="240" w:lineRule="auto"/>
              <w:rPr>
                <w:rFonts w:ascii="Garamond" w:eastAsia="Times New Roman" w:hAnsi="Garamond" w:cs="Arial"/>
                <w:smallCaps/>
                <w:noProof/>
                <w:color w:val="1D1B11"/>
                <w:sz w:val="20"/>
                <w:szCs w:val="20"/>
                <w:lang w:val="en-US"/>
              </w:rPr>
            </w:pPr>
            <w:r w:rsidRPr="00134E59">
              <w:rPr>
                <w:rFonts w:ascii="Garamond" w:eastAsia="Times New Roman" w:hAnsi="Garamond" w:cs="Arial"/>
                <w:smallCaps/>
                <w:noProof/>
                <w:color w:val="1D1B11"/>
                <w:sz w:val="20"/>
                <w:szCs w:val="20"/>
                <w:lang w:val="en-US"/>
              </w:rPr>
              <w:t>Joint situation analysis</w:t>
            </w:r>
          </w:p>
        </w:tc>
      </w:tr>
      <w:tr w:rsidR="00134E59" w:rsidRPr="00CE317A" w:rsidTr="00134E59">
        <w:tc>
          <w:tcPr>
            <w:tcW w:w="1105" w:type="dxa"/>
            <w:vMerge/>
            <w:tcBorders>
              <w:left w:val="single" w:sz="4" w:space="0" w:color="auto"/>
              <w:right w:val="single" w:sz="4" w:space="0" w:color="auto"/>
            </w:tcBorders>
            <w:shd w:val="clear" w:color="auto" w:fill="F2F2F2"/>
            <w:vAlign w:val="center"/>
          </w:tcPr>
          <w:p w:rsidR="00B01A2B" w:rsidRPr="00134E59" w:rsidRDefault="00B01A2B" w:rsidP="00134E59">
            <w:pPr>
              <w:suppressAutoHyphens/>
              <w:spacing w:after="0" w:line="240" w:lineRule="auto"/>
              <w:jc w:val="center"/>
              <w:rPr>
                <w:rFonts w:ascii="Garamond" w:eastAsia="Times New Roman" w:hAnsi="Garamond" w:cs="Arial"/>
                <w:b/>
                <w:bCs/>
                <w:color w:val="0070C0"/>
                <w:sz w:val="20"/>
                <w:szCs w:val="20"/>
                <w:lang w:val="en-US"/>
              </w:rPr>
            </w:pPr>
          </w:p>
        </w:tc>
        <w:tc>
          <w:tcPr>
            <w:tcW w:w="3330" w:type="dxa"/>
            <w:tcBorders>
              <w:top w:val="single" w:sz="4" w:space="0" w:color="auto"/>
              <w:left w:val="single" w:sz="4" w:space="0" w:color="auto"/>
              <w:bottom w:val="single" w:sz="4" w:space="0" w:color="auto"/>
              <w:right w:val="single" w:sz="4" w:space="0" w:color="auto"/>
            </w:tcBorders>
            <w:shd w:val="clear" w:color="auto" w:fill="DBE5F1"/>
            <w:vAlign w:val="center"/>
          </w:tcPr>
          <w:p w:rsidR="00B01A2B" w:rsidRPr="00134E59" w:rsidRDefault="00B01A2B" w:rsidP="00134E59">
            <w:pPr>
              <w:suppressAutoHyphens/>
              <w:spacing w:after="0" w:line="240" w:lineRule="auto"/>
              <w:rPr>
                <w:rFonts w:ascii="Garamond" w:eastAsia="Times New Roman" w:hAnsi="Garamond" w:cs="Arial"/>
                <w:smallCaps/>
                <w:noProof/>
                <w:color w:val="1D1B11"/>
                <w:sz w:val="20"/>
                <w:szCs w:val="20"/>
                <w:lang w:val="en-US"/>
              </w:rPr>
            </w:pPr>
            <w:r w:rsidRPr="00134E59">
              <w:rPr>
                <w:rFonts w:ascii="Garamond" w:eastAsia="Times New Roman" w:hAnsi="Garamond" w:cs="Arial"/>
                <w:smallCaps/>
                <w:noProof/>
                <w:color w:val="1D1B11"/>
                <w:sz w:val="20"/>
                <w:szCs w:val="20"/>
                <w:lang w:val="en-US"/>
              </w:rPr>
              <w:t>joint needs and capacity assessments</w:t>
            </w:r>
          </w:p>
        </w:tc>
      </w:tr>
      <w:tr w:rsidR="00134E59" w:rsidRPr="00CE317A" w:rsidTr="00134E59">
        <w:tc>
          <w:tcPr>
            <w:tcW w:w="1105" w:type="dxa"/>
            <w:vMerge/>
            <w:tcBorders>
              <w:left w:val="single" w:sz="4" w:space="0" w:color="auto"/>
              <w:right w:val="single" w:sz="4" w:space="0" w:color="auto"/>
            </w:tcBorders>
            <w:shd w:val="clear" w:color="auto" w:fill="F2F2F2"/>
            <w:vAlign w:val="center"/>
          </w:tcPr>
          <w:p w:rsidR="00B01A2B" w:rsidRPr="00134E59" w:rsidRDefault="00B01A2B" w:rsidP="00134E59">
            <w:pPr>
              <w:suppressAutoHyphens/>
              <w:spacing w:after="0" w:line="240" w:lineRule="auto"/>
              <w:jc w:val="center"/>
              <w:rPr>
                <w:rFonts w:ascii="Garamond" w:eastAsia="Times New Roman" w:hAnsi="Garamond" w:cs="Arial"/>
                <w:b/>
                <w:bCs/>
                <w:color w:val="0070C0"/>
                <w:sz w:val="20"/>
                <w:szCs w:val="20"/>
                <w:lang w:val="en-US"/>
              </w:rPr>
            </w:pPr>
          </w:p>
        </w:tc>
        <w:tc>
          <w:tcPr>
            <w:tcW w:w="3330" w:type="dxa"/>
            <w:tcBorders>
              <w:top w:val="single" w:sz="4" w:space="0" w:color="auto"/>
              <w:left w:val="single" w:sz="4" w:space="0" w:color="auto"/>
              <w:bottom w:val="single" w:sz="4" w:space="0" w:color="auto"/>
              <w:right w:val="single" w:sz="4" w:space="0" w:color="auto"/>
            </w:tcBorders>
            <w:shd w:val="clear" w:color="auto" w:fill="DBE5F1"/>
            <w:vAlign w:val="center"/>
          </w:tcPr>
          <w:p w:rsidR="00B01A2B" w:rsidRPr="00134E59" w:rsidRDefault="00B01A2B" w:rsidP="00134E59">
            <w:pPr>
              <w:suppressAutoHyphens/>
              <w:spacing w:after="0" w:line="240" w:lineRule="auto"/>
              <w:rPr>
                <w:rFonts w:ascii="Garamond" w:eastAsia="Times New Roman" w:hAnsi="Garamond" w:cs="Arial"/>
                <w:smallCaps/>
                <w:noProof/>
                <w:color w:val="1D1B11"/>
                <w:sz w:val="20"/>
                <w:szCs w:val="20"/>
                <w:lang w:val="en-US"/>
              </w:rPr>
            </w:pPr>
            <w:r w:rsidRPr="00134E59">
              <w:rPr>
                <w:rFonts w:ascii="Garamond" w:eastAsia="Times New Roman" w:hAnsi="Garamond" w:cs="Arial"/>
                <w:smallCaps/>
                <w:noProof/>
                <w:color w:val="1D1B11"/>
                <w:sz w:val="20"/>
                <w:szCs w:val="20"/>
                <w:lang w:val="en-US"/>
              </w:rPr>
              <w:t>joint plans (erp/prp/srp)</w:t>
            </w:r>
          </w:p>
        </w:tc>
      </w:tr>
      <w:tr w:rsidR="00134E59" w:rsidRPr="00CE317A" w:rsidTr="00134E59">
        <w:tc>
          <w:tcPr>
            <w:tcW w:w="1105" w:type="dxa"/>
            <w:vMerge/>
            <w:tcBorders>
              <w:left w:val="single" w:sz="4" w:space="0" w:color="auto"/>
              <w:right w:val="single" w:sz="4" w:space="0" w:color="auto"/>
            </w:tcBorders>
            <w:shd w:val="clear" w:color="auto" w:fill="F2F2F2"/>
            <w:vAlign w:val="center"/>
          </w:tcPr>
          <w:p w:rsidR="00B01A2B" w:rsidRPr="00134E59" w:rsidRDefault="00B01A2B" w:rsidP="00134E59">
            <w:pPr>
              <w:suppressAutoHyphens/>
              <w:spacing w:after="0" w:line="240" w:lineRule="auto"/>
              <w:jc w:val="center"/>
              <w:rPr>
                <w:rFonts w:ascii="Garamond" w:eastAsia="Times New Roman" w:hAnsi="Garamond" w:cs="Arial"/>
                <w:b/>
                <w:bCs/>
                <w:color w:val="0070C0"/>
                <w:sz w:val="20"/>
                <w:szCs w:val="20"/>
                <w:lang w:val="en-US"/>
              </w:rPr>
            </w:pPr>
          </w:p>
        </w:tc>
        <w:tc>
          <w:tcPr>
            <w:tcW w:w="3330" w:type="dxa"/>
            <w:tcBorders>
              <w:top w:val="single" w:sz="4" w:space="0" w:color="auto"/>
              <w:left w:val="single" w:sz="4" w:space="0" w:color="auto"/>
              <w:bottom w:val="single" w:sz="4" w:space="0" w:color="auto"/>
              <w:right w:val="single" w:sz="4" w:space="0" w:color="auto"/>
            </w:tcBorders>
            <w:shd w:val="clear" w:color="auto" w:fill="DBE5F1"/>
            <w:vAlign w:val="center"/>
          </w:tcPr>
          <w:p w:rsidR="00B01A2B" w:rsidRPr="00134E59" w:rsidRDefault="00B01A2B" w:rsidP="00134E59">
            <w:pPr>
              <w:suppressAutoHyphens/>
              <w:spacing w:after="0" w:line="240" w:lineRule="auto"/>
              <w:rPr>
                <w:rFonts w:ascii="Garamond" w:eastAsia="Times New Roman" w:hAnsi="Garamond" w:cs="Arial"/>
                <w:smallCaps/>
                <w:noProof/>
                <w:color w:val="1D1B11"/>
                <w:sz w:val="20"/>
                <w:szCs w:val="20"/>
                <w:lang w:val="en-US"/>
              </w:rPr>
            </w:pPr>
            <w:r w:rsidRPr="00134E59">
              <w:rPr>
                <w:rFonts w:ascii="Garamond" w:eastAsia="Times New Roman" w:hAnsi="Garamond" w:cs="Arial"/>
                <w:smallCaps/>
                <w:noProof/>
                <w:color w:val="1D1B11"/>
                <w:sz w:val="20"/>
                <w:szCs w:val="20"/>
                <w:lang w:val="en-US"/>
              </w:rPr>
              <w:t>joint advocacy</w:t>
            </w:r>
          </w:p>
        </w:tc>
      </w:tr>
      <w:tr w:rsidR="00134E59" w:rsidRPr="00CE317A" w:rsidTr="00134E59">
        <w:tc>
          <w:tcPr>
            <w:tcW w:w="1105" w:type="dxa"/>
            <w:vMerge/>
            <w:tcBorders>
              <w:left w:val="single" w:sz="4" w:space="0" w:color="auto"/>
              <w:bottom w:val="single" w:sz="4" w:space="0" w:color="auto"/>
              <w:right w:val="single" w:sz="4" w:space="0" w:color="auto"/>
            </w:tcBorders>
            <w:shd w:val="clear" w:color="auto" w:fill="F2F2F2"/>
            <w:vAlign w:val="center"/>
          </w:tcPr>
          <w:p w:rsidR="00B01A2B" w:rsidRPr="00134E59" w:rsidRDefault="00B01A2B" w:rsidP="00134E59">
            <w:pPr>
              <w:suppressAutoHyphens/>
              <w:spacing w:after="0" w:line="240" w:lineRule="auto"/>
              <w:jc w:val="center"/>
              <w:rPr>
                <w:rFonts w:ascii="Garamond" w:eastAsia="Times New Roman" w:hAnsi="Garamond" w:cs="Arial"/>
                <w:b/>
                <w:bCs/>
                <w:color w:val="0070C0"/>
                <w:sz w:val="20"/>
                <w:szCs w:val="20"/>
                <w:lang w:val="en-US"/>
              </w:rPr>
            </w:pPr>
          </w:p>
        </w:tc>
        <w:tc>
          <w:tcPr>
            <w:tcW w:w="3330" w:type="dxa"/>
            <w:tcBorders>
              <w:top w:val="single" w:sz="4" w:space="0" w:color="auto"/>
              <w:left w:val="single" w:sz="4" w:space="0" w:color="auto"/>
              <w:bottom w:val="single" w:sz="4" w:space="0" w:color="auto"/>
              <w:right w:val="single" w:sz="4" w:space="0" w:color="auto"/>
            </w:tcBorders>
            <w:shd w:val="clear" w:color="auto" w:fill="DBE5F1"/>
            <w:vAlign w:val="center"/>
          </w:tcPr>
          <w:p w:rsidR="00B01A2B" w:rsidRPr="00134E59" w:rsidRDefault="00B01A2B" w:rsidP="00134E59">
            <w:pPr>
              <w:suppressAutoHyphens/>
              <w:spacing w:after="0" w:line="240" w:lineRule="auto"/>
              <w:rPr>
                <w:rFonts w:ascii="Garamond" w:eastAsia="Times New Roman" w:hAnsi="Garamond" w:cs="Arial"/>
                <w:smallCaps/>
                <w:noProof/>
                <w:color w:val="1D1B11"/>
                <w:sz w:val="20"/>
                <w:szCs w:val="20"/>
                <w:lang w:val="en-US"/>
              </w:rPr>
            </w:pPr>
            <w:r w:rsidRPr="00134E59">
              <w:rPr>
                <w:rFonts w:ascii="Garamond" w:eastAsia="Times New Roman" w:hAnsi="Garamond" w:cs="Arial"/>
                <w:smallCaps/>
                <w:noProof/>
                <w:color w:val="1D1B11"/>
                <w:sz w:val="20"/>
                <w:szCs w:val="20"/>
                <w:lang w:val="en-US"/>
              </w:rPr>
              <w:t>adequate financial and human resources</w:t>
            </w:r>
          </w:p>
        </w:tc>
      </w:tr>
      <w:tr w:rsidR="00134E59" w:rsidRPr="00CE317A" w:rsidTr="00134E59">
        <w:tc>
          <w:tcPr>
            <w:tcW w:w="4435" w:type="dxa"/>
            <w:gridSpan w:val="2"/>
            <w:tcBorders>
              <w:top w:val="single" w:sz="4" w:space="0" w:color="auto"/>
              <w:left w:val="nil"/>
              <w:bottom w:val="single" w:sz="8" w:space="0" w:color="4A442A"/>
              <w:right w:val="nil"/>
            </w:tcBorders>
            <w:shd w:val="clear" w:color="auto" w:fill="auto"/>
            <w:vAlign w:val="center"/>
          </w:tcPr>
          <w:p w:rsidR="00B01A2B" w:rsidRPr="00134E59" w:rsidRDefault="00B01A2B" w:rsidP="00134E59">
            <w:pPr>
              <w:suppressAutoHyphens/>
              <w:spacing w:after="0" w:line="240" w:lineRule="auto"/>
              <w:jc w:val="center"/>
              <w:rPr>
                <w:rFonts w:ascii="Garamond" w:eastAsia="Times New Roman" w:hAnsi="Garamond" w:cs="Arial"/>
                <w:b/>
                <w:smallCaps/>
                <w:noProof/>
                <w:color w:val="0070C0"/>
                <w:sz w:val="20"/>
                <w:szCs w:val="20"/>
                <w:lang w:val="en-US"/>
              </w:rPr>
            </w:pPr>
            <w:r w:rsidRPr="00134E59">
              <w:rPr>
                <w:rFonts w:ascii="Garamond" w:eastAsia="Times New Roman" w:hAnsi="Garamond" w:cs="Arial"/>
                <w:b/>
                <w:smallCaps/>
                <w:noProof/>
                <w:color w:val="0070C0"/>
                <w:sz w:val="20"/>
                <w:szCs w:val="20"/>
                <w:lang w:val="en-US"/>
              </w:rPr>
              <w:t>↑                 ↑                 ↑                 ↑</w:t>
            </w:r>
          </w:p>
        </w:tc>
      </w:tr>
      <w:tr w:rsidR="00134E59" w:rsidRPr="00CE317A" w:rsidTr="00134E59">
        <w:tc>
          <w:tcPr>
            <w:tcW w:w="1105" w:type="dxa"/>
            <w:vMerge w:val="restart"/>
            <w:tcBorders>
              <w:top w:val="single" w:sz="4" w:space="0" w:color="auto"/>
              <w:left w:val="single" w:sz="4" w:space="0" w:color="auto"/>
              <w:bottom w:val="nil"/>
              <w:right w:val="single" w:sz="4" w:space="0" w:color="auto"/>
            </w:tcBorders>
            <w:shd w:val="clear" w:color="auto" w:fill="F2F2F2"/>
            <w:vAlign w:val="center"/>
          </w:tcPr>
          <w:p w:rsidR="00B01A2B" w:rsidRPr="00134E59" w:rsidRDefault="00B01A2B" w:rsidP="00134E59">
            <w:pPr>
              <w:suppressAutoHyphens/>
              <w:spacing w:after="0" w:line="240" w:lineRule="auto"/>
              <w:jc w:val="center"/>
              <w:rPr>
                <w:rFonts w:ascii="Garamond" w:eastAsia="Times New Roman" w:hAnsi="Garamond" w:cs="Arial"/>
                <w:b/>
                <w:bCs/>
                <w:noProof/>
                <w:color w:val="0070C0"/>
                <w:sz w:val="20"/>
                <w:szCs w:val="20"/>
                <w:lang w:val="en-US"/>
              </w:rPr>
            </w:pPr>
            <w:r w:rsidRPr="00134E59">
              <w:rPr>
                <w:rFonts w:ascii="Garamond" w:eastAsia="Times New Roman" w:hAnsi="Garamond" w:cs="Arial"/>
                <w:b/>
                <w:bCs/>
                <w:noProof/>
                <w:color w:val="0070C0"/>
                <w:sz w:val="20"/>
                <w:szCs w:val="20"/>
                <w:lang w:val="en-US"/>
              </w:rPr>
              <w:t>Inputs</w:t>
            </w:r>
          </w:p>
        </w:tc>
        <w:tc>
          <w:tcPr>
            <w:tcW w:w="3330" w:type="dxa"/>
            <w:tcBorders>
              <w:top w:val="single" w:sz="4" w:space="0" w:color="auto"/>
              <w:left w:val="single" w:sz="4" w:space="0" w:color="auto"/>
              <w:bottom w:val="single" w:sz="4" w:space="0" w:color="auto"/>
              <w:right w:val="single" w:sz="4" w:space="0" w:color="auto"/>
            </w:tcBorders>
            <w:shd w:val="clear" w:color="auto" w:fill="DBE5F1"/>
            <w:vAlign w:val="center"/>
          </w:tcPr>
          <w:p w:rsidR="00B01A2B" w:rsidRPr="00134E59" w:rsidRDefault="00B01A2B" w:rsidP="00134E59">
            <w:pPr>
              <w:suppressAutoHyphens/>
              <w:spacing w:after="0" w:line="240" w:lineRule="auto"/>
              <w:rPr>
                <w:rFonts w:ascii="Garamond" w:eastAsia="Times New Roman" w:hAnsi="Garamond" w:cs="Arial"/>
                <w:bCs/>
                <w:color w:val="1D1B11"/>
                <w:sz w:val="20"/>
                <w:szCs w:val="20"/>
                <w:lang w:val="en-US"/>
              </w:rPr>
            </w:pPr>
            <w:r w:rsidRPr="00134E59">
              <w:rPr>
                <w:rFonts w:ascii="Garamond" w:eastAsia="Times New Roman" w:hAnsi="Garamond" w:cs="Arial"/>
                <w:smallCaps/>
                <w:noProof/>
                <w:color w:val="1D1B11"/>
                <w:sz w:val="20"/>
                <w:szCs w:val="20"/>
                <w:lang w:val="en-US"/>
              </w:rPr>
              <w:t xml:space="preserve">leadership </w:t>
            </w:r>
          </w:p>
        </w:tc>
      </w:tr>
      <w:tr w:rsidR="00134E59" w:rsidRPr="00CE317A" w:rsidTr="00134E59">
        <w:tc>
          <w:tcPr>
            <w:tcW w:w="1105" w:type="dxa"/>
            <w:vMerge/>
            <w:tcBorders>
              <w:left w:val="single" w:sz="4" w:space="0" w:color="auto"/>
              <w:bottom w:val="nil"/>
              <w:right w:val="single" w:sz="4" w:space="0" w:color="auto"/>
            </w:tcBorders>
            <w:shd w:val="clear" w:color="auto" w:fill="F2F2F2"/>
            <w:vAlign w:val="center"/>
          </w:tcPr>
          <w:p w:rsidR="00B01A2B" w:rsidRPr="00134E59" w:rsidRDefault="00B01A2B" w:rsidP="00134E59">
            <w:pPr>
              <w:suppressAutoHyphens/>
              <w:spacing w:after="0" w:line="240" w:lineRule="auto"/>
              <w:jc w:val="both"/>
              <w:rPr>
                <w:rFonts w:ascii="Garamond" w:eastAsia="Times New Roman" w:hAnsi="Garamond" w:cs="Arial"/>
                <w:bCs/>
                <w:noProof/>
                <w:color w:val="1D1B11"/>
                <w:sz w:val="20"/>
                <w:szCs w:val="20"/>
                <w:lang w:val="en-US"/>
              </w:rPr>
            </w:pPr>
          </w:p>
        </w:tc>
        <w:tc>
          <w:tcPr>
            <w:tcW w:w="3330" w:type="dxa"/>
            <w:tcBorders>
              <w:top w:val="single" w:sz="4" w:space="0" w:color="auto"/>
              <w:left w:val="single" w:sz="4" w:space="0" w:color="auto"/>
              <w:bottom w:val="single" w:sz="4" w:space="0" w:color="auto"/>
              <w:right w:val="single" w:sz="4" w:space="0" w:color="auto"/>
            </w:tcBorders>
            <w:shd w:val="clear" w:color="auto" w:fill="DBE5F1"/>
            <w:vAlign w:val="center"/>
          </w:tcPr>
          <w:p w:rsidR="00B01A2B" w:rsidRPr="00134E59" w:rsidRDefault="00B01A2B" w:rsidP="00134E59">
            <w:pPr>
              <w:suppressAutoHyphens/>
              <w:spacing w:after="0" w:line="240" w:lineRule="auto"/>
              <w:rPr>
                <w:rFonts w:ascii="Garamond" w:eastAsia="Times New Roman" w:hAnsi="Garamond" w:cs="Arial"/>
                <w:smallCaps/>
                <w:noProof/>
                <w:color w:val="1D1B11"/>
                <w:sz w:val="20"/>
                <w:szCs w:val="20"/>
                <w:lang w:val="en-US"/>
              </w:rPr>
            </w:pPr>
            <w:r w:rsidRPr="00134E59">
              <w:rPr>
                <w:rFonts w:ascii="Garamond" w:eastAsia="Times New Roman" w:hAnsi="Garamond" w:cs="Arial"/>
                <w:smallCaps/>
                <w:noProof/>
                <w:color w:val="1D1B11"/>
                <w:sz w:val="20"/>
                <w:szCs w:val="20"/>
                <w:lang w:val="en-US"/>
              </w:rPr>
              <w:t>human resources, incl. surge capacity</w:t>
            </w:r>
          </w:p>
        </w:tc>
      </w:tr>
      <w:tr w:rsidR="00134E59" w:rsidRPr="00CE317A" w:rsidTr="00134E59">
        <w:tc>
          <w:tcPr>
            <w:tcW w:w="1105" w:type="dxa"/>
            <w:vMerge/>
            <w:tcBorders>
              <w:left w:val="single" w:sz="4" w:space="0" w:color="auto"/>
              <w:bottom w:val="nil"/>
              <w:right w:val="single" w:sz="4" w:space="0" w:color="auto"/>
            </w:tcBorders>
            <w:shd w:val="clear" w:color="auto" w:fill="F2F2F2"/>
            <w:vAlign w:val="center"/>
          </w:tcPr>
          <w:p w:rsidR="00B01A2B" w:rsidRPr="00134E59" w:rsidRDefault="00B01A2B" w:rsidP="00134E59">
            <w:pPr>
              <w:suppressAutoHyphens/>
              <w:spacing w:after="0" w:line="240" w:lineRule="auto"/>
              <w:jc w:val="both"/>
              <w:rPr>
                <w:rFonts w:ascii="Garamond" w:eastAsia="Times New Roman" w:hAnsi="Garamond" w:cs="Arial"/>
                <w:bCs/>
                <w:noProof/>
                <w:color w:val="1D1B11"/>
                <w:sz w:val="20"/>
                <w:szCs w:val="20"/>
                <w:lang w:val="en-US"/>
              </w:rPr>
            </w:pPr>
          </w:p>
        </w:tc>
        <w:tc>
          <w:tcPr>
            <w:tcW w:w="3330" w:type="dxa"/>
            <w:tcBorders>
              <w:top w:val="single" w:sz="4" w:space="0" w:color="auto"/>
              <w:left w:val="single" w:sz="4" w:space="0" w:color="auto"/>
              <w:bottom w:val="single" w:sz="4" w:space="0" w:color="auto"/>
              <w:right w:val="single" w:sz="4" w:space="0" w:color="auto"/>
            </w:tcBorders>
            <w:shd w:val="clear" w:color="auto" w:fill="DBE5F1"/>
            <w:vAlign w:val="center"/>
          </w:tcPr>
          <w:p w:rsidR="00B01A2B" w:rsidRPr="00134E59" w:rsidRDefault="00B01A2B" w:rsidP="00134E59">
            <w:pPr>
              <w:suppressAutoHyphens/>
              <w:spacing w:after="0" w:line="240" w:lineRule="auto"/>
              <w:rPr>
                <w:rFonts w:ascii="Garamond" w:eastAsia="Times New Roman" w:hAnsi="Garamond" w:cs="Arial"/>
                <w:smallCaps/>
                <w:noProof/>
                <w:color w:val="1D1B11"/>
                <w:sz w:val="20"/>
                <w:szCs w:val="20"/>
                <w:lang w:val="en-US"/>
              </w:rPr>
            </w:pPr>
            <w:r w:rsidRPr="00134E59">
              <w:rPr>
                <w:rFonts w:ascii="Garamond" w:eastAsia="Times New Roman" w:hAnsi="Garamond" w:cs="Arial"/>
                <w:smallCaps/>
                <w:noProof/>
                <w:color w:val="1D1B11"/>
                <w:sz w:val="20"/>
                <w:szCs w:val="20"/>
                <w:lang w:val="en-US"/>
              </w:rPr>
              <w:t>pooled and agency funds</w:t>
            </w:r>
          </w:p>
        </w:tc>
      </w:tr>
      <w:tr w:rsidR="00134E59" w:rsidRPr="00CE317A" w:rsidTr="00134E59">
        <w:tc>
          <w:tcPr>
            <w:tcW w:w="1105" w:type="dxa"/>
            <w:vMerge/>
            <w:tcBorders>
              <w:left w:val="single" w:sz="4" w:space="0" w:color="auto"/>
              <w:bottom w:val="nil"/>
              <w:right w:val="single" w:sz="4" w:space="0" w:color="auto"/>
            </w:tcBorders>
            <w:shd w:val="clear" w:color="auto" w:fill="F2F2F2"/>
            <w:vAlign w:val="center"/>
          </w:tcPr>
          <w:p w:rsidR="00B01A2B" w:rsidRPr="00134E59" w:rsidRDefault="00B01A2B" w:rsidP="00134E59">
            <w:pPr>
              <w:suppressAutoHyphens/>
              <w:spacing w:after="0" w:line="240" w:lineRule="auto"/>
              <w:jc w:val="both"/>
              <w:rPr>
                <w:rFonts w:ascii="Garamond" w:eastAsia="Times New Roman" w:hAnsi="Garamond" w:cs="Arial"/>
                <w:bCs/>
                <w:noProof/>
                <w:color w:val="1D1B11"/>
                <w:sz w:val="20"/>
                <w:szCs w:val="20"/>
                <w:lang w:val="en-US"/>
              </w:rPr>
            </w:pPr>
          </w:p>
        </w:tc>
        <w:tc>
          <w:tcPr>
            <w:tcW w:w="3330" w:type="dxa"/>
            <w:tcBorders>
              <w:top w:val="single" w:sz="4" w:space="0" w:color="auto"/>
              <w:left w:val="single" w:sz="4" w:space="0" w:color="auto"/>
              <w:bottom w:val="single" w:sz="4" w:space="0" w:color="auto"/>
              <w:right w:val="single" w:sz="4" w:space="0" w:color="auto"/>
            </w:tcBorders>
            <w:shd w:val="clear" w:color="auto" w:fill="DBE5F1"/>
            <w:vAlign w:val="center"/>
          </w:tcPr>
          <w:p w:rsidR="00B01A2B" w:rsidRPr="00134E59" w:rsidRDefault="00B01A2B" w:rsidP="00134E59">
            <w:pPr>
              <w:suppressAutoHyphens/>
              <w:spacing w:after="0" w:line="240" w:lineRule="auto"/>
              <w:rPr>
                <w:rFonts w:ascii="Garamond" w:eastAsia="Times New Roman" w:hAnsi="Garamond" w:cs="Arial"/>
                <w:smallCaps/>
                <w:noProof/>
                <w:color w:val="1D1B11"/>
                <w:sz w:val="20"/>
                <w:szCs w:val="20"/>
                <w:lang w:val="en-US"/>
              </w:rPr>
            </w:pPr>
            <w:r w:rsidRPr="00134E59">
              <w:rPr>
                <w:rFonts w:ascii="Garamond" w:eastAsia="Times New Roman" w:hAnsi="Garamond" w:cs="Arial"/>
                <w:smallCaps/>
                <w:noProof/>
                <w:color w:val="1D1B11"/>
                <w:sz w:val="20"/>
                <w:szCs w:val="20"/>
                <w:lang w:val="en-US"/>
              </w:rPr>
              <w:t xml:space="preserve">guidance and programming tools </w:t>
            </w:r>
            <w:r w:rsidRPr="00134E59">
              <w:rPr>
                <w:rFonts w:ascii="Garamond" w:eastAsia="Times New Roman" w:hAnsi="Garamond" w:cs="Arial"/>
                <w:smallCaps/>
                <w:noProof/>
                <w:color w:val="1D1B11"/>
                <w:sz w:val="16"/>
                <w:szCs w:val="16"/>
                <w:lang w:val="en-US"/>
              </w:rPr>
              <w:t>(HPC, MIRA, standards, etc.)</w:t>
            </w:r>
          </w:p>
        </w:tc>
      </w:tr>
      <w:tr w:rsidR="00134E59" w:rsidRPr="00CE317A" w:rsidTr="00134E59">
        <w:tc>
          <w:tcPr>
            <w:tcW w:w="1105" w:type="dxa"/>
            <w:vMerge/>
            <w:tcBorders>
              <w:left w:val="single" w:sz="4" w:space="0" w:color="auto"/>
              <w:bottom w:val="single" w:sz="4" w:space="0" w:color="auto"/>
              <w:right w:val="single" w:sz="4" w:space="0" w:color="auto"/>
            </w:tcBorders>
            <w:shd w:val="clear" w:color="auto" w:fill="F2F2F2"/>
            <w:vAlign w:val="center"/>
          </w:tcPr>
          <w:p w:rsidR="00B01A2B" w:rsidRPr="00134E59" w:rsidRDefault="00B01A2B" w:rsidP="00134E59">
            <w:pPr>
              <w:suppressAutoHyphens/>
              <w:spacing w:after="0" w:line="240" w:lineRule="auto"/>
              <w:jc w:val="both"/>
              <w:rPr>
                <w:rFonts w:ascii="Garamond" w:eastAsia="Times New Roman" w:hAnsi="Garamond" w:cs="Arial"/>
                <w:bCs/>
                <w:noProof/>
                <w:color w:val="1D1B11"/>
                <w:sz w:val="20"/>
                <w:szCs w:val="20"/>
                <w:lang w:val="en-US"/>
              </w:rPr>
            </w:pPr>
          </w:p>
        </w:tc>
        <w:tc>
          <w:tcPr>
            <w:tcW w:w="3330" w:type="dxa"/>
            <w:tcBorders>
              <w:top w:val="single" w:sz="4" w:space="0" w:color="auto"/>
              <w:left w:val="single" w:sz="4" w:space="0" w:color="auto"/>
              <w:bottom w:val="single" w:sz="4" w:space="0" w:color="auto"/>
              <w:right w:val="single" w:sz="4" w:space="0" w:color="auto"/>
            </w:tcBorders>
            <w:shd w:val="clear" w:color="auto" w:fill="DBE5F1"/>
            <w:vAlign w:val="center"/>
          </w:tcPr>
          <w:p w:rsidR="00B01A2B" w:rsidRPr="00134E59" w:rsidRDefault="00B01A2B" w:rsidP="00134E59">
            <w:pPr>
              <w:suppressAutoHyphens/>
              <w:spacing w:after="0" w:line="240" w:lineRule="auto"/>
              <w:rPr>
                <w:rFonts w:ascii="Garamond" w:eastAsia="Times New Roman" w:hAnsi="Garamond" w:cs="Arial"/>
                <w:smallCaps/>
                <w:noProof/>
                <w:color w:val="1D1B11"/>
                <w:sz w:val="20"/>
                <w:szCs w:val="20"/>
                <w:lang w:val="en-US"/>
              </w:rPr>
            </w:pPr>
            <w:r w:rsidRPr="00134E59">
              <w:rPr>
                <w:rFonts w:ascii="Garamond" w:eastAsia="Times New Roman" w:hAnsi="Garamond" w:cs="Arial"/>
                <w:smallCaps/>
                <w:noProof/>
                <w:color w:val="1D1B11"/>
                <w:sz w:val="20"/>
                <w:szCs w:val="20"/>
                <w:lang w:val="en-US"/>
              </w:rPr>
              <w:t>Logistics</w:t>
            </w:r>
          </w:p>
        </w:tc>
      </w:tr>
    </w:tbl>
    <w:p w:rsidR="008A2A8A" w:rsidRPr="00A14A1A" w:rsidRDefault="008A2A8A" w:rsidP="00B01A2B">
      <w:pPr>
        <w:pStyle w:val="BodyText"/>
        <w:spacing w:line="240" w:lineRule="auto"/>
        <w:ind w:left="360"/>
      </w:pPr>
    </w:p>
    <w:sectPr w:rsidR="008A2A8A" w:rsidRPr="00A14A1A" w:rsidSect="00134E59">
      <w:type w:val="continuous"/>
      <w:pgSz w:w="15840" w:h="12240" w:orient="landscape" w:code="1"/>
      <w:pgMar w:top="1008" w:right="720" w:bottom="720" w:left="540" w:header="720" w:footer="720" w:gutter="0"/>
      <w:cols w:num="3" w:space="675"/>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F86C568"/>
    <w:lvl w:ilvl="0">
      <w:start w:val="1"/>
      <w:numFmt w:val="decimal"/>
      <w:lvlText w:val="%1."/>
      <w:lvlJc w:val="left"/>
      <w:pPr>
        <w:tabs>
          <w:tab w:val="num" w:pos="360"/>
        </w:tabs>
        <w:ind w:left="360" w:hanging="360"/>
      </w:pPr>
    </w:lvl>
  </w:abstractNum>
  <w:abstractNum w:abstractNumId="1">
    <w:nsid w:val="02AD65FE"/>
    <w:multiLevelType w:val="hybridMultilevel"/>
    <w:tmpl w:val="B0B82F52"/>
    <w:lvl w:ilvl="0" w:tplc="9DCC1A26">
      <w:start w:val="1"/>
      <w:numFmt w:val="decimal"/>
      <w:pStyle w:val="List"/>
      <w:lvlText w:val="%1."/>
      <w:lvlJc w:val="left"/>
      <w:pPr>
        <w:tabs>
          <w:tab w:val="num" w:pos="720"/>
        </w:tabs>
        <w:ind w:left="720" w:hanging="432"/>
      </w:pPr>
      <w:rPr>
        <w:rFonts w:hint="default"/>
        <w:color w:val="FF66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877552"/>
    <w:multiLevelType w:val="hybridMultilevel"/>
    <w:tmpl w:val="530ED7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B826E1"/>
    <w:multiLevelType w:val="hybridMultilevel"/>
    <w:tmpl w:val="F1B67732"/>
    <w:lvl w:ilvl="0" w:tplc="1E8E7740">
      <w:start w:val="1"/>
      <w:numFmt w:val="bullet"/>
      <w:lvlText w:val=""/>
      <w:lvlJc w:val="left"/>
      <w:pPr>
        <w:ind w:left="720" w:hanging="360"/>
      </w:pPr>
      <w:rPr>
        <w:rFonts w:ascii="Symbol" w:hAnsi="Symbol" w:hint="default"/>
        <w:color w:val="026C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DC03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9C84BD7"/>
    <w:multiLevelType w:val="hybridMultilevel"/>
    <w:tmpl w:val="921A623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691078"/>
    <w:multiLevelType w:val="multilevel"/>
    <w:tmpl w:val="415CEF08"/>
    <w:lvl w:ilvl="0">
      <w:start w:val="1"/>
      <w:numFmt w:val="bullet"/>
      <w:lvlText w:val=""/>
      <w:lvlJc w:val="left"/>
      <w:pPr>
        <w:tabs>
          <w:tab w:val="num" w:pos="792"/>
        </w:tabs>
        <w:ind w:left="792" w:hanging="360"/>
      </w:pPr>
      <w:rPr>
        <w:rFonts w:ascii="Symbol" w:hAnsi="Symbol"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D2141F6"/>
    <w:multiLevelType w:val="hybridMultilevel"/>
    <w:tmpl w:val="60B6C1BA"/>
    <w:lvl w:ilvl="0" w:tplc="1E8E7740">
      <w:start w:val="1"/>
      <w:numFmt w:val="bullet"/>
      <w:lvlText w:val=""/>
      <w:lvlJc w:val="left"/>
      <w:pPr>
        <w:ind w:left="360" w:hanging="360"/>
      </w:pPr>
      <w:rPr>
        <w:rFonts w:ascii="Symbol" w:hAnsi="Symbol" w:hint="default"/>
        <w:color w:val="026CB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2635D59"/>
    <w:multiLevelType w:val="multilevel"/>
    <w:tmpl w:val="9BFCA4A0"/>
    <w:lvl w:ilvl="0">
      <w:start w:val="1"/>
      <w:numFmt w:val="decimal"/>
      <w:lvlText w:val="%1."/>
      <w:lvlJc w:val="left"/>
      <w:pPr>
        <w:tabs>
          <w:tab w:val="num" w:pos="720"/>
        </w:tabs>
        <w:ind w:left="720" w:hanging="432"/>
      </w:pPr>
      <w:rPr>
        <w:rFonts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4B62146"/>
    <w:multiLevelType w:val="hybridMultilevel"/>
    <w:tmpl w:val="548AACAC"/>
    <w:lvl w:ilvl="0" w:tplc="BB96ED2C">
      <w:start w:val="1"/>
      <w:numFmt w:val="decimal"/>
      <w:lvlText w:val="%1."/>
      <w:lvlJc w:val="left"/>
      <w:pPr>
        <w:ind w:left="360" w:hanging="360"/>
      </w:pPr>
      <w:rPr>
        <w:rFonts w:ascii="Garamond" w:hAnsi="Garamond" w:hint="default"/>
        <w:color w:val="00000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5B84D5E"/>
    <w:multiLevelType w:val="multilevel"/>
    <w:tmpl w:val="C8002106"/>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0294C4F"/>
    <w:multiLevelType w:val="multilevel"/>
    <w:tmpl w:val="23E46704"/>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07C51F6"/>
    <w:multiLevelType w:val="multilevel"/>
    <w:tmpl w:val="D93ED8F4"/>
    <w:lvl w:ilvl="0">
      <w:start w:val="1"/>
      <w:numFmt w:val="bullet"/>
      <w:lvlText w:val=""/>
      <w:lvlJc w:val="left"/>
      <w:pPr>
        <w:tabs>
          <w:tab w:val="num" w:pos="792"/>
        </w:tabs>
        <w:ind w:left="792" w:hanging="360"/>
      </w:pPr>
      <w:rPr>
        <w:rFonts w:ascii="Symbol" w:hAnsi="Symbol" w:hint="default"/>
        <w:color w:val="FFFFFF"/>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58D1688"/>
    <w:multiLevelType w:val="multilevel"/>
    <w:tmpl w:val="3ECEBE66"/>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1D7231A"/>
    <w:multiLevelType w:val="multilevel"/>
    <w:tmpl w:val="3E0EFAA8"/>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248022E"/>
    <w:multiLevelType w:val="multilevel"/>
    <w:tmpl w:val="BEB830F6"/>
    <w:lvl w:ilvl="0">
      <w:start w:val="1"/>
      <w:numFmt w:val="decimal"/>
      <w:lvlText w:val="%1."/>
      <w:lvlJc w:val="left"/>
      <w:pPr>
        <w:tabs>
          <w:tab w:val="num" w:pos="792"/>
        </w:tabs>
        <w:ind w:left="792" w:hanging="360"/>
      </w:pPr>
      <w:rPr>
        <w:rFonts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A777A8F"/>
    <w:multiLevelType w:val="multilevel"/>
    <w:tmpl w:val="E87EE9BE"/>
    <w:lvl w:ilvl="0">
      <w:numFmt w:val="bullet"/>
      <w:lvlText w:val=""/>
      <w:lvlJc w:val="left"/>
      <w:pPr>
        <w:tabs>
          <w:tab w:val="num" w:pos="792"/>
        </w:tabs>
        <w:ind w:left="792" w:hanging="360"/>
      </w:pPr>
      <w:rPr>
        <w:rFonts w:ascii="Symbol" w:eastAsia="Times New Roman" w:hAnsi="Symbol" w:cs="Times New Roman"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FD84D7B"/>
    <w:multiLevelType w:val="hybridMultilevel"/>
    <w:tmpl w:val="51AEF598"/>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8">
    <w:nsid w:val="624A7349"/>
    <w:multiLevelType w:val="hybridMultilevel"/>
    <w:tmpl w:val="2C8677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4BB283D"/>
    <w:multiLevelType w:val="hybridMultilevel"/>
    <w:tmpl w:val="75DC090A"/>
    <w:lvl w:ilvl="0" w:tplc="1E8E7740">
      <w:start w:val="1"/>
      <w:numFmt w:val="bullet"/>
      <w:lvlText w:val=""/>
      <w:lvlJc w:val="left"/>
      <w:pPr>
        <w:ind w:left="360" w:hanging="360"/>
      </w:pPr>
      <w:rPr>
        <w:rFonts w:ascii="Symbol" w:hAnsi="Symbol" w:hint="default"/>
        <w:color w:val="026CB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74D4A7F"/>
    <w:multiLevelType w:val="hybridMultilevel"/>
    <w:tmpl w:val="BC5A7E9C"/>
    <w:lvl w:ilvl="0" w:tplc="1E8E7740">
      <w:start w:val="1"/>
      <w:numFmt w:val="bullet"/>
      <w:lvlText w:val=""/>
      <w:lvlJc w:val="left"/>
      <w:pPr>
        <w:ind w:left="2880" w:hanging="360"/>
      </w:pPr>
      <w:rPr>
        <w:rFonts w:ascii="Symbol" w:hAnsi="Symbol" w:hint="default"/>
        <w:color w:val="026CB6"/>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22">
    <w:nsid w:val="73BF39EB"/>
    <w:multiLevelType w:val="hybridMultilevel"/>
    <w:tmpl w:val="3DD80B6C"/>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3">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num w:numId="1">
    <w:abstractNumId w:val="1"/>
  </w:num>
  <w:num w:numId="2">
    <w:abstractNumId w:val="4"/>
  </w:num>
  <w:num w:numId="3">
    <w:abstractNumId w:val="16"/>
  </w:num>
  <w:num w:numId="4">
    <w:abstractNumId w:val="12"/>
  </w:num>
  <w:num w:numId="5">
    <w:abstractNumId w:val="11"/>
  </w:num>
  <w:num w:numId="6">
    <w:abstractNumId w:val="10"/>
  </w:num>
  <w:num w:numId="7">
    <w:abstractNumId w:val="14"/>
  </w:num>
  <w:num w:numId="8">
    <w:abstractNumId w:val="13"/>
  </w:num>
  <w:num w:numId="9">
    <w:abstractNumId w:val="0"/>
  </w:num>
  <w:num w:numId="10">
    <w:abstractNumId w:val="21"/>
  </w:num>
  <w:num w:numId="11">
    <w:abstractNumId w:val="6"/>
  </w:num>
  <w:num w:numId="12">
    <w:abstractNumId w:val="23"/>
  </w:num>
  <w:num w:numId="13">
    <w:abstractNumId w:val="15"/>
  </w:num>
  <w:num w:numId="14">
    <w:abstractNumId w:val="22"/>
  </w:num>
  <w:num w:numId="15">
    <w:abstractNumId w:val="17"/>
  </w:num>
  <w:num w:numId="16">
    <w:abstractNumId w:val="8"/>
  </w:num>
  <w:num w:numId="17">
    <w:abstractNumId w:val="1"/>
    <w:lvlOverride w:ilvl="0">
      <w:startOverride w:val="1"/>
    </w:lvlOverride>
  </w:num>
  <w:num w:numId="18">
    <w:abstractNumId w:val="7"/>
  </w:num>
  <w:num w:numId="19">
    <w:abstractNumId w:val="5"/>
  </w:num>
  <w:num w:numId="20">
    <w:abstractNumId w:val="2"/>
  </w:num>
  <w:num w:numId="21">
    <w:abstractNumId w:val="19"/>
  </w:num>
  <w:num w:numId="22">
    <w:abstractNumId w:val="9"/>
  </w:num>
  <w:num w:numId="23">
    <w:abstractNumId w:val="20"/>
  </w:num>
  <w:num w:numId="24">
    <w:abstractNumId w:val="1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8A"/>
    <w:rsid w:val="00004619"/>
    <w:rsid w:val="00005091"/>
    <w:rsid w:val="00005740"/>
    <w:rsid w:val="00051AEB"/>
    <w:rsid w:val="000541DD"/>
    <w:rsid w:val="00064089"/>
    <w:rsid w:val="000844FB"/>
    <w:rsid w:val="000A4144"/>
    <w:rsid w:val="000C3C75"/>
    <w:rsid w:val="000C4E9A"/>
    <w:rsid w:val="000C6958"/>
    <w:rsid w:val="000D3E07"/>
    <w:rsid w:val="000D5EE8"/>
    <w:rsid w:val="000F41B5"/>
    <w:rsid w:val="00107B10"/>
    <w:rsid w:val="00134E59"/>
    <w:rsid w:val="001526AD"/>
    <w:rsid w:val="001614A5"/>
    <w:rsid w:val="001A5D1F"/>
    <w:rsid w:val="001B11B1"/>
    <w:rsid w:val="001B734D"/>
    <w:rsid w:val="001C37F8"/>
    <w:rsid w:val="001C58A5"/>
    <w:rsid w:val="00215114"/>
    <w:rsid w:val="00242515"/>
    <w:rsid w:val="002463EB"/>
    <w:rsid w:val="00257268"/>
    <w:rsid w:val="0026198F"/>
    <w:rsid w:val="00264EB8"/>
    <w:rsid w:val="002858E9"/>
    <w:rsid w:val="002907EC"/>
    <w:rsid w:val="002A1328"/>
    <w:rsid w:val="002B7CB4"/>
    <w:rsid w:val="002E0B17"/>
    <w:rsid w:val="0030433F"/>
    <w:rsid w:val="00311432"/>
    <w:rsid w:val="00320B3D"/>
    <w:rsid w:val="003371A3"/>
    <w:rsid w:val="003374E3"/>
    <w:rsid w:val="003433BE"/>
    <w:rsid w:val="00347370"/>
    <w:rsid w:val="0035356F"/>
    <w:rsid w:val="00361DCA"/>
    <w:rsid w:val="003722FF"/>
    <w:rsid w:val="00382459"/>
    <w:rsid w:val="00386BF3"/>
    <w:rsid w:val="003B534A"/>
    <w:rsid w:val="003C2C8D"/>
    <w:rsid w:val="003C3754"/>
    <w:rsid w:val="003C6F74"/>
    <w:rsid w:val="003D58BB"/>
    <w:rsid w:val="003D7595"/>
    <w:rsid w:val="003E6F76"/>
    <w:rsid w:val="00407D01"/>
    <w:rsid w:val="00417119"/>
    <w:rsid w:val="004260F4"/>
    <w:rsid w:val="004341E7"/>
    <w:rsid w:val="004370D9"/>
    <w:rsid w:val="00437BFF"/>
    <w:rsid w:val="004423B7"/>
    <w:rsid w:val="00461BDC"/>
    <w:rsid w:val="00461D40"/>
    <w:rsid w:val="00481C84"/>
    <w:rsid w:val="00486E9E"/>
    <w:rsid w:val="004B5D2D"/>
    <w:rsid w:val="004B7180"/>
    <w:rsid w:val="004C1DC6"/>
    <w:rsid w:val="004D19B1"/>
    <w:rsid w:val="004F5BD1"/>
    <w:rsid w:val="004F658A"/>
    <w:rsid w:val="00506068"/>
    <w:rsid w:val="005063B3"/>
    <w:rsid w:val="0051564E"/>
    <w:rsid w:val="00517206"/>
    <w:rsid w:val="0053185C"/>
    <w:rsid w:val="00531D70"/>
    <w:rsid w:val="00534D51"/>
    <w:rsid w:val="00557A64"/>
    <w:rsid w:val="00565D15"/>
    <w:rsid w:val="005A2163"/>
    <w:rsid w:val="005A42F5"/>
    <w:rsid w:val="005E4259"/>
    <w:rsid w:val="005E49E4"/>
    <w:rsid w:val="00621AAF"/>
    <w:rsid w:val="00627517"/>
    <w:rsid w:val="00637E48"/>
    <w:rsid w:val="0064297C"/>
    <w:rsid w:val="0064622B"/>
    <w:rsid w:val="00656926"/>
    <w:rsid w:val="0068190D"/>
    <w:rsid w:val="006A0095"/>
    <w:rsid w:val="006A59CF"/>
    <w:rsid w:val="006B13B6"/>
    <w:rsid w:val="006D02FE"/>
    <w:rsid w:val="006E5097"/>
    <w:rsid w:val="006F4846"/>
    <w:rsid w:val="00705F1E"/>
    <w:rsid w:val="0072307A"/>
    <w:rsid w:val="00724E7C"/>
    <w:rsid w:val="00731EB3"/>
    <w:rsid w:val="007352E2"/>
    <w:rsid w:val="00746964"/>
    <w:rsid w:val="007564EF"/>
    <w:rsid w:val="00770B4B"/>
    <w:rsid w:val="00775D14"/>
    <w:rsid w:val="00791781"/>
    <w:rsid w:val="00797E44"/>
    <w:rsid w:val="007A1F58"/>
    <w:rsid w:val="007B47AA"/>
    <w:rsid w:val="007B7595"/>
    <w:rsid w:val="007C2885"/>
    <w:rsid w:val="007E59A9"/>
    <w:rsid w:val="007E59AB"/>
    <w:rsid w:val="007F6777"/>
    <w:rsid w:val="008250E8"/>
    <w:rsid w:val="008262EE"/>
    <w:rsid w:val="008369B3"/>
    <w:rsid w:val="00843F07"/>
    <w:rsid w:val="0084444B"/>
    <w:rsid w:val="008619C8"/>
    <w:rsid w:val="008713B9"/>
    <w:rsid w:val="008A2A8A"/>
    <w:rsid w:val="008B6927"/>
    <w:rsid w:val="008C0FE8"/>
    <w:rsid w:val="008C4C56"/>
    <w:rsid w:val="008E56FA"/>
    <w:rsid w:val="008E7D7C"/>
    <w:rsid w:val="008F6DC1"/>
    <w:rsid w:val="00901EEA"/>
    <w:rsid w:val="00937E7E"/>
    <w:rsid w:val="009501D7"/>
    <w:rsid w:val="0098084E"/>
    <w:rsid w:val="00987E70"/>
    <w:rsid w:val="0099163D"/>
    <w:rsid w:val="009A6118"/>
    <w:rsid w:val="009A6D3C"/>
    <w:rsid w:val="009B61B1"/>
    <w:rsid w:val="009D0795"/>
    <w:rsid w:val="009E3BB3"/>
    <w:rsid w:val="00A03C51"/>
    <w:rsid w:val="00A25F74"/>
    <w:rsid w:val="00A729AE"/>
    <w:rsid w:val="00A74D65"/>
    <w:rsid w:val="00A80ED2"/>
    <w:rsid w:val="00A9017F"/>
    <w:rsid w:val="00AA23E7"/>
    <w:rsid w:val="00AA3EEF"/>
    <w:rsid w:val="00AA67DF"/>
    <w:rsid w:val="00AF098E"/>
    <w:rsid w:val="00AF429E"/>
    <w:rsid w:val="00B01A2B"/>
    <w:rsid w:val="00B34420"/>
    <w:rsid w:val="00B4601C"/>
    <w:rsid w:val="00B6621D"/>
    <w:rsid w:val="00B91865"/>
    <w:rsid w:val="00BA7D7E"/>
    <w:rsid w:val="00BB6602"/>
    <w:rsid w:val="00BD1B8D"/>
    <w:rsid w:val="00C10549"/>
    <w:rsid w:val="00C13EFB"/>
    <w:rsid w:val="00C167CF"/>
    <w:rsid w:val="00C52632"/>
    <w:rsid w:val="00C569B9"/>
    <w:rsid w:val="00C61D84"/>
    <w:rsid w:val="00C67399"/>
    <w:rsid w:val="00C72419"/>
    <w:rsid w:val="00C800E4"/>
    <w:rsid w:val="00C80714"/>
    <w:rsid w:val="00C94188"/>
    <w:rsid w:val="00CB1107"/>
    <w:rsid w:val="00CB4ADB"/>
    <w:rsid w:val="00CB7C37"/>
    <w:rsid w:val="00CD1205"/>
    <w:rsid w:val="00CF2990"/>
    <w:rsid w:val="00D10FA9"/>
    <w:rsid w:val="00D226D3"/>
    <w:rsid w:val="00D24A77"/>
    <w:rsid w:val="00D269F4"/>
    <w:rsid w:val="00D3670C"/>
    <w:rsid w:val="00D53AC3"/>
    <w:rsid w:val="00D56BCF"/>
    <w:rsid w:val="00D63E02"/>
    <w:rsid w:val="00D660BB"/>
    <w:rsid w:val="00D74DC9"/>
    <w:rsid w:val="00D77809"/>
    <w:rsid w:val="00D77D95"/>
    <w:rsid w:val="00D92602"/>
    <w:rsid w:val="00D96F5A"/>
    <w:rsid w:val="00DA5FFF"/>
    <w:rsid w:val="00DA6A16"/>
    <w:rsid w:val="00DB3407"/>
    <w:rsid w:val="00DC56A1"/>
    <w:rsid w:val="00DF3B40"/>
    <w:rsid w:val="00DF7621"/>
    <w:rsid w:val="00E2161D"/>
    <w:rsid w:val="00E223AE"/>
    <w:rsid w:val="00E26A4D"/>
    <w:rsid w:val="00E321FC"/>
    <w:rsid w:val="00E3321A"/>
    <w:rsid w:val="00E455C6"/>
    <w:rsid w:val="00E5558A"/>
    <w:rsid w:val="00E71401"/>
    <w:rsid w:val="00EA1F10"/>
    <w:rsid w:val="00EF098B"/>
    <w:rsid w:val="00EF156D"/>
    <w:rsid w:val="00EF2F90"/>
    <w:rsid w:val="00EF541D"/>
    <w:rsid w:val="00F17619"/>
    <w:rsid w:val="00F32B72"/>
    <w:rsid w:val="00F418D0"/>
    <w:rsid w:val="00F43FE4"/>
    <w:rsid w:val="00F6250C"/>
    <w:rsid w:val="00F62F51"/>
    <w:rsid w:val="00F70D0F"/>
    <w:rsid w:val="00F72AA6"/>
    <w:rsid w:val="00F75D89"/>
    <w:rsid w:val="00FB501C"/>
    <w:rsid w:val="00FD0170"/>
    <w:rsid w:val="00FE1149"/>
    <w:rsid w:val="00FE35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rokecolor="#c9f">
      <v:stroke color="#c9f" weight="1.5pt"/>
      <o:colormru v:ext="edit" colors="#06c,#03c,#039,#98dccf,#9fd5c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A8A"/>
    <w:pPr>
      <w:spacing w:after="200" w:line="276" w:lineRule="auto"/>
    </w:pPr>
    <w:rPr>
      <w:rFonts w:ascii="Calibri" w:eastAsia="Calibri" w:hAnsi="Calibri"/>
      <w:sz w:val="22"/>
      <w:szCs w:val="22"/>
      <w:lang w:eastAsia="en-US"/>
    </w:rPr>
  </w:style>
  <w:style w:type="paragraph" w:styleId="Heading1">
    <w:name w:val="heading 1"/>
    <w:next w:val="Heading2"/>
    <w:link w:val="Heading1Char"/>
    <w:qFormat/>
    <w:rsid w:val="000844FB"/>
    <w:pPr>
      <w:keepNext/>
      <w:spacing w:before="120" w:after="240" w:line="800" w:lineRule="exact"/>
      <w:jc w:val="right"/>
      <w:outlineLvl w:val="0"/>
    </w:pPr>
    <w:rPr>
      <w:rFonts w:ascii="Arial Black" w:hAnsi="Arial Black"/>
      <w:color w:val="FF6600"/>
      <w:kern w:val="28"/>
      <w:sz w:val="72"/>
      <w:szCs w:val="72"/>
      <w:lang w:val="en-US" w:eastAsia="en-US"/>
    </w:rPr>
  </w:style>
  <w:style w:type="paragraph" w:styleId="Heading2">
    <w:name w:val="heading 2"/>
    <w:next w:val="Normal"/>
    <w:link w:val="Heading2Char"/>
    <w:qFormat/>
    <w:rsid w:val="00D77D95"/>
    <w:pPr>
      <w:spacing w:before="240" w:after="360"/>
      <w:outlineLvl w:val="1"/>
    </w:pPr>
    <w:rPr>
      <w:rFonts w:ascii="Arial Black" w:hAnsi="Arial Black" w:cs="Arial"/>
      <w:caps/>
      <w:color w:val="FF6600"/>
      <w:spacing w:val="15"/>
      <w:kern w:val="28"/>
      <w:sz w:val="28"/>
      <w:szCs w:val="28"/>
      <w:lang w:val="en-US" w:eastAsia="en-US"/>
    </w:rPr>
  </w:style>
  <w:style w:type="paragraph" w:styleId="Heading3">
    <w:name w:val="heading 3"/>
    <w:next w:val="Normal"/>
    <w:link w:val="Heading3Char"/>
    <w:qFormat/>
    <w:rsid w:val="00E455C6"/>
    <w:pPr>
      <w:spacing w:before="480" w:after="240"/>
      <w:outlineLvl w:val="2"/>
    </w:pPr>
    <w:rPr>
      <w:rFonts w:ascii="Arial Black" w:hAnsi="Arial Black" w:cs="Arial"/>
      <w:caps/>
      <w:color w:val="FFFFFF"/>
      <w:spacing w:val="15"/>
      <w:kern w:val="28"/>
      <w:sz w:val="28"/>
      <w:szCs w:val="32"/>
      <w:lang w:val="en-US" w:eastAsia="en-US"/>
    </w:rPr>
  </w:style>
  <w:style w:type="paragraph" w:styleId="Heading4">
    <w:name w:val="heading 4"/>
    <w:link w:val="Heading4Char"/>
    <w:qFormat/>
    <w:rsid w:val="0051564E"/>
    <w:pPr>
      <w:spacing w:before="240" w:after="120"/>
      <w:outlineLvl w:val="3"/>
    </w:pPr>
    <w:rPr>
      <w:rFonts w:ascii="Arial Black" w:hAnsi="Arial Black" w:cs="Arial"/>
      <w:caps/>
      <w:color w:val="FF6600"/>
      <w:spacing w:val="-5"/>
      <w:sz w:val="2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D77D95"/>
    <w:pPr>
      <w:spacing w:after="240" w:line="240" w:lineRule="exact"/>
    </w:pPr>
    <w:rPr>
      <w:rFonts w:ascii="Arial" w:hAnsi="Arial" w:cs="Arial"/>
      <w:color w:val="FF6600"/>
      <w:spacing w:val="-5"/>
      <w:szCs w:val="22"/>
      <w:lang w:val="en-US" w:eastAsia="en-US"/>
    </w:rPr>
  </w:style>
  <w:style w:type="character" w:customStyle="1" w:styleId="Heading1Char">
    <w:name w:val="Heading 1 Char"/>
    <w:link w:val="Heading1"/>
    <w:rsid w:val="000844FB"/>
    <w:rPr>
      <w:rFonts w:ascii="Arial Black" w:hAnsi="Arial Black"/>
      <w:color w:val="FF6600"/>
      <w:kern w:val="28"/>
      <w:sz w:val="72"/>
      <w:szCs w:val="72"/>
      <w:lang w:val="en-US" w:eastAsia="en-US" w:bidi="ar-SA"/>
    </w:rPr>
  </w:style>
  <w:style w:type="character" w:customStyle="1" w:styleId="Heading3Char">
    <w:name w:val="Heading 3 Char"/>
    <w:link w:val="Heading3"/>
    <w:rsid w:val="00E455C6"/>
    <w:rPr>
      <w:rFonts w:ascii="Arial Black" w:hAnsi="Arial Black" w:cs="Arial"/>
      <w:caps/>
      <w:color w:val="FFFFFF"/>
      <w:spacing w:val="15"/>
      <w:kern w:val="28"/>
      <w:sz w:val="28"/>
      <w:szCs w:val="32"/>
      <w:lang w:val="en-US" w:eastAsia="en-US" w:bidi="ar-SA"/>
    </w:rPr>
  </w:style>
  <w:style w:type="character" w:customStyle="1" w:styleId="Heading2Char">
    <w:name w:val="Heading 2 Char"/>
    <w:link w:val="Heading2"/>
    <w:rsid w:val="00D77D95"/>
    <w:rPr>
      <w:rFonts w:ascii="Arial Black" w:hAnsi="Arial Black" w:cs="Arial"/>
      <w:caps/>
      <w:color w:val="FF6600"/>
      <w:spacing w:val="15"/>
      <w:kern w:val="28"/>
      <w:sz w:val="28"/>
      <w:szCs w:val="28"/>
      <w:lang w:val="en-US" w:eastAsia="en-US" w:bidi="ar-SA"/>
    </w:rPr>
  </w:style>
  <w:style w:type="paragraph" w:customStyle="1" w:styleId="HeadingTopofColumn">
    <w:name w:val="Heading Top of Column"/>
    <w:basedOn w:val="Heading3"/>
    <w:rsid w:val="00AA23E7"/>
    <w:pPr>
      <w:spacing w:before="0"/>
    </w:pPr>
  </w:style>
  <w:style w:type="paragraph" w:styleId="Title">
    <w:name w:val="Title"/>
    <w:basedOn w:val="Normal"/>
    <w:next w:val="Normal"/>
    <w:link w:val="TitleChar"/>
    <w:uiPriority w:val="10"/>
    <w:qFormat/>
    <w:rsid w:val="008A2A8A"/>
    <w:pPr>
      <w:spacing w:before="240" w:after="60"/>
      <w:jc w:val="center"/>
      <w:outlineLvl w:val="0"/>
    </w:pPr>
    <w:rPr>
      <w:rFonts w:ascii="Cambria" w:eastAsia="Times New Roman" w:hAnsi="Cambria"/>
      <w:b/>
      <w:bCs/>
      <w:kern w:val="28"/>
      <w:sz w:val="32"/>
      <w:szCs w:val="32"/>
    </w:rPr>
  </w:style>
  <w:style w:type="paragraph" w:styleId="List">
    <w:name w:val="List"/>
    <w:rsid w:val="00D77D95"/>
    <w:pPr>
      <w:numPr>
        <w:numId w:val="1"/>
      </w:numPr>
      <w:spacing w:before="240" w:after="120"/>
      <w:ind w:right="432"/>
    </w:pPr>
    <w:rPr>
      <w:rFonts w:ascii="Arial" w:hAnsi="Arial"/>
      <w:color w:val="FF6600"/>
      <w:szCs w:val="24"/>
      <w:lang w:val="en-US" w:eastAsia="en-US"/>
    </w:rPr>
  </w:style>
  <w:style w:type="character" w:customStyle="1" w:styleId="TitleChar">
    <w:name w:val="Title Char"/>
    <w:link w:val="Title"/>
    <w:uiPriority w:val="10"/>
    <w:rsid w:val="008A2A8A"/>
    <w:rPr>
      <w:rFonts w:ascii="Cambria" w:eastAsia="Times New Roman" w:hAnsi="Cambria" w:cs="Times New Roman"/>
      <w:b/>
      <w:bCs/>
      <w:kern w:val="28"/>
      <w:sz w:val="32"/>
      <w:szCs w:val="32"/>
      <w:lang w:val="en-US" w:eastAsia="en-US"/>
    </w:rPr>
  </w:style>
  <w:style w:type="paragraph" w:customStyle="1" w:styleId="Address1">
    <w:name w:val="Address 1"/>
    <w:rsid w:val="00EF156D"/>
    <w:pPr>
      <w:jc w:val="center"/>
    </w:pPr>
    <w:rPr>
      <w:rFonts w:ascii="Arial Black" w:hAnsi="Arial Black" w:cs="Arial"/>
      <w:color w:val="FF6600"/>
      <w:spacing w:val="-5"/>
      <w:sz w:val="22"/>
      <w:szCs w:val="22"/>
      <w:lang w:val="en-US" w:eastAsia="en-US"/>
    </w:rPr>
  </w:style>
  <w:style w:type="character" w:styleId="Emphasis">
    <w:name w:val="Emphasis"/>
    <w:qFormat/>
    <w:rsid w:val="00481C84"/>
    <w:rPr>
      <w:b/>
      <w:spacing w:val="-10"/>
    </w:rPr>
  </w:style>
  <w:style w:type="character" w:customStyle="1" w:styleId="BodyTextChar">
    <w:name w:val="Body Text Char"/>
    <w:link w:val="BodyText"/>
    <w:rsid w:val="00D77D95"/>
    <w:rPr>
      <w:rFonts w:ascii="Arial" w:hAnsi="Arial" w:cs="Arial"/>
      <w:color w:val="FF6600"/>
      <w:spacing w:val="-5"/>
      <w:szCs w:val="22"/>
      <w:lang w:val="en-US" w:eastAsia="en-US" w:bidi="ar-SA"/>
    </w:rPr>
  </w:style>
  <w:style w:type="character" w:customStyle="1" w:styleId="Heading4Char">
    <w:name w:val="Heading 4 Char"/>
    <w:link w:val="Heading4"/>
    <w:rsid w:val="0051564E"/>
    <w:rPr>
      <w:rFonts w:ascii="Arial" w:hAnsi="Arial" w:cs="Arial"/>
      <w:caps/>
      <w:color w:val="FF6600"/>
      <w:spacing w:val="-5"/>
      <w:szCs w:val="32"/>
      <w:lang w:val="en-US" w:eastAsia="en-US" w:bidi="ar-SA"/>
    </w:rPr>
  </w:style>
  <w:style w:type="paragraph" w:styleId="BodyText2">
    <w:name w:val="Body Text 2"/>
    <w:link w:val="BodyText2Char"/>
    <w:rsid w:val="008E7D7C"/>
    <w:pPr>
      <w:spacing w:before="100" w:beforeAutospacing="1" w:after="100" w:afterAutospacing="1"/>
      <w:ind w:left="144" w:right="144"/>
      <w:contextualSpacing/>
      <w:jc w:val="right"/>
      <w:outlineLvl w:val="0"/>
    </w:pPr>
    <w:rPr>
      <w:rFonts w:ascii="Arial Black" w:hAnsi="Arial Black" w:cs="Arial"/>
      <w:color w:val="FF6600"/>
      <w:sz w:val="22"/>
      <w:szCs w:val="22"/>
      <w:lang w:val="en-US" w:eastAsia="en-US"/>
    </w:rPr>
  </w:style>
  <w:style w:type="character" w:customStyle="1" w:styleId="BodyText2Char">
    <w:name w:val="Body Text 2 Char"/>
    <w:link w:val="BodyText2"/>
    <w:rsid w:val="008E7D7C"/>
    <w:rPr>
      <w:rFonts w:ascii="Arial Black" w:hAnsi="Arial Black" w:cs="Arial"/>
      <w:color w:val="FF6600"/>
      <w:spacing w:val="-5"/>
      <w:szCs w:val="22"/>
      <w:lang w:val="en-US" w:eastAsia="en-US" w:bidi="ar-SA"/>
    </w:rPr>
  </w:style>
  <w:style w:type="paragraph" w:styleId="NoSpacing">
    <w:name w:val="No Spacing"/>
    <w:uiPriority w:val="1"/>
    <w:qFormat/>
    <w:rsid w:val="008A2A8A"/>
    <w:rPr>
      <w:sz w:val="24"/>
      <w:szCs w:val="24"/>
      <w:lang w:val="en-US" w:eastAsia="en-US"/>
    </w:rPr>
  </w:style>
  <w:style w:type="character" w:styleId="IntenseEmphasis">
    <w:name w:val="Intense Emphasis"/>
    <w:uiPriority w:val="21"/>
    <w:qFormat/>
    <w:rsid w:val="008A2A8A"/>
    <w:rPr>
      <w:b/>
      <w:bCs/>
      <w:i/>
      <w:iCs/>
      <w:color w:val="4F81BD"/>
    </w:rPr>
  </w:style>
  <w:style w:type="table" w:styleId="TableGrid">
    <w:name w:val="Table Grid"/>
    <w:basedOn w:val="TableNormal"/>
    <w:uiPriority w:val="59"/>
    <w:rsid w:val="008A2A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2A8A"/>
    <w:pPr>
      <w:ind w:left="720"/>
      <w:contextualSpacing/>
    </w:pPr>
  </w:style>
  <w:style w:type="table" w:customStyle="1" w:styleId="TableGrid2">
    <w:name w:val="Table Grid2"/>
    <w:basedOn w:val="TableNormal"/>
    <w:next w:val="TableGrid"/>
    <w:uiPriority w:val="59"/>
    <w:rsid w:val="00B01A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4E5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4E59"/>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A8A"/>
    <w:pPr>
      <w:spacing w:after="200" w:line="276" w:lineRule="auto"/>
    </w:pPr>
    <w:rPr>
      <w:rFonts w:ascii="Calibri" w:eastAsia="Calibri" w:hAnsi="Calibri"/>
      <w:sz w:val="22"/>
      <w:szCs w:val="22"/>
      <w:lang w:eastAsia="en-US"/>
    </w:rPr>
  </w:style>
  <w:style w:type="paragraph" w:styleId="Heading1">
    <w:name w:val="heading 1"/>
    <w:next w:val="Heading2"/>
    <w:link w:val="Heading1Char"/>
    <w:qFormat/>
    <w:rsid w:val="000844FB"/>
    <w:pPr>
      <w:keepNext/>
      <w:spacing w:before="120" w:after="240" w:line="800" w:lineRule="exact"/>
      <w:jc w:val="right"/>
      <w:outlineLvl w:val="0"/>
    </w:pPr>
    <w:rPr>
      <w:rFonts w:ascii="Arial Black" w:hAnsi="Arial Black"/>
      <w:color w:val="FF6600"/>
      <w:kern w:val="28"/>
      <w:sz w:val="72"/>
      <w:szCs w:val="72"/>
      <w:lang w:val="en-US" w:eastAsia="en-US"/>
    </w:rPr>
  </w:style>
  <w:style w:type="paragraph" w:styleId="Heading2">
    <w:name w:val="heading 2"/>
    <w:next w:val="Normal"/>
    <w:link w:val="Heading2Char"/>
    <w:qFormat/>
    <w:rsid w:val="00D77D95"/>
    <w:pPr>
      <w:spacing w:before="240" w:after="360"/>
      <w:outlineLvl w:val="1"/>
    </w:pPr>
    <w:rPr>
      <w:rFonts w:ascii="Arial Black" w:hAnsi="Arial Black" w:cs="Arial"/>
      <w:caps/>
      <w:color w:val="FF6600"/>
      <w:spacing w:val="15"/>
      <w:kern w:val="28"/>
      <w:sz w:val="28"/>
      <w:szCs w:val="28"/>
      <w:lang w:val="en-US" w:eastAsia="en-US"/>
    </w:rPr>
  </w:style>
  <w:style w:type="paragraph" w:styleId="Heading3">
    <w:name w:val="heading 3"/>
    <w:next w:val="Normal"/>
    <w:link w:val="Heading3Char"/>
    <w:qFormat/>
    <w:rsid w:val="00E455C6"/>
    <w:pPr>
      <w:spacing w:before="480" w:after="240"/>
      <w:outlineLvl w:val="2"/>
    </w:pPr>
    <w:rPr>
      <w:rFonts w:ascii="Arial Black" w:hAnsi="Arial Black" w:cs="Arial"/>
      <w:caps/>
      <w:color w:val="FFFFFF"/>
      <w:spacing w:val="15"/>
      <w:kern w:val="28"/>
      <w:sz w:val="28"/>
      <w:szCs w:val="32"/>
      <w:lang w:val="en-US" w:eastAsia="en-US"/>
    </w:rPr>
  </w:style>
  <w:style w:type="paragraph" w:styleId="Heading4">
    <w:name w:val="heading 4"/>
    <w:link w:val="Heading4Char"/>
    <w:qFormat/>
    <w:rsid w:val="0051564E"/>
    <w:pPr>
      <w:spacing w:before="240" w:after="120"/>
      <w:outlineLvl w:val="3"/>
    </w:pPr>
    <w:rPr>
      <w:rFonts w:ascii="Arial Black" w:hAnsi="Arial Black" w:cs="Arial"/>
      <w:caps/>
      <w:color w:val="FF6600"/>
      <w:spacing w:val="-5"/>
      <w:sz w:val="2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D77D95"/>
    <w:pPr>
      <w:spacing w:after="240" w:line="240" w:lineRule="exact"/>
    </w:pPr>
    <w:rPr>
      <w:rFonts w:ascii="Arial" w:hAnsi="Arial" w:cs="Arial"/>
      <w:color w:val="FF6600"/>
      <w:spacing w:val="-5"/>
      <w:szCs w:val="22"/>
      <w:lang w:val="en-US" w:eastAsia="en-US"/>
    </w:rPr>
  </w:style>
  <w:style w:type="character" w:customStyle="1" w:styleId="Heading1Char">
    <w:name w:val="Heading 1 Char"/>
    <w:link w:val="Heading1"/>
    <w:rsid w:val="000844FB"/>
    <w:rPr>
      <w:rFonts w:ascii="Arial Black" w:hAnsi="Arial Black"/>
      <w:color w:val="FF6600"/>
      <w:kern w:val="28"/>
      <w:sz w:val="72"/>
      <w:szCs w:val="72"/>
      <w:lang w:val="en-US" w:eastAsia="en-US" w:bidi="ar-SA"/>
    </w:rPr>
  </w:style>
  <w:style w:type="character" w:customStyle="1" w:styleId="Heading3Char">
    <w:name w:val="Heading 3 Char"/>
    <w:link w:val="Heading3"/>
    <w:rsid w:val="00E455C6"/>
    <w:rPr>
      <w:rFonts w:ascii="Arial Black" w:hAnsi="Arial Black" w:cs="Arial"/>
      <w:caps/>
      <w:color w:val="FFFFFF"/>
      <w:spacing w:val="15"/>
      <w:kern w:val="28"/>
      <w:sz w:val="28"/>
      <w:szCs w:val="32"/>
      <w:lang w:val="en-US" w:eastAsia="en-US" w:bidi="ar-SA"/>
    </w:rPr>
  </w:style>
  <w:style w:type="character" w:customStyle="1" w:styleId="Heading2Char">
    <w:name w:val="Heading 2 Char"/>
    <w:link w:val="Heading2"/>
    <w:rsid w:val="00D77D95"/>
    <w:rPr>
      <w:rFonts w:ascii="Arial Black" w:hAnsi="Arial Black" w:cs="Arial"/>
      <w:caps/>
      <w:color w:val="FF6600"/>
      <w:spacing w:val="15"/>
      <w:kern w:val="28"/>
      <w:sz w:val="28"/>
      <w:szCs w:val="28"/>
      <w:lang w:val="en-US" w:eastAsia="en-US" w:bidi="ar-SA"/>
    </w:rPr>
  </w:style>
  <w:style w:type="paragraph" w:customStyle="1" w:styleId="HeadingTopofColumn">
    <w:name w:val="Heading Top of Column"/>
    <w:basedOn w:val="Heading3"/>
    <w:rsid w:val="00AA23E7"/>
    <w:pPr>
      <w:spacing w:before="0"/>
    </w:pPr>
  </w:style>
  <w:style w:type="paragraph" w:styleId="Title">
    <w:name w:val="Title"/>
    <w:basedOn w:val="Normal"/>
    <w:next w:val="Normal"/>
    <w:link w:val="TitleChar"/>
    <w:uiPriority w:val="10"/>
    <w:qFormat/>
    <w:rsid w:val="008A2A8A"/>
    <w:pPr>
      <w:spacing w:before="240" w:after="60"/>
      <w:jc w:val="center"/>
      <w:outlineLvl w:val="0"/>
    </w:pPr>
    <w:rPr>
      <w:rFonts w:ascii="Cambria" w:eastAsia="Times New Roman" w:hAnsi="Cambria"/>
      <w:b/>
      <w:bCs/>
      <w:kern w:val="28"/>
      <w:sz w:val="32"/>
      <w:szCs w:val="32"/>
    </w:rPr>
  </w:style>
  <w:style w:type="paragraph" w:styleId="List">
    <w:name w:val="List"/>
    <w:rsid w:val="00D77D95"/>
    <w:pPr>
      <w:numPr>
        <w:numId w:val="1"/>
      </w:numPr>
      <w:spacing w:before="240" w:after="120"/>
      <w:ind w:right="432"/>
    </w:pPr>
    <w:rPr>
      <w:rFonts w:ascii="Arial" w:hAnsi="Arial"/>
      <w:color w:val="FF6600"/>
      <w:szCs w:val="24"/>
      <w:lang w:val="en-US" w:eastAsia="en-US"/>
    </w:rPr>
  </w:style>
  <w:style w:type="character" w:customStyle="1" w:styleId="TitleChar">
    <w:name w:val="Title Char"/>
    <w:link w:val="Title"/>
    <w:uiPriority w:val="10"/>
    <w:rsid w:val="008A2A8A"/>
    <w:rPr>
      <w:rFonts w:ascii="Cambria" w:eastAsia="Times New Roman" w:hAnsi="Cambria" w:cs="Times New Roman"/>
      <w:b/>
      <w:bCs/>
      <w:kern w:val="28"/>
      <w:sz w:val="32"/>
      <w:szCs w:val="32"/>
      <w:lang w:val="en-US" w:eastAsia="en-US"/>
    </w:rPr>
  </w:style>
  <w:style w:type="paragraph" w:customStyle="1" w:styleId="Address1">
    <w:name w:val="Address 1"/>
    <w:rsid w:val="00EF156D"/>
    <w:pPr>
      <w:jc w:val="center"/>
    </w:pPr>
    <w:rPr>
      <w:rFonts w:ascii="Arial Black" w:hAnsi="Arial Black" w:cs="Arial"/>
      <w:color w:val="FF6600"/>
      <w:spacing w:val="-5"/>
      <w:sz w:val="22"/>
      <w:szCs w:val="22"/>
      <w:lang w:val="en-US" w:eastAsia="en-US"/>
    </w:rPr>
  </w:style>
  <w:style w:type="character" w:styleId="Emphasis">
    <w:name w:val="Emphasis"/>
    <w:qFormat/>
    <w:rsid w:val="00481C84"/>
    <w:rPr>
      <w:b/>
      <w:spacing w:val="-10"/>
    </w:rPr>
  </w:style>
  <w:style w:type="character" w:customStyle="1" w:styleId="BodyTextChar">
    <w:name w:val="Body Text Char"/>
    <w:link w:val="BodyText"/>
    <w:rsid w:val="00D77D95"/>
    <w:rPr>
      <w:rFonts w:ascii="Arial" w:hAnsi="Arial" w:cs="Arial"/>
      <w:color w:val="FF6600"/>
      <w:spacing w:val="-5"/>
      <w:szCs w:val="22"/>
      <w:lang w:val="en-US" w:eastAsia="en-US" w:bidi="ar-SA"/>
    </w:rPr>
  </w:style>
  <w:style w:type="character" w:customStyle="1" w:styleId="Heading4Char">
    <w:name w:val="Heading 4 Char"/>
    <w:link w:val="Heading4"/>
    <w:rsid w:val="0051564E"/>
    <w:rPr>
      <w:rFonts w:ascii="Arial" w:hAnsi="Arial" w:cs="Arial"/>
      <w:caps/>
      <w:color w:val="FF6600"/>
      <w:spacing w:val="-5"/>
      <w:szCs w:val="32"/>
      <w:lang w:val="en-US" w:eastAsia="en-US" w:bidi="ar-SA"/>
    </w:rPr>
  </w:style>
  <w:style w:type="paragraph" w:styleId="BodyText2">
    <w:name w:val="Body Text 2"/>
    <w:link w:val="BodyText2Char"/>
    <w:rsid w:val="008E7D7C"/>
    <w:pPr>
      <w:spacing w:before="100" w:beforeAutospacing="1" w:after="100" w:afterAutospacing="1"/>
      <w:ind w:left="144" w:right="144"/>
      <w:contextualSpacing/>
      <w:jc w:val="right"/>
      <w:outlineLvl w:val="0"/>
    </w:pPr>
    <w:rPr>
      <w:rFonts w:ascii="Arial Black" w:hAnsi="Arial Black" w:cs="Arial"/>
      <w:color w:val="FF6600"/>
      <w:sz w:val="22"/>
      <w:szCs w:val="22"/>
      <w:lang w:val="en-US" w:eastAsia="en-US"/>
    </w:rPr>
  </w:style>
  <w:style w:type="character" w:customStyle="1" w:styleId="BodyText2Char">
    <w:name w:val="Body Text 2 Char"/>
    <w:link w:val="BodyText2"/>
    <w:rsid w:val="008E7D7C"/>
    <w:rPr>
      <w:rFonts w:ascii="Arial Black" w:hAnsi="Arial Black" w:cs="Arial"/>
      <w:color w:val="FF6600"/>
      <w:spacing w:val="-5"/>
      <w:szCs w:val="22"/>
      <w:lang w:val="en-US" w:eastAsia="en-US" w:bidi="ar-SA"/>
    </w:rPr>
  </w:style>
  <w:style w:type="paragraph" w:styleId="NoSpacing">
    <w:name w:val="No Spacing"/>
    <w:uiPriority w:val="1"/>
    <w:qFormat/>
    <w:rsid w:val="008A2A8A"/>
    <w:rPr>
      <w:sz w:val="24"/>
      <w:szCs w:val="24"/>
      <w:lang w:val="en-US" w:eastAsia="en-US"/>
    </w:rPr>
  </w:style>
  <w:style w:type="character" w:styleId="IntenseEmphasis">
    <w:name w:val="Intense Emphasis"/>
    <w:uiPriority w:val="21"/>
    <w:qFormat/>
    <w:rsid w:val="008A2A8A"/>
    <w:rPr>
      <w:b/>
      <w:bCs/>
      <w:i/>
      <w:iCs/>
      <w:color w:val="4F81BD"/>
    </w:rPr>
  </w:style>
  <w:style w:type="table" w:styleId="TableGrid">
    <w:name w:val="Table Grid"/>
    <w:basedOn w:val="TableNormal"/>
    <w:uiPriority w:val="59"/>
    <w:rsid w:val="008A2A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2A8A"/>
    <w:pPr>
      <w:ind w:left="720"/>
      <w:contextualSpacing/>
    </w:pPr>
  </w:style>
  <w:style w:type="table" w:customStyle="1" w:styleId="TableGrid2">
    <w:name w:val="Table Grid2"/>
    <w:basedOn w:val="TableNormal"/>
    <w:next w:val="TableGrid"/>
    <w:uiPriority w:val="59"/>
    <w:rsid w:val="00B01A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4E5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4E59"/>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aiz-Omenaca\AppData\Roaming\Microsoft\Templates\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Template>
  <TotalTime>0</TotalTime>
  <Pages>2</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Saiz-Omenaca</dc:creator>
  <cp:lastModifiedBy>Frederieke Van Herk</cp:lastModifiedBy>
  <cp:revision>2</cp:revision>
  <cp:lastPrinted>2014-06-06T19:17:00Z</cp:lastPrinted>
  <dcterms:created xsi:type="dcterms:W3CDTF">2015-02-02T16:22:00Z</dcterms:created>
  <dcterms:modified xsi:type="dcterms:W3CDTF">2015-02-02T16:22:00Z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TC062062991033</vt:lpwstr>
  </property>
</Properties>
</file>